
<file path=[Content_Types].xml><?xml version="1.0" encoding="utf-8"?>
<Types xmlns="http://schemas.openxmlformats.org/package/2006/content-types">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98A8CAA" w14:textId="77777777" w:rsidR="003C0744" w:rsidRPr="00CD6A26" w:rsidRDefault="003C0744" w:rsidP="003C0744">
      <w:pPr>
        <w:autoSpaceDE w:val="0"/>
        <w:autoSpaceDN w:val="0"/>
        <w:adjustRightInd w:val="0"/>
        <w:jc w:val="left"/>
        <w:rPr>
          <w:rFonts w:ascii="Times New Roman" w:hAnsi="Times New Roman" w:cs="Times New Roman"/>
          <w:sz w:val="28"/>
          <w:szCs w:val="32"/>
        </w:rPr>
      </w:pPr>
      <w:proofErr w:type="spellStart"/>
      <w:r w:rsidRPr="00CD6A26">
        <w:rPr>
          <w:rFonts w:ascii="Times New Roman" w:hAnsi="Times New Roman" w:cs="Times New Roman"/>
          <w:sz w:val="28"/>
          <w:szCs w:val="32"/>
        </w:rPr>
        <w:t>Azoramide</w:t>
      </w:r>
      <w:proofErr w:type="spellEnd"/>
      <w:r w:rsidRPr="00CD6A26">
        <w:rPr>
          <w:rFonts w:ascii="Times New Roman" w:hAnsi="Times New Roman" w:cs="Times New Roman"/>
          <w:sz w:val="28"/>
          <w:szCs w:val="32"/>
        </w:rPr>
        <w:t xml:space="preserve">, a novel regulator, favors adipogenesis against osteogenesis through inhibiting the GLP-1 receptor-PKA-β-catenin pathway </w:t>
      </w:r>
    </w:p>
    <w:p w14:paraId="7CE20E28" w14:textId="77777777" w:rsidR="00BF52B0" w:rsidRPr="00BF52B0" w:rsidRDefault="00BF52B0" w:rsidP="00BF52B0">
      <w:pPr>
        <w:autoSpaceDE w:val="0"/>
        <w:autoSpaceDN w:val="0"/>
        <w:adjustRightInd w:val="0"/>
        <w:jc w:val="left"/>
        <w:rPr>
          <w:rFonts w:ascii="Times New Roman" w:hAnsi="Times New Roman" w:cs="Times New Roman"/>
          <w:color w:val="131413"/>
          <w:kern w:val="0"/>
          <w:sz w:val="22"/>
        </w:rPr>
      </w:pPr>
      <w:r w:rsidRPr="00BF52B0">
        <w:rPr>
          <w:rFonts w:ascii="Times New Roman" w:hAnsi="Times New Roman" w:cs="Times New Roman"/>
          <w:color w:val="131413"/>
          <w:kern w:val="0"/>
          <w:sz w:val="22"/>
        </w:rPr>
        <w:t>Zhao Yan</w:t>
      </w:r>
      <w:r w:rsidRPr="00B52624">
        <w:rPr>
          <w:rFonts w:ascii="Times New Roman" w:hAnsi="Times New Roman" w:cs="Times New Roman"/>
          <w:color w:val="131413"/>
          <w:kern w:val="0"/>
          <w:sz w:val="22"/>
          <w:vertAlign w:val="superscript"/>
        </w:rPr>
        <w:t>1,2</w:t>
      </w:r>
      <w:r w:rsidRPr="00BF52B0">
        <w:rPr>
          <w:rFonts w:ascii="Times New Roman" w:hAnsi="Times New Roman" w:cs="Times New Roman"/>
          <w:color w:val="131413"/>
          <w:kern w:val="0"/>
          <w:sz w:val="22"/>
        </w:rPr>
        <w:t xml:space="preserve">, </w:t>
      </w:r>
      <w:proofErr w:type="spellStart"/>
      <w:r w:rsidRPr="00BF52B0">
        <w:rPr>
          <w:rFonts w:ascii="Times New Roman" w:hAnsi="Times New Roman" w:cs="Times New Roman"/>
          <w:color w:val="131413"/>
          <w:kern w:val="0"/>
          <w:sz w:val="22"/>
        </w:rPr>
        <w:t>Banjun</w:t>
      </w:r>
      <w:proofErr w:type="spellEnd"/>
      <w:r w:rsidRPr="00BF52B0">
        <w:rPr>
          <w:rFonts w:ascii="Times New Roman" w:hAnsi="Times New Roman" w:cs="Times New Roman"/>
          <w:color w:val="131413"/>
          <w:kern w:val="0"/>
          <w:sz w:val="22"/>
        </w:rPr>
        <w:t xml:space="preserve"> Ruan</w:t>
      </w:r>
      <w:r w:rsidRPr="00B52624">
        <w:rPr>
          <w:rFonts w:ascii="Times New Roman" w:hAnsi="Times New Roman" w:cs="Times New Roman"/>
          <w:color w:val="131413"/>
          <w:kern w:val="0"/>
          <w:sz w:val="22"/>
          <w:vertAlign w:val="superscript"/>
        </w:rPr>
        <w:t>3</w:t>
      </w:r>
      <w:r w:rsidRPr="00BF52B0">
        <w:rPr>
          <w:rFonts w:ascii="Times New Roman" w:hAnsi="Times New Roman" w:cs="Times New Roman"/>
          <w:color w:val="131413"/>
          <w:kern w:val="0"/>
          <w:sz w:val="22"/>
        </w:rPr>
        <w:t xml:space="preserve">, </w:t>
      </w:r>
      <w:proofErr w:type="spellStart"/>
      <w:r w:rsidRPr="00BF52B0">
        <w:rPr>
          <w:rFonts w:ascii="Times New Roman" w:hAnsi="Times New Roman" w:cs="Times New Roman"/>
          <w:color w:val="131413"/>
          <w:kern w:val="0"/>
          <w:sz w:val="22"/>
        </w:rPr>
        <w:t>Xiaorui</w:t>
      </w:r>
      <w:proofErr w:type="spellEnd"/>
      <w:r w:rsidRPr="00BF52B0">
        <w:rPr>
          <w:rFonts w:ascii="Times New Roman" w:hAnsi="Times New Roman" w:cs="Times New Roman"/>
          <w:color w:val="131413"/>
          <w:kern w:val="0"/>
          <w:sz w:val="22"/>
        </w:rPr>
        <w:t xml:space="preserve"> Cao</w:t>
      </w:r>
      <w:r w:rsidRPr="00B52624">
        <w:rPr>
          <w:rFonts w:ascii="Times New Roman" w:hAnsi="Times New Roman" w:cs="Times New Roman"/>
          <w:color w:val="131413"/>
          <w:kern w:val="0"/>
          <w:sz w:val="22"/>
          <w:vertAlign w:val="superscript"/>
        </w:rPr>
        <w:t>2*</w:t>
      </w:r>
      <w:r w:rsidRPr="00BF52B0">
        <w:rPr>
          <w:rFonts w:ascii="Times New Roman" w:hAnsi="Times New Roman" w:cs="Times New Roman"/>
          <w:color w:val="131413"/>
          <w:kern w:val="0"/>
          <w:sz w:val="22"/>
        </w:rPr>
        <w:t xml:space="preserve"> and </w:t>
      </w:r>
      <w:proofErr w:type="spellStart"/>
      <w:r w:rsidRPr="00BF52B0">
        <w:rPr>
          <w:rFonts w:ascii="Times New Roman" w:hAnsi="Times New Roman" w:cs="Times New Roman"/>
          <w:color w:val="131413"/>
          <w:kern w:val="0"/>
          <w:sz w:val="22"/>
        </w:rPr>
        <w:t>Zifan</w:t>
      </w:r>
      <w:proofErr w:type="spellEnd"/>
      <w:r w:rsidRPr="00BF52B0">
        <w:rPr>
          <w:rFonts w:ascii="Times New Roman" w:hAnsi="Times New Roman" w:cs="Times New Roman"/>
          <w:color w:val="131413"/>
          <w:kern w:val="0"/>
          <w:sz w:val="22"/>
        </w:rPr>
        <w:t xml:space="preserve"> Lu</w:t>
      </w:r>
      <w:r w:rsidRPr="00B52624">
        <w:rPr>
          <w:rFonts w:ascii="Times New Roman" w:hAnsi="Times New Roman" w:cs="Times New Roman"/>
          <w:color w:val="131413"/>
          <w:kern w:val="0"/>
          <w:sz w:val="22"/>
          <w:vertAlign w:val="superscript"/>
        </w:rPr>
        <w:t>3*</w:t>
      </w:r>
      <w:r w:rsidRPr="00BF52B0">
        <w:rPr>
          <w:rFonts w:ascii="Times New Roman" w:hAnsi="Times New Roman" w:cs="Times New Roman"/>
          <w:color w:val="131413"/>
          <w:kern w:val="0"/>
          <w:sz w:val="22"/>
        </w:rPr>
        <w:t xml:space="preserve">  </w:t>
      </w:r>
    </w:p>
    <w:p w14:paraId="0745FD49" w14:textId="77777777" w:rsidR="00BF52B0" w:rsidRPr="00BF52B0" w:rsidRDefault="00BF52B0" w:rsidP="00BF52B0">
      <w:pPr>
        <w:autoSpaceDE w:val="0"/>
        <w:autoSpaceDN w:val="0"/>
        <w:adjustRightInd w:val="0"/>
        <w:jc w:val="left"/>
        <w:rPr>
          <w:rFonts w:ascii="Times New Roman" w:hAnsi="Times New Roman" w:cs="Times New Roman"/>
          <w:color w:val="131413"/>
          <w:kern w:val="0"/>
          <w:sz w:val="22"/>
        </w:rPr>
      </w:pPr>
      <w:r w:rsidRPr="00BF52B0">
        <w:rPr>
          <w:rFonts w:ascii="Times New Roman" w:hAnsi="Times New Roman" w:cs="Times New Roman"/>
          <w:color w:val="131413"/>
          <w:kern w:val="0"/>
          <w:sz w:val="22"/>
        </w:rPr>
        <w:t>1 Department of Anatomy and K.K. Leung Brain Research Centre, Fourth Military Medical University, Xi'an 710032, China.</w:t>
      </w:r>
    </w:p>
    <w:p w14:paraId="23128A9A" w14:textId="77777777" w:rsidR="00BF52B0" w:rsidRPr="00BF52B0" w:rsidRDefault="00BF52B0" w:rsidP="00BF52B0">
      <w:pPr>
        <w:autoSpaceDE w:val="0"/>
        <w:autoSpaceDN w:val="0"/>
        <w:adjustRightInd w:val="0"/>
        <w:jc w:val="left"/>
        <w:rPr>
          <w:rFonts w:ascii="Times New Roman" w:hAnsi="Times New Roman" w:cs="Times New Roman"/>
          <w:color w:val="131413"/>
          <w:kern w:val="0"/>
          <w:sz w:val="22"/>
        </w:rPr>
      </w:pPr>
      <w:r w:rsidRPr="00BF52B0">
        <w:rPr>
          <w:rFonts w:ascii="Times New Roman" w:hAnsi="Times New Roman" w:cs="Times New Roman"/>
          <w:color w:val="131413"/>
          <w:kern w:val="0"/>
          <w:sz w:val="22"/>
        </w:rPr>
        <w:t xml:space="preserve">2 Institute of Orthopedic Surgery, </w:t>
      </w:r>
      <w:proofErr w:type="spellStart"/>
      <w:r w:rsidRPr="00BF52B0">
        <w:rPr>
          <w:rFonts w:ascii="Times New Roman" w:hAnsi="Times New Roman" w:cs="Times New Roman"/>
          <w:color w:val="131413"/>
          <w:kern w:val="0"/>
          <w:sz w:val="22"/>
        </w:rPr>
        <w:t>Xijing</w:t>
      </w:r>
      <w:proofErr w:type="spellEnd"/>
      <w:r w:rsidRPr="00BF52B0">
        <w:rPr>
          <w:rFonts w:ascii="Times New Roman" w:hAnsi="Times New Roman" w:cs="Times New Roman"/>
          <w:color w:val="131413"/>
          <w:kern w:val="0"/>
          <w:sz w:val="22"/>
        </w:rPr>
        <w:t xml:space="preserve"> Hospital, Fourth Military Medical University, Xi’an </w:t>
      </w:r>
      <w:proofErr w:type="gramStart"/>
      <w:r w:rsidRPr="00BF52B0">
        <w:rPr>
          <w:rFonts w:ascii="Times New Roman" w:hAnsi="Times New Roman" w:cs="Times New Roman"/>
          <w:color w:val="131413"/>
          <w:kern w:val="0"/>
          <w:sz w:val="22"/>
        </w:rPr>
        <w:t>710032,People’s</w:t>
      </w:r>
      <w:proofErr w:type="gramEnd"/>
      <w:r w:rsidRPr="00BF52B0">
        <w:rPr>
          <w:rFonts w:ascii="Times New Roman" w:hAnsi="Times New Roman" w:cs="Times New Roman"/>
          <w:color w:val="131413"/>
          <w:kern w:val="0"/>
          <w:sz w:val="22"/>
        </w:rPr>
        <w:t xml:space="preserve"> Republic of China.</w:t>
      </w:r>
    </w:p>
    <w:p w14:paraId="7C5E92CD" w14:textId="195BE873" w:rsidR="003C0744" w:rsidRPr="00CD6A26" w:rsidRDefault="00BF52B0" w:rsidP="00BF52B0">
      <w:pPr>
        <w:autoSpaceDE w:val="0"/>
        <w:autoSpaceDN w:val="0"/>
        <w:adjustRightInd w:val="0"/>
        <w:jc w:val="left"/>
        <w:rPr>
          <w:rFonts w:ascii="Times New Roman" w:hAnsi="Times New Roman" w:cs="Times New Roman"/>
        </w:rPr>
      </w:pPr>
      <w:r w:rsidRPr="00BF52B0">
        <w:rPr>
          <w:rFonts w:ascii="Times New Roman" w:hAnsi="Times New Roman" w:cs="Times New Roman"/>
          <w:color w:val="131413"/>
          <w:kern w:val="0"/>
          <w:sz w:val="22"/>
        </w:rPr>
        <w:t>3 State Key Laboratory of Cancer Biology, Department of Pharmacogenomics, Fourth Military Medical University, Xi’an 710032, People’s Republic of China.</w:t>
      </w:r>
    </w:p>
    <w:p w14:paraId="25250DC2" w14:textId="77777777" w:rsidR="00E2645C" w:rsidRPr="009F5747" w:rsidRDefault="00E2645C" w:rsidP="00E2645C">
      <w:pPr>
        <w:spacing w:beforeLines="50" w:before="156" w:afterLines="50" w:after="156" w:line="480" w:lineRule="auto"/>
        <w:rPr>
          <w:rFonts w:ascii="Times New Roman" w:hAnsi="Times New Roman" w:cs="Times New Roman"/>
          <w:b/>
          <w:sz w:val="24"/>
          <w:szCs w:val="21"/>
        </w:rPr>
      </w:pPr>
      <w:r w:rsidRPr="009F5747">
        <w:rPr>
          <w:rFonts w:ascii="Times New Roman" w:hAnsi="Times New Roman" w:cs="Times New Roman"/>
          <w:b/>
          <w:sz w:val="24"/>
          <w:szCs w:val="21"/>
        </w:rPr>
        <w:t xml:space="preserve">Binding Mode Prediction of </w:t>
      </w:r>
      <w:proofErr w:type="spellStart"/>
      <w:r w:rsidRPr="009F5747">
        <w:rPr>
          <w:rFonts w:ascii="Times New Roman" w:hAnsi="Times New Roman" w:cs="Times New Roman"/>
          <w:b/>
          <w:sz w:val="24"/>
          <w:szCs w:val="21"/>
        </w:rPr>
        <w:t>Azoramide</w:t>
      </w:r>
      <w:proofErr w:type="spellEnd"/>
      <w:r w:rsidRPr="009F5747">
        <w:rPr>
          <w:rFonts w:ascii="Times New Roman" w:hAnsi="Times New Roman" w:cs="Times New Roman"/>
          <w:b/>
          <w:sz w:val="24"/>
          <w:szCs w:val="21"/>
        </w:rPr>
        <w:t xml:space="preserve">. </w:t>
      </w:r>
    </w:p>
    <w:p w14:paraId="198DA1B9" w14:textId="77777777" w:rsidR="00E2645C" w:rsidRPr="009F5747" w:rsidRDefault="00E2645C" w:rsidP="00E2645C">
      <w:pPr>
        <w:spacing w:beforeLines="50" w:before="156" w:afterLines="50" w:after="156" w:line="480" w:lineRule="auto"/>
        <w:rPr>
          <w:rFonts w:ascii="Times New Roman" w:hAnsi="Times New Roman" w:cs="Times New Roman"/>
          <w:sz w:val="24"/>
          <w:szCs w:val="21"/>
        </w:rPr>
      </w:pPr>
      <w:r w:rsidRPr="009F5747">
        <w:rPr>
          <w:rFonts w:ascii="Times New Roman" w:hAnsi="Times New Roman" w:cs="Times New Roman"/>
          <w:sz w:val="24"/>
          <w:szCs w:val="21"/>
        </w:rPr>
        <w:tab/>
        <w:t xml:space="preserve">To explore the molecular basis of inhibitory efficiency of </w:t>
      </w:r>
      <w:proofErr w:type="spellStart"/>
      <w:r w:rsidRPr="009F5747">
        <w:rPr>
          <w:rFonts w:ascii="Times New Roman" w:hAnsi="Times New Roman" w:cs="Times New Roman"/>
          <w:sz w:val="24"/>
          <w:szCs w:val="21"/>
        </w:rPr>
        <w:t>Azoramide</w:t>
      </w:r>
      <w:proofErr w:type="spellEnd"/>
      <w:r w:rsidRPr="009F5747">
        <w:rPr>
          <w:rFonts w:ascii="Times New Roman" w:hAnsi="Times New Roman" w:cs="Times New Roman"/>
          <w:sz w:val="24"/>
          <w:szCs w:val="21"/>
        </w:rPr>
        <w:t xml:space="preserve"> against GLP1R, as shown in Figure 1A, we used the </w:t>
      </w:r>
      <w:proofErr w:type="spellStart"/>
      <w:r w:rsidRPr="009F5747">
        <w:rPr>
          <w:rFonts w:ascii="Times New Roman" w:hAnsi="Times New Roman" w:cs="Times New Roman"/>
          <w:sz w:val="24"/>
          <w:szCs w:val="21"/>
        </w:rPr>
        <w:t>Autodock</w:t>
      </w:r>
      <w:proofErr w:type="spellEnd"/>
      <w:r w:rsidRPr="009F5747">
        <w:rPr>
          <w:rFonts w:ascii="Times New Roman" w:hAnsi="Times New Roman" w:cs="Times New Roman"/>
          <w:sz w:val="24"/>
          <w:szCs w:val="21"/>
        </w:rPr>
        <w:t xml:space="preserve"> software to predict the binding mode of </w:t>
      </w:r>
      <w:proofErr w:type="spellStart"/>
      <w:r w:rsidRPr="009F5747">
        <w:rPr>
          <w:rFonts w:ascii="Times New Roman" w:hAnsi="Times New Roman" w:cs="Times New Roman"/>
          <w:sz w:val="24"/>
          <w:szCs w:val="21"/>
        </w:rPr>
        <w:t>Azoramide</w:t>
      </w:r>
      <w:proofErr w:type="spellEnd"/>
      <w:r w:rsidRPr="009F5747">
        <w:rPr>
          <w:rFonts w:ascii="Times New Roman" w:hAnsi="Times New Roman" w:cs="Times New Roman"/>
          <w:sz w:val="24"/>
          <w:szCs w:val="21"/>
        </w:rPr>
        <w:t xml:space="preserve">. The results revealed that </w:t>
      </w:r>
      <w:proofErr w:type="spellStart"/>
      <w:r w:rsidRPr="009F5747">
        <w:rPr>
          <w:rFonts w:ascii="Times New Roman" w:hAnsi="Times New Roman" w:cs="Times New Roman"/>
          <w:sz w:val="24"/>
          <w:szCs w:val="21"/>
        </w:rPr>
        <w:t>Azoramide</w:t>
      </w:r>
      <w:proofErr w:type="spellEnd"/>
      <w:r w:rsidRPr="009F5747">
        <w:rPr>
          <w:rFonts w:ascii="Times New Roman" w:hAnsi="Times New Roman" w:cs="Times New Roman"/>
          <w:sz w:val="24"/>
          <w:szCs w:val="21"/>
        </w:rPr>
        <w:t xml:space="preserve"> showed a similar binding mode to the ligand from the crystal structure</w:t>
      </w:r>
      <w:r w:rsidR="00543763" w:rsidRPr="009F5747">
        <w:rPr>
          <w:rFonts w:ascii="Times New Roman" w:hAnsi="Times New Roman" w:cs="Times New Roman"/>
          <w:sz w:val="24"/>
          <w:szCs w:val="21"/>
        </w:rPr>
        <w:t xml:space="preserve"> (PDBID:3C5T)</w:t>
      </w:r>
      <w:r w:rsidRPr="009F5747">
        <w:rPr>
          <w:rFonts w:ascii="Times New Roman" w:hAnsi="Times New Roman" w:cs="Times New Roman"/>
          <w:sz w:val="24"/>
          <w:szCs w:val="21"/>
        </w:rPr>
        <w:fldChar w:fldCharType="begin"/>
      </w:r>
      <w:r w:rsidRPr="009F5747">
        <w:rPr>
          <w:rFonts w:ascii="Times New Roman" w:hAnsi="Times New Roman" w:cs="Times New Roman"/>
          <w:sz w:val="24"/>
          <w:szCs w:val="21"/>
        </w:rPr>
        <w:instrText xml:space="preserve"> ADDIN NE.Ref.{41790B2D-D195-4E4C-BCD7-CB7A93DF3BBB}</w:instrText>
      </w:r>
      <w:r w:rsidRPr="009F5747">
        <w:rPr>
          <w:rFonts w:ascii="Times New Roman" w:hAnsi="Times New Roman" w:cs="Times New Roman"/>
          <w:sz w:val="24"/>
          <w:szCs w:val="21"/>
        </w:rPr>
        <w:fldChar w:fldCharType="separate"/>
      </w:r>
      <w:r w:rsidR="00543763" w:rsidRPr="009F5747">
        <w:rPr>
          <w:rFonts w:ascii="Times New Roman" w:hAnsi="Times New Roman" w:cs="Times New Roman"/>
          <w:color w:val="080000"/>
          <w:kern w:val="0"/>
          <w:sz w:val="24"/>
          <w:szCs w:val="24"/>
        </w:rPr>
        <w:t>[1]</w:t>
      </w:r>
      <w:r w:rsidRPr="009F5747">
        <w:rPr>
          <w:rFonts w:ascii="Times New Roman" w:hAnsi="Times New Roman" w:cs="Times New Roman"/>
          <w:sz w:val="24"/>
          <w:szCs w:val="21"/>
        </w:rPr>
        <w:fldChar w:fldCharType="end"/>
      </w:r>
      <w:r w:rsidRPr="009F5747">
        <w:rPr>
          <w:rFonts w:ascii="Times New Roman" w:hAnsi="Times New Roman" w:cs="Times New Roman"/>
          <w:sz w:val="24"/>
          <w:szCs w:val="21"/>
        </w:rPr>
        <w:t>, and fitted well in the cofactor binding pocket (Figure A&amp;B</w:t>
      </w:r>
      <w:proofErr w:type="gramStart"/>
      <w:r w:rsidRPr="009F5747">
        <w:rPr>
          <w:rFonts w:ascii="Times New Roman" w:hAnsi="Times New Roman" w:cs="Times New Roman"/>
          <w:sz w:val="24"/>
          <w:szCs w:val="21"/>
        </w:rPr>
        <w:t>).The</w:t>
      </w:r>
      <w:proofErr w:type="gramEnd"/>
      <w:r w:rsidRPr="009F5747">
        <w:rPr>
          <w:rFonts w:ascii="Times New Roman" w:hAnsi="Times New Roman" w:cs="Times New Roman"/>
          <w:sz w:val="24"/>
          <w:szCs w:val="21"/>
        </w:rPr>
        <w:t xml:space="preserve"> further interaction analysis indicated that </w:t>
      </w:r>
      <w:proofErr w:type="spellStart"/>
      <w:r w:rsidRPr="009F5747">
        <w:rPr>
          <w:rFonts w:ascii="Times New Roman" w:hAnsi="Times New Roman" w:cs="Times New Roman"/>
          <w:sz w:val="24"/>
          <w:szCs w:val="21"/>
        </w:rPr>
        <w:t>Azoramide</w:t>
      </w:r>
      <w:proofErr w:type="spellEnd"/>
      <w:r w:rsidRPr="009F5747">
        <w:rPr>
          <w:rFonts w:ascii="Times New Roman" w:hAnsi="Times New Roman" w:cs="Times New Roman"/>
          <w:sz w:val="24"/>
          <w:szCs w:val="21"/>
        </w:rPr>
        <w:t xml:space="preserve"> binds tighter than the ligand in the X-ray structure. Two H-bonds were found between </w:t>
      </w:r>
      <w:proofErr w:type="spellStart"/>
      <w:r w:rsidRPr="009F5747">
        <w:rPr>
          <w:rFonts w:ascii="Times New Roman" w:hAnsi="Times New Roman" w:cs="Times New Roman"/>
          <w:sz w:val="24"/>
          <w:szCs w:val="21"/>
        </w:rPr>
        <w:t>Azoramide</w:t>
      </w:r>
      <w:proofErr w:type="spellEnd"/>
      <w:r w:rsidRPr="009F5747">
        <w:rPr>
          <w:rFonts w:ascii="Times New Roman" w:hAnsi="Times New Roman" w:cs="Times New Roman"/>
          <w:sz w:val="24"/>
          <w:szCs w:val="21"/>
        </w:rPr>
        <w:t xml:space="preserve"> and GLP1R (</w:t>
      </w:r>
      <w:proofErr w:type="gramStart"/>
      <w:r w:rsidRPr="009F5747">
        <w:rPr>
          <w:rFonts w:ascii="Times New Roman" w:hAnsi="Times New Roman" w:cs="Times New Roman"/>
          <w:sz w:val="24"/>
          <w:szCs w:val="21"/>
        </w:rPr>
        <w:t>Azoramide:N</w:t>
      </w:r>
      <w:proofErr w:type="gramEnd"/>
      <w:r w:rsidRPr="009F5747">
        <w:rPr>
          <w:rFonts w:ascii="Times New Roman" w:hAnsi="Times New Roman" w:cs="Times New Roman"/>
          <w:sz w:val="24"/>
          <w:szCs w:val="21"/>
        </w:rPr>
        <w:t xml:space="preserve">1 to ASN82:OD1 and Azoramide:O1 to TYR101:OH) (Fig 1 A). A π-π cation interaction was found between the </w:t>
      </w:r>
      <w:proofErr w:type="spellStart"/>
      <w:r w:rsidRPr="009F5747">
        <w:rPr>
          <w:rFonts w:ascii="Times New Roman" w:hAnsi="Times New Roman" w:cs="Times New Roman"/>
          <w:sz w:val="24"/>
          <w:szCs w:val="21"/>
        </w:rPr>
        <w:t>Phe</w:t>
      </w:r>
      <w:proofErr w:type="spellEnd"/>
      <w:r w:rsidRPr="009F5747">
        <w:rPr>
          <w:rFonts w:ascii="Times New Roman" w:hAnsi="Times New Roman" w:cs="Times New Roman"/>
          <w:sz w:val="24"/>
          <w:szCs w:val="21"/>
        </w:rPr>
        <w:t xml:space="preserve"> ring of </w:t>
      </w:r>
      <w:proofErr w:type="spellStart"/>
      <w:r w:rsidRPr="009F5747">
        <w:rPr>
          <w:rFonts w:ascii="Times New Roman" w:hAnsi="Times New Roman" w:cs="Times New Roman"/>
          <w:sz w:val="24"/>
          <w:szCs w:val="21"/>
        </w:rPr>
        <w:t>Azoramide</w:t>
      </w:r>
      <w:proofErr w:type="spellEnd"/>
      <w:r w:rsidRPr="009F5747">
        <w:rPr>
          <w:rFonts w:ascii="Times New Roman" w:hAnsi="Times New Roman" w:cs="Times New Roman"/>
          <w:sz w:val="24"/>
          <w:szCs w:val="21"/>
        </w:rPr>
        <w:t xml:space="preserve"> and the </w:t>
      </w:r>
      <w:proofErr w:type="spellStart"/>
      <w:r w:rsidRPr="009F5747">
        <w:rPr>
          <w:rFonts w:ascii="Times New Roman" w:hAnsi="Times New Roman" w:cs="Times New Roman"/>
          <w:sz w:val="24"/>
          <w:szCs w:val="21"/>
        </w:rPr>
        <w:t>Phe</w:t>
      </w:r>
      <w:proofErr w:type="spellEnd"/>
      <w:r w:rsidRPr="009F5747">
        <w:rPr>
          <w:rFonts w:ascii="Times New Roman" w:hAnsi="Times New Roman" w:cs="Times New Roman"/>
          <w:sz w:val="24"/>
          <w:szCs w:val="21"/>
        </w:rPr>
        <w:t xml:space="preserve"> ring of PHE80 (Fig 1B</w:t>
      </w:r>
      <w:proofErr w:type="gramStart"/>
      <w:r w:rsidRPr="009F5747">
        <w:rPr>
          <w:rFonts w:ascii="Times New Roman" w:hAnsi="Times New Roman" w:cs="Times New Roman"/>
          <w:sz w:val="24"/>
          <w:szCs w:val="21"/>
        </w:rPr>
        <w:t>).It</w:t>
      </w:r>
      <w:proofErr w:type="gramEnd"/>
      <w:r w:rsidRPr="009F5747">
        <w:rPr>
          <w:rFonts w:ascii="Times New Roman" w:hAnsi="Times New Roman" w:cs="Times New Roman"/>
          <w:sz w:val="24"/>
          <w:szCs w:val="21"/>
        </w:rPr>
        <w:t xml:space="preserve"> might stabilize </w:t>
      </w:r>
      <w:proofErr w:type="spellStart"/>
      <w:r w:rsidRPr="009F5747">
        <w:rPr>
          <w:rFonts w:ascii="Times New Roman" w:hAnsi="Times New Roman" w:cs="Times New Roman"/>
          <w:sz w:val="24"/>
          <w:szCs w:val="21"/>
        </w:rPr>
        <w:t>Azoramide</w:t>
      </w:r>
      <w:proofErr w:type="spellEnd"/>
      <w:r w:rsidRPr="009F5747">
        <w:rPr>
          <w:rFonts w:ascii="Times New Roman" w:hAnsi="Times New Roman" w:cs="Times New Roman"/>
          <w:sz w:val="24"/>
          <w:szCs w:val="21"/>
        </w:rPr>
        <w:t xml:space="preserve"> in the hydrophobic grove made by TRP120 and the nearby residues</w:t>
      </w:r>
      <w:r w:rsidR="00543763" w:rsidRPr="009F5747">
        <w:rPr>
          <w:rFonts w:ascii="Times New Roman" w:hAnsi="Times New Roman" w:cs="Times New Roman"/>
          <w:sz w:val="24"/>
          <w:szCs w:val="21"/>
        </w:rPr>
        <w:fldChar w:fldCharType="begin"/>
      </w:r>
      <w:r w:rsidR="00543763" w:rsidRPr="009F5747">
        <w:rPr>
          <w:rFonts w:ascii="Times New Roman" w:hAnsi="Times New Roman" w:cs="Times New Roman"/>
          <w:sz w:val="24"/>
          <w:szCs w:val="21"/>
        </w:rPr>
        <w:instrText xml:space="preserve"> ADDIN NE.Ref.{49F853B5-0C0A-4A5C-BA3E-D7BD583213CE}</w:instrText>
      </w:r>
      <w:r w:rsidR="00543763" w:rsidRPr="009F5747">
        <w:rPr>
          <w:rFonts w:ascii="Times New Roman" w:hAnsi="Times New Roman" w:cs="Times New Roman"/>
          <w:sz w:val="24"/>
          <w:szCs w:val="21"/>
        </w:rPr>
        <w:fldChar w:fldCharType="separate"/>
      </w:r>
      <w:r w:rsidR="00543763" w:rsidRPr="009F5747">
        <w:rPr>
          <w:rFonts w:ascii="Times New Roman" w:hAnsi="Times New Roman" w:cs="Times New Roman"/>
          <w:color w:val="080000"/>
          <w:kern w:val="0"/>
          <w:sz w:val="24"/>
          <w:szCs w:val="24"/>
        </w:rPr>
        <w:t>[2]</w:t>
      </w:r>
      <w:r w:rsidR="00543763" w:rsidRPr="009F5747">
        <w:rPr>
          <w:rFonts w:ascii="Times New Roman" w:hAnsi="Times New Roman" w:cs="Times New Roman"/>
          <w:sz w:val="24"/>
          <w:szCs w:val="21"/>
        </w:rPr>
        <w:fldChar w:fldCharType="end"/>
      </w:r>
      <w:r w:rsidRPr="009F5747">
        <w:rPr>
          <w:rFonts w:ascii="Times New Roman" w:hAnsi="Times New Roman" w:cs="Times New Roman"/>
          <w:sz w:val="24"/>
          <w:szCs w:val="21"/>
        </w:rPr>
        <w:t>.</w:t>
      </w:r>
    </w:p>
    <w:p w14:paraId="6981EC4E" w14:textId="77777777" w:rsidR="00E2645C" w:rsidRPr="009F5747" w:rsidRDefault="00E2645C" w:rsidP="00E2645C">
      <w:pPr>
        <w:spacing w:beforeLines="50" w:before="156" w:afterLines="50" w:after="156" w:line="480" w:lineRule="auto"/>
        <w:rPr>
          <w:rFonts w:ascii="Times New Roman" w:hAnsi="Times New Roman" w:cs="Times New Roman"/>
          <w:sz w:val="24"/>
          <w:szCs w:val="21"/>
        </w:rPr>
      </w:pPr>
      <w:r w:rsidRPr="009F5747">
        <w:rPr>
          <w:rFonts w:ascii="Times New Roman" w:hAnsi="Times New Roman" w:cs="Times New Roman"/>
          <w:sz w:val="24"/>
          <w:szCs w:val="21"/>
        </w:rPr>
        <w:t xml:space="preserve">  Molecular Docking Based Virtual Screening.</w:t>
      </w:r>
    </w:p>
    <w:p w14:paraId="38534BB8" w14:textId="77777777" w:rsidR="00E2645C" w:rsidRPr="009F5747" w:rsidRDefault="00E2645C" w:rsidP="00E2645C">
      <w:pPr>
        <w:spacing w:beforeLines="50" w:before="156" w:afterLines="50" w:after="156" w:line="480" w:lineRule="auto"/>
        <w:rPr>
          <w:rFonts w:ascii="Times New Roman" w:hAnsi="Times New Roman" w:cs="Times New Roman"/>
          <w:sz w:val="24"/>
          <w:szCs w:val="21"/>
        </w:rPr>
      </w:pPr>
      <w:r w:rsidRPr="009F5747">
        <w:rPr>
          <w:rFonts w:ascii="Times New Roman" w:hAnsi="Times New Roman" w:cs="Times New Roman"/>
          <w:sz w:val="24"/>
          <w:szCs w:val="21"/>
        </w:rPr>
        <w:tab/>
        <w:t xml:space="preserve">We employed theAutodockv4.2 program to perform the molecular docking studies to predict the binding between the GLP1R and </w:t>
      </w:r>
      <w:proofErr w:type="spellStart"/>
      <w:r w:rsidRPr="009F5747">
        <w:rPr>
          <w:rFonts w:ascii="Times New Roman" w:hAnsi="Times New Roman" w:cs="Times New Roman"/>
          <w:sz w:val="24"/>
          <w:szCs w:val="21"/>
        </w:rPr>
        <w:t>Azoramide</w:t>
      </w:r>
      <w:proofErr w:type="spellEnd"/>
      <w:r w:rsidRPr="009F5747">
        <w:rPr>
          <w:rFonts w:ascii="Times New Roman" w:hAnsi="Times New Roman" w:cs="Times New Roman"/>
          <w:sz w:val="24"/>
          <w:szCs w:val="21"/>
        </w:rPr>
        <w:t xml:space="preserve">. The ligand compound, </w:t>
      </w:r>
      <w:proofErr w:type="spellStart"/>
      <w:r w:rsidRPr="009F5747">
        <w:rPr>
          <w:rFonts w:ascii="Times New Roman" w:hAnsi="Times New Roman" w:cs="Times New Roman"/>
          <w:sz w:val="24"/>
          <w:szCs w:val="21"/>
        </w:rPr>
        <w:t>Azoramide</w:t>
      </w:r>
      <w:proofErr w:type="spellEnd"/>
      <w:r w:rsidRPr="009F5747">
        <w:rPr>
          <w:rFonts w:ascii="Times New Roman" w:hAnsi="Times New Roman" w:cs="Times New Roman"/>
          <w:sz w:val="24"/>
          <w:szCs w:val="21"/>
        </w:rPr>
        <w:t xml:space="preserve">, was drawn by </w:t>
      </w:r>
      <w:proofErr w:type="spellStart"/>
      <w:r w:rsidRPr="009F5747">
        <w:rPr>
          <w:rFonts w:ascii="Times New Roman" w:hAnsi="Times New Roman" w:cs="Times New Roman"/>
          <w:sz w:val="24"/>
          <w:szCs w:val="21"/>
        </w:rPr>
        <w:t>Chemdraw</w:t>
      </w:r>
      <w:proofErr w:type="spellEnd"/>
      <w:r w:rsidRPr="009F5747">
        <w:rPr>
          <w:rFonts w:ascii="Times New Roman" w:hAnsi="Times New Roman" w:cs="Times New Roman"/>
          <w:sz w:val="24"/>
          <w:szCs w:val="21"/>
        </w:rPr>
        <w:t xml:space="preserve">, and optimized by Chem3D with force field FF94. The charges were then automatically assigned by Chem3D, and ligand root was automatically detected by </w:t>
      </w:r>
      <w:r w:rsidRPr="009F5747">
        <w:rPr>
          <w:rFonts w:ascii="Times New Roman" w:hAnsi="Times New Roman" w:cs="Times New Roman"/>
          <w:sz w:val="24"/>
          <w:szCs w:val="21"/>
        </w:rPr>
        <w:lastRenderedPageBreak/>
        <w:t xml:space="preserve">Autodockv4.2. The preparation of receptor was followed as (a) The structure of the receptor protein was obtained from the X-ray structure of GLP1R (PDBID: 3C59, chain </w:t>
      </w:r>
      <w:proofErr w:type="gramStart"/>
      <w:r w:rsidRPr="009F5747">
        <w:rPr>
          <w:rFonts w:ascii="Times New Roman" w:hAnsi="Times New Roman" w:cs="Times New Roman"/>
          <w:sz w:val="24"/>
          <w:szCs w:val="21"/>
        </w:rPr>
        <w:t>A )</w:t>
      </w:r>
      <w:proofErr w:type="gramEnd"/>
      <w:r w:rsidR="00543763" w:rsidRPr="009F5747">
        <w:rPr>
          <w:rFonts w:ascii="Times New Roman" w:hAnsi="Times New Roman" w:cs="Times New Roman"/>
          <w:sz w:val="24"/>
          <w:szCs w:val="21"/>
        </w:rPr>
        <w:fldChar w:fldCharType="begin"/>
      </w:r>
      <w:r w:rsidR="00543763" w:rsidRPr="009F5747">
        <w:rPr>
          <w:rFonts w:ascii="Times New Roman" w:hAnsi="Times New Roman" w:cs="Times New Roman"/>
          <w:sz w:val="24"/>
          <w:szCs w:val="21"/>
        </w:rPr>
        <w:instrText xml:space="preserve"> ADDIN NE.Ref.{B3DE2745-BAE5-4B24-BE88-C80274CA360B}</w:instrText>
      </w:r>
      <w:r w:rsidR="00543763" w:rsidRPr="009F5747">
        <w:rPr>
          <w:rFonts w:ascii="Times New Roman" w:hAnsi="Times New Roman" w:cs="Times New Roman"/>
          <w:sz w:val="24"/>
          <w:szCs w:val="21"/>
        </w:rPr>
        <w:fldChar w:fldCharType="separate"/>
      </w:r>
      <w:r w:rsidR="00543763" w:rsidRPr="009F5747">
        <w:rPr>
          <w:rFonts w:ascii="Times New Roman" w:hAnsi="Times New Roman" w:cs="Times New Roman"/>
          <w:color w:val="080000"/>
          <w:kern w:val="0"/>
          <w:sz w:val="24"/>
          <w:szCs w:val="24"/>
        </w:rPr>
        <w:t>[1]</w:t>
      </w:r>
      <w:r w:rsidR="00543763" w:rsidRPr="009F5747">
        <w:rPr>
          <w:rFonts w:ascii="Times New Roman" w:hAnsi="Times New Roman" w:cs="Times New Roman"/>
          <w:sz w:val="24"/>
          <w:szCs w:val="21"/>
        </w:rPr>
        <w:fldChar w:fldCharType="end"/>
      </w:r>
      <w:r w:rsidRPr="009F5747">
        <w:rPr>
          <w:rFonts w:ascii="Times New Roman" w:hAnsi="Times New Roman" w:cs="Times New Roman"/>
          <w:sz w:val="24"/>
          <w:szCs w:val="21"/>
        </w:rPr>
        <w:t xml:space="preserve">. Water and ions were deleted manually. (b) The protonation state of the protein was prepared by Autodockv4.2. Flexible residue was set to TYR 101, and rest of the protein was set to rigid body. The default genetic algorithm was used to perform the </w:t>
      </w:r>
      <w:proofErr w:type="spellStart"/>
      <w:r w:rsidRPr="009F5747">
        <w:rPr>
          <w:rFonts w:ascii="Times New Roman" w:hAnsi="Times New Roman" w:cs="Times New Roman"/>
          <w:sz w:val="24"/>
          <w:szCs w:val="21"/>
        </w:rPr>
        <w:t>autodock</w:t>
      </w:r>
      <w:proofErr w:type="spellEnd"/>
      <w:r w:rsidRPr="009F5747">
        <w:rPr>
          <w:rFonts w:ascii="Times New Roman" w:hAnsi="Times New Roman" w:cs="Times New Roman"/>
          <w:sz w:val="24"/>
          <w:szCs w:val="21"/>
        </w:rPr>
        <w:t>, and the ligand pose with the highest score was saved for further analysis.</w:t>
      </w:r>
    </w:p>
    <w:p w14:paraId="6E8CB472" w14:textId="106A925B" w:rsidR="00E2645C" w:rsidRPr="009F5747" w:rsidRDefault="00C94911" w:rsidP="00C94911">
      <w:pPr>
        <w:spacing w:beforeLines="50" w:before="156" w:afterLines="50" w:after="156" w:line="480" w:lineRule="auto"/>
        <w:jc w:val="center"/>
        <w:rPr>
          <w:rFonts w:ascii="Times New Roman" w:hAnsi="Times New Roman" w:cs="Times New Roman"/>
          <w:b/>
          <w:sz w:val="24"/>
          <w:szCs w:val="21"/>
        </w:rPr>
      </w:pPr>
      <w:r>
        <w:rPr>
          <w:noProof/>
        </w:rPr>
        <w:drawing>
          <wp:inline distT="0" distB="0" distL="0" distR="0" wp14:anchorId="52BB616A" wp14:editId="14F6FB13">
            <wp:extent cx="5731510" cy="2290445"/>
            <wp:effectExtent l="0" t="0" r="2540" b="0"/>
            <wp:docPr id="1515459627"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731510" cy="2290445"/>
                    </a:xfrm>
                    <a:prstGeom prst="rect">
                      <a:avLst/>
                    </a:prstGeom>
                    <a:noFill/>
                    <a:ln>
                      <a:noFill/>
                    </a:ln>
                  </pic:spPr>
                </pic:pic>
              </a:graphicData>
            </a:graphic>
          </wp:inline>
        </w:drawing>
      </w:r>
    </w:p>
    <w:p w14:paraId="26F37B1E" w14:textId="77777777" w:rsidR="00E2645C" w:rsidRPr="009F5747" w:rsidRDefault="00E2645C" w:rsidP="00E2645C">
      <w:pPr>
        <w:spacing w:beforeLines="50" w:before="156" w:afterLines="50" w:after="156" w:line="480" w:lineRule="auto"/>
        <w:rPr>
          <w:rFonts w:ascii="Times New Roman" w:hAnsi="Times New Roman" w:cs="Times New Roman"/>
          <w:b/>
          <w:sz w:val="24"/>
          <w:szCs w:val="21"/>
        </w:rPr>
      </w:pPr>
      <w:r w:rsidRPr="009F5747">
        <w:rPr>
          <w:rFonts w:ascii="Times New Roman" w:hAnsi="Times New Roman" w:cs="Times New Roman" w:hint="eastAsia"/>
          <w:b/>
          <w:sz w:val="24"/>
          <w:szCs w:val="21"/>
        </w:rPr>
        <w:t>Figure</w:t>
      </w:r>
      <w:r w:rsidRPr="009F5747">
        <w:rPr>
          <w:rFonts w:ascii="Times New Roman" w:hAnsi="Times New Roman" w:cs="Times New Roman"/>
          <w:b/>
          <w:sz w:val="24"/>
          <w:szCs w:val="21"/>
        </w:rPr>
        <w:t xml:space="preserve"> </w:t>
      </w:r>
      <w:r w:rsidRPr="009F5747">
        <w:rPr>
          <w:rFonts w:ascii="Times New Roman" w:hAnsi="Times New Roman" w:cs="Times New Roman" w:hint="eastAsia"/>
          <w:b/>
          <w:sz w:val="24"/>
          <w:szCs w:val="21"/>
        </w:rPr>
        <w:t>Legend</w:t>
      </w:r>
    </w:p>
    <w:p w14:paraId="65C6F18F" w14:textId="77777777" w:rsidR="00E2645C" w:rsidRPr="009F5747" w:rsidRDefault="00E2645C" w:rsidP="00E2645C">
      <w:pPr>
        <w:spacing w:beforeLines="50" w:before="156" w:afterLines="50" w:after="156" w:line="480" w:lineRule="auto"/>
        <w:rPr>
          <w:rFonts w:ascii="Times New Roman" w:hAnsi="Times New Roman" w:cs="Times New Roman"/>
          <w:sz w:val="24"/>
          <w:szCs w:val="21"/>
        </w:rPr>
      </w:pPr>
      <w:r w:rsidRPr="009F5747">
        <w:rPr>
          <w:rFonts w:ascii="Times New Roman" w:hAnsi="Times New Roman" w:cs="Times New Roman"/>
          <w:sz w:val="24"/>
          <w:szCs w:val="21"/>
        </w:rPr>
        <w:t xml:space="preserve">Fig </w:t>
      </w:r>
      <w:r w:rsidRPr="009F5747">
        <w:rPr>
          <w:rFonts w:ascii="Times New Roman" w:hAnsi="Times New Roman" w:cs="Times New Roman" w:hint="eastAsia"/>
          <w:sz w:val="24"/>
          <w:szCs w:val="21"/>
        </w:rPr>
        <w:t>S</w:t>
      </w:r>
      <w:r w:rsidRPr="009F5747">
        <w:rPr>
          <w:rFonts w:ascii="Times New Roman" w:hAnsi="Times New Roman" w:cs="Times New Roman"/>
          <w:sz w:val="24"/>
          <w:szCs w:val="21"/>
        </w:rPr>
        <w:t xml:space="preserve">1 The docked </w:t>
      </w:r>
      <w:proofErr w:type="spellStart"/>
      <w:r w:rsidRPr="009F5747">
        <w:rPr>
          <w:rFonts w:ascii="Times New Roman" w:hAnsi="Times New Roman" w:cs="Times New Roman"/>
          <w:sz w:val="24"/>
          <w:szCs w:val="21"/>
        </w:rPr>
        <w:t>Azoramide</w:t>
      </w:r>
      <w:proofErr w:type="spellEnd"/>
      <w:r w:rsidRPr="009F5747">
        <w:rPr>
          <w:rFonts w:ascii="Times New Roman" w:hAnsi="Times New Roman" w:cs="Times New Roman"/>
          <w:sz w:val="24"/>
          <w:szCs w:val="21"/>
        </w:rPr>
        <w:t xml:space="preserve"> bound to GLP1R in comparison to the crystal structure (PDBID:3IOL). (A) The detail ligand interactions between </w:t>
      </w:r>
      <w:proofErr w:type="spellStart"/>
      <w:r w:rsidRPr="009F5747">
        <w:rPr>
          <w:rFonts w:ascii="Times New Roman" w:hAnsi="Times New Roman" w:cs="Times New Roman"/>
          <w:sz w:val="24"/>
          <w:szCs w:val="21"/>
        </w:rPr>
        <w:t>Azoramide</w:t>
      </w:r>
      <w:proofErr w:type="spellEnd"/>
      <w:r w:rsidRPr="009F5747">
        <w:rPr>
          <w:rFonts w:ascii="Times New Roman" w:hAnsi="Times New Roman" w:cs="Times New Roman"/>
          <w:sz w:val="24"/>
          <w:szCs w:val="21"/>
        </w:rPr>
        <w:t xml:space="preserve"> and GLP1R. (B) The </w:t>
      </w:r>
      <w:proofErr w:type="spellStart"/>
      <w:r w:rsidRPr="009F5747">
        <w:rPr>
          <w:rFonts w:ascii="Times New Roman" w:hAnsi="Times New Roman" w:cs="Times New Roman"/>
          <w:sz w:val="24"/>
          <w:szCs w:val="21"/>
        </w:rPr>
        <w:t>Azoramidebinds</w:t>
      </w:r>
      <w:proofErr w:type="spellEnd"/>
      <w:r w:rsidRPr="009F5747">
        <w:rPr>
          <w:rFonts w:ascii="Times New Roman" w:hAnsi="Times New Roman" w:cs="Times New Roman"/>
          <w:sz w:val="24"/>
          <w:szCs w:val="21"/>
        </w:rPr>
        <w:t xml:space="preserve"> inside the grove of the cofactor binding pocket. The GLP1R is shown in green cartoon. The carbon atoms of </w:t>
      </w:r>
      <w:proofErr w:type="spellStart"/>
      <w:r w:rsidRPr="009F5747">
        <w:rPr>
          <w:rFonts w:ascii="Times New Roman" w:hAnsi="Times New Roman" w:cs="Times New Roman"/>
          <w:sz w:val="24"/>
          <w:szCs w:val="21"/>
        </w:rPr>
        <w:t>Azoramide</w:t>
      </w:r>
      <w:proofErr w:type="spellEnd"/>
      <w:r w:rsidRPr="009F5747">
        <w:rPr>
          <w:rFonts w:ascii="Times New Roman" w:hAnsi="Times New Roman" w:cs="Times New Roman"/>
          <w:sz w:val="24"/>
          <w:szCs w:val="21"/>
        </w:rPr>
        <w:t xml:space="preserve"> </w:t>
      </w:r>
      <w:proofErr w:type="gramStart"/>
      <w:r w:rsidRPr="009F5747">
        <w:rPr>
          <w:rFonts w:ascii="Times New Roman" w:hAnsi="Times New Roman" w:cs="Times New Roman"/>
          <w:sz w:val="24"/>
          <w:szCs w:val="21"/>
        </w:rPr>
        <w:t>is</w:t>
      </w:r>
      <w:proofErr w:type="gramEnd"/>
      <w:r w:rsidRPr="009F5747">
        <w:rPr>
          <w:rFonts w:ascii="Times New Roman" w:hAnsi="Times New Roman" w:cs="Times New Roman"/>
          <w:sz w:val="24"/>
          <w:szCs w:val="21"/>
        </w:rPr>
        <w:t xml:space="preserve"> shown in cyan sticks, and that of the ligand from the crystal structure (PDBID: 3IOL, decyl 4-O-alpha-D-glucopyranosyl-1-thio-beta- D-glucopyranoside) is in magenta. The nearby residues around the ligand were shown in green sticks, too. The electronic surface areas were shown in the panel B by the use of PDB2PQR server with APBS plug in </w:t>
      </w:r>
      <w:proofErr w:type="spellStart"/>
      <w:r w:rsidRPr="009F5747">
        <w:rPr>
          <w:rFonts w:ascii="Times New Roman" w:hAnsi="Times New Roman" w:cs="Times New Roman"/>
          <w:sz w:val="24"/>
          <w:szCs w:val="21"/>
        </w:rPr>
        <w:t>Pymol</w:t>
      </w:r>
      <w:proofErr w:type="spellEnd"/>
      <w:r w:rsidRPr="009F5747">
        <w:rPr>
          <w:rFonts w:ascii="Times New Roman" w:hAnsi="Times New Roman" w:cs="Times New Roman"/>
          <w:sz w:val="24"/>
          <w:szCs w:val="21"/>
        </w:rPr>
        <w:t xml:space="preserve">. The electrostatic unit in the bottom legend of panel B is in </w:t>
      </w:r>
      <w:proofErr w:type="spellStart"/>
      <w:r w:rsidRPr="009F5747">
        <w:rPr>
          <w:rFonts w:ascii="Times New Roman" w:hAnsi="Times New Roman" w:cs="Times New Roman"/>
          <w:sz w:val="24"/>
          <w:szCs w:val="21"/>
        </w:rPr>
        <w:lastRenderedPageBreak/>
        <w:t>kT.</w:t>
      </w:r>
      <w:proofErr w:type="spellEnd"/>
    </w:p>
    <w:p w14:paraId="1C2DD59D" w14:textId="77777777" w:rsidR="00543763" w:rsidRDefault="00E2645C" w:rsidP="00543763">
      <w:pPr>
        <w:autoSpaceDE w:val="0"/>
        <w:autoSpaceDN w:val="0"/>
        <w:adjustRightInd w:val="0"/>
        <w:jc w:val="left"/>
        <w:rPr>
          <w:rFonts w:ascii="Times New Roman" w:hAnsi="Times New Roman" w:cs="Times New Roman"/>
          <w:kern w:val="0"/>
          <w:sz w:val="24"/>
          <w:szCs w:val="24"/>
        </w:rPr>
      </w:pPr>
      <w:r>
        <w:rPr>
          <w:rFonts w:ascii="Times New Roman" w:hAnsi="Times New Roman" w:cs="Times New Roman"/>
          <w:sz w:val="32"/>
          <w:szCs w:val="24"/>
        </w:rPr>
        <w:fldChar w:fldCharType="begin"/>
      </w:r>
      <w:r>
        <w:rPr>
          <w:rFonts w:ascii="Times New Roman" w:hAnsi="Times New Roman" w:cs="Times New Roman"/>
          <w:sz w:val="32"/>
          <w:szCs w:val="24"/>
        </w:rPr>
        <w:instrText xml:space="preserve"> ADDIN NE.Bib</w:instrText>
      </w:r>
      <w:r>
        <w:rPr>
          <w:rFonts w:ascii="Times New Roman" w:hAnsi="Times New Roman" w:cs="Times New Roman"/>
          <w:sz w:val="32"/>
          <w:szCs w:val="24"/>
        </w:rPr>
        <w:fldChar w:fldCharType="separate"/>
      </w:r>
    </w:p>
    <w:p w14:paraId="2568B9A2" w14:textId="77777777" w:rsidR="00543763" w:rsidRPr="009F5747" w:rsidRDefault="00543763" w:rsidP="00543763">
      <w:pPr>
        <w:autoSpaceDE w:val="0"/>
        <w:autoSpaceDN w:val="0"/>
        <w:adjustRightInd w:val="0"/>
        <w:jc w:val="center"/>
        <w:rPr>
          <w:rFonts w:ascii="Times New Roman" w:hAnsi="Times New Roman" w:cs="Times New Roman"/>
          <w:kern w:val="0"/>
          <w:szCs w:val="21"/>
        </w:rPr>
      </w:pPr>
      <w:r w:rsidRPr="009F5747">
        <w:rPr>
          <w:rFonts w:ascii="Times New Roman" w:hAnsi="Times New Roman" w:cs="Times New Roman"/>
          <w:b/>
          <w:bCs/>
          <w:color w:val="000000"/>
          <w:kern w:val="0"/>
          <w:sz w:val="32"/>
          <w:szCs w:val="32"/>
        </w:rPr>
        <w:t>References:</w:t>
      </w:r>
    </w:p>
    <w:p w14:paraId="3DA64E46" w14:textId="77777777" w:rsidR="00543763" w:rsidRDefault="00543763" w:rsidP="00543763">
      <w:pPr>
        <w:autoSpaceDE w:val="0"/>
        <w:autoSpaceDN w:val="0"/>
        <w:adjustRightInd w:val="0"/>
        <w:rPr>
          <w:rFonts w:ascii="Times New Roman" w:hAnsi="Times New Roman" w:cs="Times New Roman"/>
          <w:kern w:val="0"/>
          <w:sz w:val="24"/>
          <w:szCs w:val="24"/>
        </w:rPr>
      </w:pPr>
      <w:r>
        <w:rPr>
          <w:rFonts w:ascii="Times New Roman" w:hAnsi="Times New Roman" w:cs="Times New Roman"/>
          <w:color w:val="000000"/>
          <w:kern w:val="0"/>
          <w:sz w:val="20"/>
          <w:szCs w:val="20"/>
        </w:rPr>
        <w:t>1.</w:t>
      </w:r>
      <w:r>
        <w:rPr>
          <w:rFonts w:ascii="Times New Roman" w:hAnsi="Times New Roman" w:cs="Times New Roman"/>
          <w:color w:val="000000"/>
          <w:kern w:val="0"/>
          <w:sz w:val="20"/>
          <w:szCs w:val="20"/>
        </w:rPr>
        <w:tab/>
      </w:r>
      <w:bookmarkStart w:id="0" w:name="_nebF5D4125A_A731_4052_9E17_E767ED028FDF"/>
      <w:r>
        <w:rPr>
          <w:rFonts w:ascii="Times New Roman" w:hAnsi="Times New Roman" w:cs="Times New Roman"/>
          <w:color w:val="000000"/>
          <w:kern w:val="0"/>
          <w:sz w:val="20"/>
          <w:szCs w:val="20"/>
        </w:rPr>
        <w:t>Runge S, Thogersen H, Madsen K, Lau J, Rudolph R (2008) Crystal structure of the ligand-bound glucagon-like peptide-1 receptor extracellular domain. J Biol Chem 283, 11340-11347.</w:t>
      </w:r>
      <w:bookmarkEnd w:id="0"/>
    </w:p>
    <w:p w14:paraId="3015A5C7" w14:textId="77777777" w:rsidR="00543763" w:rsidRDefault="00543763" w:rsidP="00543763">
      <w:pPr>
        <w:autoSpaceDE w:val="0"/>
        <w:autoSpaceDN w:val="0"/>
        <w:adjustRightInd w:val="0"/>
        <w:rPr>
          <w:rFonts w:ascii="Times New Roman" w:hAnsi="Times New Roman" w:cs="Times New Roman"/>
          <w:kern w:val="0"/>
          <w:sz w:val="24"/>
          <w:szCs w:val="24"/>
        </w:rPr>
      </w:pPr>
      <w:r>
        <w:rPr>
          <w:rFonts w:ascii="Times New Roman" w:hAnsi="Times New Roman" w:cs="Times New Roman"/>
          <w:color w:val="000000"/>
          <w:kern w:val="0"/>
          <w:sz w:val="20"/>
          <w:szCs w:val="20"/>
        </w:rPr>
        <w:t>2.</w:t>
      </w:r>
      <w:r>
        <w:rPr>
          <w:rFonts w:ascii="Times New Roman" w:hAnsi="Times New Roman" w:cs="Times New Roman"/>
          <w:color w:val="000000"/>
          <w:kern w:val="0"/>
          <w:sz w:val="20"/>
          <w:szCs w:val="20"/>
        </w:rPr>
        <w:tab/>
        <w:t>Underwood CR, Garibay P, Knudsen LB, Hastrup S, Peters GH, Rudolph R, Reedtz-Runge S (2010) Crystal structure of glucagon-like peptide-1 in complex with the extracellular domain of the glucagon-like peptide-1 receptor. J Biol Chem 285, 723-730.</w:t>
      </w:r>
    </w:p>
    <w:p w14:paraId="49858EAC" w14:textId="5EB2386F" w:rsidR="00E2645C" w:rsidRPr="00E2645C" w:rsidRDefault="00E2645C" w:rsidP="00543763">
      <w:pPr>
        <w:autoSpaceDE w:val="0"/>
        <w:autoSpaceDN w:val="0"/>
        <w:adjustRightInd w:val="0"/>
        <w:jc w:val="left"/>
        <w:rPr>
          <w:rFonts w:ascii="Times New Roman" w:hAnsi="Times New Roman" w:cs="Times New Roman"/>
          <w:sz w:val="32"/>
          <w:szCs w:val="24"/>
        </w:rPr>
      </w:pPr>
      <w:r>
        <w:rPr>
          <w:rFonts w:ascii="Times New Roman" w:hAnsi="Times New Roman" w:cs="Times New Roman"/>
          <w:sz w:val="32"/>
          <w:szCs w:val="24"/>
        </w:rPr>
        <w:fldChar w:fldCharType="end"/>
      </w:r>
    </w:p>
    <w:sectPr w:rsidR="00E2645C" w:rsidRPr="00E2645C" w:rsidSect="009D1F79">
      <w:footerReference w:type="default" r:id="rId9"/>
      <w:pgSz w:w="11906" w:h="16838"/>
      <w:pgMar w:top="1440" w:right="1440" w:bottom="1440" w:left="1440" w:header="851" w:footer="992" w:gutter="0"/>
      <w:lnNumType w:countBy="1" w:restart="continuous"/>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27BFC257" w14:textId="77777777" w:rsidR="00F8277B" w:rsidRDefault="00F8277B" w:rsidP="00760F08">
      <w:r>
        <w:separator/>
      </w:r>
    </w:p>
  </w:endnote>
  <w:endnote w:type="continuationSeparator" w:id="0">
    <w:p w14:paraId="4CDEDFAD" w14:textId="77777777" w:rsidR="00F8277B" w:rsidRDefault="00F8277B" w:rsidP="00760F0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 w:name="AdvOTb92eb7df.I">
    <w:altName w:val="Times New Roman"/>
    <w:panose1 w:val="00000000000000000000"/>
    <w:charset w:val="00"/>
    <w:family w:val="roman"/>
    <w:notTrueType/>
    <w:pitch w:val="default"/>
  </w:font>
  <w:font w:name="Minion-Regular">
    <w:altName w:val="Times New Roman"/>
    <w:panose1 w:val="00000000000000000000"/>
    <w:charset w:val="00"/>
    <w:family w:val="roman"/>
    <w:notTrueType/>
    <w:pitch w:val="default"/>
  </w:font>
  <w:font w:name="AdvOT46dcae81+fb">
    <w:altName w:val="Times New Roman"/>
    <w:panose1 w:val="00000000000000000000"/>
    <w:charset w:val="00"/>
    <w:family w:val="roman"/>
    <w:notTrueType/>
    <w:pitch w:val="default"/>
  </w:font>
  <w:font w:name="AdvP7DA6">
    <w:altName w:val="Times New Roman"/>
    <w:panose1 w:val="00000000000000000000"/>
    <w:charset w:val="00"/>
    <w:family w:val="roman"/>
    <w:notTrueType/>
    <w:pitch w:val="default"/>
  </w:font>
  <w:font w:name="AdvOT1ef757c0+fb">
    <w:altName w:val="Times New Roman"/>
    <w:panose1 w:val="00000000000000000000"/>
    <w:charset w:val="00"/>
    <w:family w:val="roman"/>
    <w:notTrueType/>
    <w:pitch w:val="default"/>
  </w:font>
  <w:font w:name="AdvTT5235d5a9+20">
    <w:altName w:val="Times New Roman"/>
    <w:panose1 w:val="00000000000000000000"/>
    <w:charset w:val="00"/>
    <w:family w:val="roman"/>
    <w:notTrueType/>
    <w:pitch w:val="default"/>
  </w:font>
  <w:font w:name="Tahoma">
    <w:panose1 w:val="020B0604030504040204"/>
    <w:charset w:val="00"/>
    <w:family w:val="swiss"/>
    <w:pitch w:val="variable"/>
    <w:sig w:usb0="E1002EFF" w:usb1="C000605B" w:usb2="00000029" w:usb3="00000000" w:csb0="000101FF" w:csb1="00000000"/>
  </w:font>
  <w:font w:name="微软雅黑">
    <w:altName w:val="Microsoft YaHei"/>
    <w:panose1 w:val="020B0503020204020204"/>
    <w:charset w:val="86"/>
    <w:family w:val="swiss"/>
    <w:pitch w:val="variable"/>
    <w:sig w:usb0="80000287" w:usb1="2ACF3C50" w:usb2="00000016" w:usb3="00000000" w:csb0="0004001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1962382416"/>
      <w:docPartObj>
        <w:docPartGallery w:val="Page Numbers (Bottom of Page)"/>
        <w:docPartUnique/>
      </w:docPartObj>
    </w:sdtPr>
    <w:sdtContent>
      <w:p w14:paraId="6026A9C0" w14:textId="77777777" w:rsidR="00DE306E" w:rsidRDefault="00DE306E">
        <w:pPr>
          <w:pStyle w:val="a8"/>
          <w:jc w:val="center"/>
        </w:pPr>
        <w:r>
          <w:fldChar w:fldCharType="begin"/>
        </w:r>
        <w:r>
          <w:instrText>PAGE   \* MERGEFORMAT</w:instrText>
        </w:r>
        <w:r>
          <w:fldChar w:fldCharType="separate"/>
        </w:r>
        <w:r w:rsidR="00543763" w:rsidRPr="00543763">
          <w:rPr>
            <w:noProof/>
            <w:lang w:val="zh-CN"/>
          </w:rPr>
          <w:t>1</w:t>
        </w:r>
        <w:r>
          <w:rPr>
            <w:noProof/>
            <w:lang w:val="zh-CN"/>
          </w:rPr>
          <w:fldChar w:fldCharType="end"/>
        </w:r>
      </w:p>
    </w:sdtContent>
  </w:sdt>
  <w:p w14:paraId="464B0DF4" w14:textId="77777777" w:rsidR="00DE306E" w:rsidRDefault="00DE306E">
    <w:pPr>
      <w:pStyle w:val="a8"/>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5A3756DE" w14:textId="77777777" w:rsidR="00F8277B" w:rsidRDefault="00F8277B" w:rsidP="00760F08">
      <w:r>
        <w:separator/>
      </w:r>
    </w:p>
  </w:footnote>
  <w:footnote w:type="continuationSeparator" w:id="0">
    <w:p w14:paraId="31B745DF" w14:textId="77777777" w:rsidR="00F8277B" w:rsidRDefault="00F8277B" w:rsidP="00760F08">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3E9E032B"/>
    <w:multiLevelType w:val="multilevel"/>
    <w:tmpl w:val="6510818E"/>
    <w:lvl w:ilvl="0">
      <w:start w:val="1"/>
      <w:numFmt w:val="decimal"/>
      <w:lvlText w:val="%1."/>
      <w:lvlJc w:val="left"/>
      <w:pPr>
        <w:ind w:left="360" w:hanging="360"/>
      </w:pPr>
      <w:rPr>
        <w:rFonts w:hint="default"/>
      </w:rPr>
    </w:lvl>
    <w:lvl w:ilvl="1">
      <w:start w:val="6"/>
      <w:numFmt w:val="decimal"/>
      <w:isLgl/>
      <w:lvlText w:val="%1.%2."/>
      <w:lvlJc w:val="left"/>
      <w:pPr>
        <w:ind w:left="360" w:hanging="360"/>
      </w:pPr>
      <w:rPr>
        <w:rFonts w:hint="default"/>
        <w:b w:val="0"/>
      </w:rPr>
    </w:lvl>
    <w:lvl w:ilvl="2">
      <w:start w:val="1"/>
      <w:numFmt w:val="decimal"/>
      <w:isLgl/>
      <w:lvlText w:val="%1.%2.%3."/>
      <w:lvlJc w:val="left"/>
      <w:pPr>
        <w:ind w:left="720" w:hanging="720"/>
      </w:pPr>
      <w:rPr>
        <w:rFonts w:hint="default"/>
        <w:b/>
      </w:rPr>
    </w:lvl>
    <w:lvl w:ilvl="3">
      <w:start w:val="1"/>
      <w:numFmt w:val="decimal"/>
      <w:isLgl/>
      <w:lvlText w:val="%1.%2.%3.%4."/>
      <w:lvlJc w:val="left"/>
      <w:pPr>
        <w:ind w:left="720" w:hanging="720"/>
      </w:pPr>
      <w:rPr>
        <w:rFonts w:hint="default"/>
        <w:b/>
      </w:rPr>
    </w:lvl>
    <w:lvl w:ilvl="4">
      <w:start w:val="1"/>
      <w:numFmt w:val="decimal"/>
      <w:isLgl/>
      <w:lvlText w:val="%1.%2.%3.%4.%5."/>
      <w:lvlJc w:val="left"/>
      <w:pPr>
        <w:ind w:left="1080" w:hanging="1080"/>
      </w:pPr>
      <w:rPr>
        <w:rFonts w:hint="default"/>
        <w:b/>
      </w:rPr>
    </w:lvl>
    <w:lvl w:ilvl="5">
      <w:start w:val="1"/>
      <w:numFmt w:val="decimal"/>
      <w:isLgl/>
      <w:lvlText w:val="%1.%2.%3.%4.%5.%6."/>
      <w:lvlJc w:val="left"/>
      <w:pPr>
        <w:ind w:left="1080" w:hanging="1080"/>
      </w:pPr>
      <w:rPr>
        <w:rFonts w:hint="default"/>
        <w:b/>
      </w:rPr>
    </w:lvl>
    <w:lvl w:ilvl="6">
      <w:start w:val="1"/>
      <w:numFmt w:val="decimal"/>
      <w:isLgl/>
      <w:lvlText w:val="%1.%2.%3.%4.%5.%6.%7."/>
      <w:lvlJc w:val="left"/>
      <w:pPr>
        <w:ind w:left="1440" w:hanging="1440"/>
      </w:pPr>
      <w:rPr>
        <w:rFonts w:hint="default"/>
        <w:b/>
      </w:rPr>
    </w:lvl>
    <w:lvl w:ilvl="7">
      <w:start w:val="1"/>
      <w:numFmt w:val="decimal"/>
      <w:isLgl/>
      <w:lvlText w:val="%1.%2.%3.%4.%5.%6.%7.%8."/>
      <w:lvlJc w:val="left"/>
      <w:pPr>
        <w:ind w:left="1440" w:hanging="1440"/>
      </w:pPr>
      <w:rPr>
        <w:rFonts w:hint="default"/>
        <w:b/>
      </w:rPr>
    </w:lvl>
    <w:lvl w:ilvl="8">
      <w:start w:val="1"/>
      <w:numFmt w:val="decimal"/>
      <w:isLgl/>
      <w:lvlText w:val="%1.%2.%3.%4.%5.%6.%7.%8.%9."/>
      <w:lvlJc w:val="left"/>
      <w:pPr>
        <w:ind w:left="1800" w:hanging="1800"/>
      </w:pPr>
      <w:rPr>
        <w:rFonts w:hint="default"/>
        <w:b/>
      </w:rPr>
    </w:lvl>
  </w:abstractNum>
  <w:abstractNum w:abstractNumId="1" w15:restartNumberingAfterBreak="0">
    <w:nsid w:val="4BDB5876"/>
    <w:multiLevelType w:val="multilevel"/>
    <w:tmpl w:val="DB9A1C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74DF5E58"/>
    <w:multiLevelType w:val="multilevel"/>
    <w:tmpl w:val="54CEBA4A"/>
    <w:lvl w:ilvl="0">
      <w:start w:val="3"/>
      <w:numFmt w:val="decimal"/>
      <w:lvlText w:val="%1."/>
      <w:lvlJc w:val="left"/>
      <w:pPr>
        <w:ind w:left="360" w:hanging="360"/>
      </w:pPr>
      <w:rPr>
        <w:rFonts w:hint="default"/>
      </w:rPr>
    </w:lvl>
    <w:lvl w:ilvl="1">
      <w:start w:val="6"/>
      <w:numFmt w:val="decimal"/>
      <w:lvlText w:val="%1.%2."/>
      <w:lvlJc w:val="left"/>
      <w:pPr>
        <w:ind w:left="360" w:hanging="360"/>
      </w:pPr>
      <w:rPr>
        <w:rFonts w:hint="default"/>
      </w:rPr>
    </w:lvl>
    <w:lvl w:ilvl="2">
      <w:start w:val="1"/>
      <w:numFmt w:val="upperLetter"/>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num w:numId="1" w16cid:durableId="768696980">
    <w:abstractNumId w:val="0"/>
  </w:num>
  <w:num w:numId="2" w16cid:durableId="1611084541">
    <w:abstractNumId w:val="2"/>
  </w:num>
  <w:num w:numId="3" w16cid:durableId="119743098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3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InstantFormat" w:val="&lt;ENInstantFormat&gt;&lt;Enabled&gt;1&lt;/Enabled&gt;&lt;ScanUnformatted&gt;1&lt;/ScanUnformatted&gt;&lt;ScanChanges&gt;1&lt;/ScanChanges&gt;&lt;Suspended&gt;0&lt;/Suspended&gt;&lt;/ENInstantFormat&gt;"/>
    <w:docVar w:name="EN.Layout" w:val="&lt;ENLayout&gt;&lt;Style&gt;BMC Medicine Copy&lt;/Style&gt;&lt;LeftDelim&gt;{&lt;/LeftDelim&gt;&lt;RightDelim&gt;}&lt;/RightDelim&gt;&lt;FontName&gt;Calibri&lt;/FontName&gt;&lt;FontSize&gt;10&lt;/FontSize&gt;&lt;ReflistTitle&gt;&lt;/ReflistTitle&gt;&lt;StartingRefnum&gt;1&lt;/StartingRefnum&gt;&lt;FirstLineIndent&gt;0&lt;/FirstLineIndent&gt;&lt;HangingIndent&gt;720&lt;/HangingIndent&gt;&lt;LineSpacing&gt;0&lt;/LineSpacing&gt;&lt;SpaceAfter&gt;0&lt;/SpaceAfter&gt;&lt;HyperlinksEnabled&gt;1&lt;/HyperlinksEnabled&gt;&lt;HyperlinksVisible&gt;0&lt;/HyperlinksVisible&gt;&lt;EnableBibliographyCategories&gt;0&lt;/EnableBibliographyCategories&gt;&lt;/ENLayout&gt;"/>
    <w:docVar w:name="EN.Libraries" w:val="&lt;Libraries&gt;&lt;/Libraries&gt;"/>
    <w:docVar w:name="NE.Ref{094213CC-E700-4231-8E34-8C6EB72E60EC}" w:val=" ADDIN NE.Ref.{094213CC-E700-4231-8E34-8C6EB72E60EC}&lt;Citation&gt;&lt;Group&gt;&lt;References&gt;&lt;Item&gt;&lt;ID&gt;551&lt;/ID&gt;&lt;UID&gt;{1F6B9711-D6CA-4A24-9059-221A74C35102}&lt;/UID&gt;&lt;Title&gt;IP6K1 Reduces Mesenchymal Stem/Stromal Cell Fitness and Potentiates High Fat Diet-Induced Skeletal Involution&lt;/Title&gt;&lt;Template&gt;Journal Article&lt;/Template&gt;&lt;Star&gt;0&lt;/Star&gt;&lt;Tag&gt;0&lt;/Tag&gt;&lt;Author&gt;Boregowda, S V; Ghoshal, S; Booker, C N; Krishnappa, V; Chakraborty, A; Phinney, D G&lt;/Author&gt;&lt;Year&gt;2017&lt;/Year&gt;&lt;Details&gt;&lt;_accession_num&gt;28577302&lt;/_accession_num&gt;&lt;_author_adr&gt;Department of Molecular Medicine, The Scripps Research Institute-Scripps Florida, Jupiter, Florida, USA.; Department of Molecular Medicine, The Scripps Research Institute-Scripps Florida, Jupiter, Florida, USA.; Department of Molecular Medicine, The Scripps Research Institute-Scripps Florida, Jupiter, Florida, USA.; Department of Molecular Medicine, The Scripps Research Institute-Scripps Florida, Jupiter, Florida, USA.; Department of Molecular Medicine, The Scripps Research Institute-Scripps Florida, Jupiter, Florida, USA.; Department of Molecular Medicine, The Scripps Research Institute-Scripps Florida, Jupiter, Florida, USA.&lt;/_author_adr&gt;&lt;_date_display&gt;2017 Aug&lt;/_date_display&gt;&lt;_date&gt;2017-08-01&lt;/_date&gt;&lt;_doi&gt;10.1002/stem.2645&lt;/_doi&gt;&lt;_isbn&gt;1549-4918 (Electronic); 1066-5099 (Linking)&lt;/_isbn&gt;&lt;_issue&gt;8&lt;/_issue&gt;&lt;_journal&gt;Stem Cells&lt;/_journal&gt;&lt;_keywords&gt;Adipogenesis; Bone; High fat diet; Inositol hexakisphosphate kinase 1; Mesenchymal stem cells; Mesenchymal stromal cells; Osteogenesis&lt;/_keywords&gt;&lt;_language&gt;eng&lt;/_language&gt;&lt;_ori_publication&gt;(c) 2017 The Authors STEM CELLS published by Wiley Periodicals, Inc. on behalf of_x000d__x000a_      AlphaMed Press.&lt;/_ori_publication&gt;&lt;_pages&gt;1973-1983&lt;/_pages&gt;&lt;_tertiary_title&gt;Stem cells (Dayton, Ohio)&lt;/_tertiary_title&gt;&lt;_type_work&gt;Journal Article&lt;/_type_work&gt;&lt;_url&gt;http://www.ncbi.nlm.nih.gov/entrez/query.fcgi?cmd=Retrieve&amp;amp;db=pubmed&amp;amp;dopt=Abstract&amp;amp;list_uids=28577302&amp;amp;query_hl=1&lt;/_url&gt;&lt;_volume&gt;35&lt;/_volume&gt;&lt;_created&gt;62014714&lt;/_created&gt;&lt;_modified&gt;62014715&lt;/_modified&gt;&lt;_db_updated&gt;PubMed&lt;/_db_updated&gt;&lt;_impact_factor&gt;   5.599&lt;/_impact_factor&gt;&lt;_collection_scope&gt;SCI;SCIE;&lt;/_collection_scope&gt;&lt;/Details&gt;&lt;Extra&gt;&lt;DBUID&gt;{F96A950B-833F-4880-A151-76DA2D6A2879}&lt;/DBUID&gt;&lt;/Extra&gt;&lt;/Item&gt;&lt;/References&gt;&lt;/Group&gt;&lt;/Citation&gt;_x000a_"/>
    <w:docVar w:name="NE.Ref{41790B2D-D195-4E4C-BCD7-CB7A93DF3BBB}" w:val=" ADDIN NE.Ref.{41790B2D-D195-4E4C-BCD7-CB7A93DF3BBB}&lt;Citation&gt;&lt;Group&gt;&lt;References&gt;&lt;Item&gt;&lt;ID&gt;564&lt;/ID&gt;&lt;UID&gt;{F5D4125A-A731-4052-9E17-E767ED028FDF}&lt;/UID&gt;&lt;Title&gt;Crystal structure of the ligand-bound glucagon-like peptide-1 receptor extracellular domain&lt;/Title&gt;&lt;Template&gt;Journal Article&lt;/Template&gt;&lt;Star&gt;0&lt;/Star&gt;&lt;Tag&gt;0&lt;/Tag&gt;&lt;Author&gt;Runge, S; Thogersen, H; Madsen, K; Lau, J; Rudolph, R&lt;/Author&gt;&lt;Year&gt;2008&lt;/Year&gt;&lt;Details&gt;&lt;_accession_num&gt;18287102&lt;/_accession_num&gt;&lt;_author_adr&gt;Department of Structure and Biophysical Chemistry, Novo Nordisk, 2760 Malov, Denmark. sffr@novonordisk.com&lt;/_author_adr&gt;&lt;_date_display&gt;2008 Apr 25&lt;/_date_display&gt;&lt;_date&gt;2008-04-25&lt;/_date&gt;&lt;_doi&gt;10.1074/jbc.M708740200&lt;/_doi&gt;&lt;_isbn&gt;0021-9258 (Print); 0021-9258 (Linking)&lt;/_isbn&gt;&lt;_issue&gt;17&lt;/_issue&gt;&lt;_journal&gt;J Biol Chem&lt;/_journal&gt;&lt;_keywords&gt;Amino Acid Sequence; Cell Membrane/metabolism; Crystallography, X-Ray/methods; Glucagon-Like Peptide-1 Receptor; Humans; Insulin-Secreting Cells/metabolism; Ligands; Magnetic Resonance Spectroscopy; Molecular Sequence Data; Peptides/chemistry; Protein Binding; Protein Conformation; Protein Structure, Secondary; Receptors, Glucagon/chemistry/*physiology; Sequence Homology, Amino Acid; Tryptophan/chemistry; Venoms/chemistry&lt;/_keywords&gt;&lt;_language&gt;eng&lt;/_language&gt;&lt;_pages&gt;11340-7&lt;/_pages&gt;&lt;_tertiary_title&gt;The Journal of biological chemistry&lt;/_tertiary_title&gt;&lt;_type_work&gt;Journal Article; Research Support, Non-U.S. Gov&amp;apos;t&lt;/_type_work&gt;&lt;_url&gt;http://www.ncbi.nlm.nih.gov/entrez/query.fcgi?cmd=Retrieve&amp;amp;db=pubmed&amp;amp;dopt=Abstract&amp;amp;list_uids=18287102&amp;amp;query_hl=1&lt;/_url&gt;&lt;_volume&gt;283&lt;/_volume&gt;&lt;_created&gt;62149909&lt;/_created&gt;&lt;_modified&gt;62149909&lt;/_modified&gt;&lt;_db_updated&gt;PubMed&lt;/_db_updated&gt;&lt;_impact_factor&gt;   4.125&lt;/_impact_factor&gt;&lt;_collection_scope&gt;EI;SCI;SCIE;&lt;/_collection_scope&gt;&lt;/Details&gt;&lt;Extra&gt;&lt;DBUID&gt;{F96A950B-833F-4880-A151-76DA2D6A2879}&lt;/DBUID&gt;&lt;/Extra&gt;&lt;/Item&gt;&lt;/References&gt;&lt;/Group&gt;&lt;/Citation&gt;_x000a_"/>
    <w:docVar w:name="NE.Ref{49F853B5-0C0A-4A5C-BA3E-D7BD583213CE}" w:val=" ADDIN NE.Ref.{49F853B5-0C0A-4A5C-BA3E-D7BD583213CE}&lt;Citation&gt;&lt;Group&gt;&lt;References&gt;&lt;Item&gt;&lt;ID&gt;565&lt;/ID&gt;&lt;UID&gt;{4D5E8D77-C1B7-48D5-A533-871B23EC54D6}&lt;/UID&gt;&lt;Title&gt;Crystal structure of glucagon-like peptide-1 in complex with the extracellular domain of the glucagon-like peptide-1 receptor&lt;/Title&gt;&lt;Template&gt;Journal Article&lt;/Template&gt;&lt;Star&gt;0&lt;/Star&gt;&lt;Tag&gt;0&lt;/Tag&gt;&lt;Author&gt;Underwood, C R; Garibay, P; Knudsen, L B; Hastrup, S; Peters, G H; Rudolph, R; Reedtz-Runge, S&lt;/Author&gt;&lt;Year&gt;2010&lt;/Year&gt;&lt;Details&gt;&lt;_accession_num&gt;19861722&lt;/_accession_num&gt;&lt;_author_adr&gt;Department of GLP-1 and Obesity Biology, Novo Nordisk, 2760 Malov, Denmark.&lt;/_author_adr&gt;&lt;_date_display&gt;2010 Jan 1&lt;/_date_display&gt;&lt;_date&gt;2010-01-01&lt;/_date&gt;&lt;_doi&gt;10.1074/jbc.M109.033829&lt;/_doi&gt;&lt;_isbn&gt;1083-351X (Electronic); 0021-9258 (Linking)&lt;/_isbn&gt;&lt;_issue&gt;1&lt;/_issue&gt;&lt;_journal&gt;J Biol Chem&lt;/_journal&gt;&lt;_keywords&gt;Amino Acid Sequence; Cell Line; Crystallography, X-Ray; Extracellular Space/*metabolism; Glucagon-Like Peptide 1/*chemistry/metabolism; Glucagon-Like Peptide-1 Receptor; Humans; Models, Molecular; Molecular Sequence Data; Mutagenesis, Site-Directed; Mutant Proteins/chemistry/metabolism; Protein Binding; Protein Structure, Secondary; Protein Structure, Tertiary; Receptors, Glucagon/*chemistry/metabolism; Solutions&lt;/_keywords&gt;&lt;_language&gt;eng&lt;/_language&gt;&lt;_pages&gt;723-30&lt;/_pages&gt;&lt;_tertiary_title&gt;The Journal of biological chemistry&lt;/_tertiary_title&gt;&lt;_type_work&gt;Journal Article; Research Support, Non-U.S. Gov&amp;apos;t&lt;/_type_work&gt;&lt;_url&gt;http://www.ncbi.nlm.nih.gov/entrez/query.fcgi?cmd=Retrieve&amp;amp;db=pubmed&amp;amp;dopt=Abstract&amp;amp;list_uids=19861722&amp;amp;query_hl=1&lt;/_url&gt;&lt;_volume&gt;285&lt;/_volume&gt;&lt;_created&gt;62149912&lt;/_created&gt;&lt;_modified&gt;62149913&lt;/_modified&gt;&lt;_db_updated&gt;PubMed&lt;/_db_updated&gt;&lt;_impact_factor&gt;   4.125&lt;/_impact_factor&gt;&lt;_collection_scope&gt;EI;SCI;SCIE;&lt;/_collection_scope&gt;&lt;/Details&gt;&lt;Extra&gt;&lt;DBUID&gt;{F96A950B-833F-4880-A151-76DA2D6A2879}&lt;/DBUID&gt;&lt;/Extra&gt;&lt;/Item&gt;&lt;/References&gt;&lt;/Group&gt;&lt;/Citation&gt;_x000a_"/>
    <w:docVar w:name="NE.Ref{67D3C1A8-7464-47DA-A662-62A4FC5DB2A7}" w:val=" ADDIN NE.Ref.{67D3C1A8-7464-47DA-A662-62A4FC5DB2A7}&lt;Citation&gt;&lt;Group&gt;&lt;References&gt;&lt;Item&gt;&lt;ID&gt;566&lt;/ID&gt;&lt;UID&gt;{E9211B4D-3368-465B-ACF5-90107CCAF431}&lt;/UID&gt;&lt;Title&gt;Crystal structure of the ligand-bound glucagon-like peptide-1 receptor extracellular domain&lt;/Title&gt;&lt;Template&gt;Journal Article&lt;/Template&gt;&lt;Star&gt;0&lt;/Star&gt;&lt;Tag&gt;0&lt;/Tag&gt;&lt;Author&gt;Runge, S; Thogersen, H; Madsen, K; Lau, J; Rudolph, R&lt;/Author&gt;&lt;Year&gt;2008&lt;/Year&gt;&lt;Details&gt;&lt;_accession_num&gt;18287102&lt;/_accession_num&gt;&lt;_author_adr&gt;Department of Structure and Biophysical Chemistry, Novo Nordisk, 2760 Malov, Denmark. sffr@novonordisk.com&lt;/_author_adr&gt;&lt;_date_display&gt;2008 Apr 25&lt;/_date_display&gt;&lt;_date&gt;2008-04-25&lt;/_date&gt;&lt;_doi&gt;10.1074/jbc.M708740200&lt;/_doi&gt;&lt;_isbn&gt;0021-9258 (Print); 0021-9258 (Linking)&lt;/_isbn&gt;&lt;_issue&gt;17&lt;/_issue&gt;&lt;_journal&gt;J Biol Chem&lt;/_journal&gt;&lt;_keywords&gt;Amino Acid Sequence; Cell Membrane/metabolism; Crystallography, X-Ray/methods; Glucagon-Like Peptide-1 Receptor; Humans; Insulin-Secreting Cells/metabolism; Ligands; Magnetic Resonance Spectroscopy; Molecular Sequence Data; Peptides/chemistry; Protein Binding; Protein Conformation; Protein Structure, Secondary; Receptors, Glucagon/chemistry/*physiology; Sequence Homology, Amino Acid; Tryptophan/chemistry; Venoms/chemistry&lt;/_keywords&gt;&lt;_language&gt;eng&lt;/_language&gt;&lt;_pages&gt;11340-7&lt;/_pages&gt;&lt;_tertiary_title&gt;The Journal of biological chemistry&lt;/_tertiary_title&gt;&lt;_type_work&gt;Journal Article; Research Support, Non-U.S. Gov&amp;apos;t&lt;/_type_work&gt;&lt;_url&gt;http://www.ncbi.nlm.nih.gov/entrez/query.fcgi?cmd=Retrieve&amp;amp;db=pubmed&amp;amp;dopt=Abstract&amp;amp;list_uids=18287102&amp;amp;query_hl=1&lt;/_url&gt;&lt;_volume&gt;283&lt;/_volume&gt;&lt;_created&gt;62149914&lt;/_created&gt;&lt;_modified&gt;62149914&lt;/_modified&gt;&lt;_db_updated&gt;PubMed&lt;/_db_updated&gt;&lt;_impact_factor&gt;   4.125&lt;/_impact_factor&gt;&lt;_collection_scope&gt;EI;SCI;SCIE;&lt;/_collection_scope&gt;&lt;/Details&gt;&lt;Extra&gt;&lt;DBUID&gt;{F96A950B-833F-4880-A151-76DA2D6A2879}&lt;/DBUID&gt;&lt;/Extra&gt;&lt;/Item&gt;&lt;/References&gt;&lt;/Group&gt;&lt;/Citation&gt;_x000a_"/>
    <w:docVar w:name="NE.Ref{B3DE2745-BAE5-4B24-BE88-C80274CA360B}" w:val=" ADDIN NE.Ref.{B3DE2745-BAE5-4B24-BE88-C80274CA360B}&lt;Citation&gt;&lt;Group&gt;&lt;References&gt;&lt;Item&gt;&lt;ID&gt;564&lt;/ID&gt;&lt;UID&gt;{F5D4125A-A731-4052-9E17-E767ED028FDF}&lt;/UID&gt;&lt;Title&gt;Crystal structure of the ligand-bound glucagon-like peptide-1 receptor extracellular domain&lt;/Title&gt;&lt;Template&gt;Journal Article&lt;/Template&gt;&lt;Star&gt;0&lt;/Star&gt;&lt;Tag&gt;0&lt;/Tag&gt;&lt;Author&gt;Runge, S; Thogersen, H; Madsen, K; Lau, J; Rudolph, R&lt;/Author&gt;&lt;Year&gt;2008&lt;/Year&gt;&lt;Details&gt;&lt;_accession_num&gt;18287102&lt;/_accession_num&gt;&lt;_author_adr&gt;Department of Structure and Biophysical Chemistry, Novo Nordisk, 2760 Malov, Denmark. sffr@novonordisk.com&lt;/_author_adr&gt;&lt;_date_display&gt;2008 Apr 25&lt;/_date_display&gt;&lt;_date&gt;2008-04-25&lt;/_date&gt;&lt;_doi&gt;10.1074/jbc.M708740200&lt;/_doi&gt;&lt;_isbn&gt;0021-9258 (Print); 0021-9258 (Linking)&lt;/_isbn&gt;&lt;_issue&gt;17&lt;/_issue&gt;&lt;_journal&gt;J Biol Chem&lt;/_journal&gt;&lt;_keywords&gt;Amino Acid Sequence; Cell Membrane/metabolism; Crystallography, X-Ray/methods; Glucagon-Like Peptide-1 Receptor; Humans; Insulin-Secreting Cells/metabolism; Ligands; Magnetic Resonance Spectroscopy; Molecular Sequence Data; Peptides/chemistry; Protein Binding; Protein Conformation; Protein Structure, Secondary; Receptors, Glucagon/chemistry/*physiology; Sequence Homology, Amino Acid; Tryptophan/chemistry; Venoms/chemistry&lt;/_keywords&gt;&lt;_language&gt;eng&lt;/_language&gt;&lt;_pages&gt;11340-7&lt;/_pages&gt;&lt;_tertiary_title&gt;The Journal of biological chemistry&lt;/_tertiary_title&gt;&lt;_type_work&gt;Journal Article; Research Support, Non-U.S. Gov&amp;apos;t&lt;/_type_work&gt;&lt;_url&gt;http://www.ncbi.nlm.nih.gov/entrez/query.fcgi?cmd=Retrieve&amp;amp;db=pubmed&amp;amp;dopt=Abstract&amp;amp;list_uids=18287102&amp;amp;query_hl=1&lt;/_url&gt;&lt;_volume&gt;283&lt;/_volume&gt;&lt;_created&gt;62149909&lt;/_created&gt;&lt;_modified&gt;62149909&lt;/_modified&gt;&lt;_db_updated&gt;PubMed&lt;/_db_updated&gt;&lt;_impact_factor&gt;   4.125&lt;/_impact_factor&gt;&lt;_collection_scope&gt;EI;SCI;SCIE;&lt;/_collection_scope&gt;&lt;/Details&gt;&lt;Extra&gt;&lt;DBUID&gt;{F96A950B-833F-4880-A151-76DA2D6A2879}&lt;/DBUID&gt;&lt;/Extra&gt;&lt;/Item&gt;&lt;/References&gt;&lt;/Group&gt;&lt;/Citation&gt;_x000a_"/>
    <w:docVar w:name="NE.Ref{DDA35016-907B-4D9A-82FC-F2E61BB132F8}" w:val=" ADDIN NE.Ref.{DDA35016-907B-4D9A-82FC-F2E61BB132F8}&lt;Citation&gt;&lt;Group&gt;&lt;References&gt;&lt;Item&gt;&lt;ID&gt;550&lt;/ID&gt;&lt;UID&gt;{F52F64F0-93E4-4790-8BC6-ADA864988DFA}&lt;/UID&gt;&lt;Title&gt;Leptin Receptor Promotes Adipogenesis and Reduces Osteogenesis by Regulating Mesenchymal Stromal Cells in Adult Bone Marrow&lt;/Title&gt;&lt;Template&gt;Journal Article&lt;/Template&gt;&lt;Star&gt;0&lt;/Star&gt;&lt;Tag&gt;0&lt;/Tag&gt;&lt;Author&gt;Yue, R; Zhou, B O; Shimada, I S; Zhao, Z; Morrison, S J&lt;/Author&gt;&lt;Year&gt;2016&lt;/Year&gt;&lt;Details&gt;&lt;_accession_num&gt;27053299&lt;/_accession_num&gt;&lt;_author_adr&gt;Department of Pediatrics and Children&amp;apos;s Research Institute, University of Texas Southwestern Medical Center, Dallas, TX 75390, USA.; Department of Pediatrics and Children&amp;apos;s Research Institute, University of Texas Southwestern Medical Center, Dallas, TX 75390, USA.; Department of Pediatrics and Children&amp;apos;s Research Institute, University of Texas Southwestern Medical Center, Dallas, TX 75390, USA.; Department of Pediatrics and Children&amp;apos;s Research Institute, University of Texas Southwestern Medical Center, Dallas, TX 75390, USA.; Howard Hughes Medical Institute, University of Texas Southwestern Medical Center, Dallas, TX 75390, USA; Department of Pediatrics and Children&amp;apos;s Research Institute, University of Texas Southwestern Medical Center, Dallas, TX 75390, USA. Electronic address: sean.morrison@utsouthwestern.edu.&lt;/_author_adr&gt;&lt;_date_display&gt;2016 Jun 2&lt;/_date_display&gt;&lt;_date&gt;2016-06-02&lt;/_date&gt;&lt;_doi&gt;10.1016/j.stem.2016.02.015&lt;/_doi&gt;&lt;_isbn&gt;1875-9777 (Electronic); 1875-9777 (Linking)&lt;/_isbn&gt;&lt;_issue&gt;6&lt;/_issue&gt;&lt;_journal&gt;Cell Stem Cell&lt;/_journal&gt;&lt;_keywords&gt;*Adipogenesis; Aging/*metabolism; Animals; Bone Marrow Cells/*metabolism; Cell Differentiation; Diet, High-Fat; Femur/pathology; Fracture Healing; Gene Deletion; Janus Kinase 2/metabolism; Mesenchymal Stromal Cells/*metabolism; Mice, Inbred C57BL; Muscle, Skeletal/cytology; Obesity/pathology; Osteoblasts/metabolism; *Osteogenesis; Receptors, Leptin/*metabolism; STAT3 Transcription Factor/metabolism; Signal Transduction&lt;/_keywords&gt;&lt;_language&gt;eng&lt;/_language&gt;&lt;_ori_publication&gt;Copyright (c) 2016 Elsevier Inc. All rights reserved.&lt;/_ori_publication&gt;&lt;_pages&gt;782-96&lt;/_pages&gt;&lt;_tertiary_title&gt;Cell stem cell&lt;/_tertiary_title&gt;&lt;_type_work&gt;Journal Article&lt;/_type_work&gt;&lt;_url&gt;http://www.ncbi.nlm.nih.gov/entrez/query.fcgi?cmd=Retrieve&amp;amp;db=pubmed&amp;amp;dopt=Abstract&amp;amp;list_uids=27053299&amp;amp;query_hl=1&lt;/_url&gt;&lt;_volume&gt;18&lt;/_volume&gt;&lt;_created&gt;62014712&lt;/_created&gt;&lt;_modified&gt;62014712&lt;/_modified&gt;&lt;_db_updated&gt;PubMed&lt;/_db_updated&gt;&lt;_impact_factor&gt;  23.394&lt;/_impact_factor&gt;&lt;_collection_scope&gt;SCI;SCIE;&lt;/_collection_scope&gt;&lt;/Details&gt;&lt;Extra&gt;&lt;DBUID&gt;{F96A950B-833F-4880-A151-76DA2D6A2879}&lt;/DBUID&gt;&lt;/Extra&gt;&lt;/Item&gt;&lt;/References&gt;&lt;/Group&gt;&lt;/Citation&gt;_x000a_"/>
    <w:docVar w:name="ne_docsoft" w:val="MSWord"/>
    <w:docVar w:name="ne_docversion" w:val="NoteExpress 2.0"/>
    <w:docVar w:name="ne_stylename" w:val="Journal Bone and Mineral Metabolism"/>
  </w:docVars>
  <w:rsids>
    <w:rsidRoot w:val="00813BF9"/>
    <w:rsid w:val="00000E14"/>
    <w:rsid w:val="00001CAA"/>
    <w:rsid w:val="000045D4"/>
    <w:rsid w:val="00013D74"/>
    <w:rsid w:val="00014D63"/>
    <w:rsid w:val="00020CA8"/>
    <w:rsid w:val="00025C8E"/>
    <w:rsid w:val="00030213"/>
    <w:rsid w:val="00030F1A"/>
    <w:rsid w:val="00043031"/>
    <w:rsid w:val="00043A47"/>
    <w:rsid w:val="00044CE4"/>
    <w:rsid w:val="00046923"/>
    <w:rsid w:val="00054A82"/>
    <w:rsid w:val="00056C13"/>
    <w:rsid w:val="00056F8C"/>
    <w:rsid w:val="00057005"/>
    <w:rsid w:val="00060C08"/>
    <w:rsid w:val="0006228C"/>
    <w:rsid w:val="000633D3"/>
    <w:rsid w:val="000649FE"/>
    <w:rsid w:val="00064F73"/>
    <w:rsid w:val="00067DB0"/>
    <w:rsid w:val="00070691"/>
    <w:rsid w:val="00075F27"/>
    <w:rsid w:val="000808B2"/>
    <w:rsid w:val="00083B13"/>
    <w:rsid w:val="00086CB7"/>
    <w:rsid w:val="000874F7"/>
    <w:rsid w:val="000A0A06"/>
    <w:rsid w:val="000A13CA"/>
    <w:rsid w:val="000A1D33"/>
    <w:rsid w:val="000A48D2"/>
    <w:rsid w:val="000B13C5"/>
    <w:rsid w:val="000B1CDD"/>
    <w:rsid w:val="000B1E56"/>
    <w:rsid w:val="000C06E7"/>
    <w:rsid w:val="000C0AD8"/>
    <w:rsid w:val="000C48E8"/>
    <w:rsid w:val="000C4BEE"/>
    <w:rsid w:val="000D4210"/>
    <w:rsid w:val="000D4BFB"/>
    <w:rsid w:val="000D7F97"/>
    <w:rsid w:val="000E0CC1"/>
    <w:rsid w:val="000E266A"/>
    <w:rsid w:val="000E382D"/>
    <w:rsid w:val="000E3D97"/>
    <w:rsid w:val="000F2675"/>
    <w:rsid w:val="000F3156"/>
    <w:rsid w:val="00101680"/>
    <w:rsid w:val="001032DB"/>
    <w:rsid w:val="00104CC7"/>
    <w:rsid w:val="001147D0"/>
    <w:rsid w:val="00121367"/>
    <w:rsid w:val="00123590"/>
    <w:rsid w:val="001259DF"/>
    <w:rsid w:val="0012669C"/>
    <w:rsid w:val="00126AF1"/>
    <w:rsid w:val="0013576D"/>
    <w:rsid w:val="00142FD2"/>
    <w:rsid w:val="0014365D"/>
    <w:rsid w:val="001451BE"/>
    <w:rsid w:val="00145A8E"/>
    <w:rsid w:val="00146F65"/>
    <w:rsid w:val="00157FE6"/>
    <w:rsid w:val="001618F9"/>
    <w:rsid w:val="001639FA"/>
    <w:rsid w:val="00164317"/>
    <w:rsid w:val="00165ABF"/>
    <w:rsid w:val="001666D8"/>
    <w:rsid w:val="001722D8"/>
    <w:rsid w:val="00176C04"/>
    <w:rsid w:val="001778BD"/>
    <w:rsid w:val="001833FA"/>
    <w:rsid w:val="00190F92"/>
    <w:rsid w:val="00194AE4"/>
    <w:rsid w:val="00195BCC"/>
    <w:rsid w:val="00196D41"/>
    <w:rsid w:val="001A3688"/>
    <w:rsid w:val="001A3848"/>
    <w:rsid w:val="001A3A64"/>
    <w:rsid w:val="001B14F9"/>
    <w:rsid w:val="001C24E7"/>
    <w:rsid w:val="001C2AEC"/>
    <w:rsid w:val="001C5549"/>
    <w:rsid w:val="001D0B48"/>
    <w:rsid w:val="001D1117"/>
    <w:rsid w:val="001D40BF"/>
    <w:rsid w:val="001D6D5D"/>
    <w:rsid w:val="001E0145"/>
    <w:rsid w:val="001E0FBF"/>
    <w:rsid w:val="001E415B"/>
    <w:rsid w:val="001E51A3"/>
    <w:rsid w:val="001F26CD"/>
    <w:rsid w:val="0020071F"/>
    <w:rsid w:val="00203B0E"/>
    <w:rsid w:val="00211937"/>
    <w:rsid w:val="00212378"/>
    <w:rsid w:val="00213769"/>
    <w:rsid w:val="00214966"/>
    <w:rsid w:val="00217469"/>
    <w:rsid w:val="0022007D"/>
    <w:rsid w:val="00221902"/>
    <w:rsid w:val="002316CE"/>
    <w:rsid w:val="00231AC7"/>
    <w:rsid w:val="002341D2"/>
    <w:rsid w:val="002407F1"/>
    <w:rsid w:val="00241117"/>
    <w:rsid w:val="0026493D"/>
    <w:rsid w:val="00266A4F"/>
    <w:rsid w:val="00267512"/>
    <w:rsid w:val="00267921"/>
    <w:rsid w:val="00267FBD"/>
    <w:rsid w:val="002712C3"/>
    <w:rsid w:val="00271392"/>
    <w:rsid w:val="002719AF"/>
    <w:rsid w:val="00273743"/>
    <w:rsid w:val="00273EAC"/>
    <w:rsid w:val="00280989"/>
    <w:rsid w:val="00283721"/>
    <w:rsid w:val="002838E9"/>
    <w:rsid w:val="00291940"/>
    <w:rsid w:val="0029240F"/>
    <w:rsid w:val="0029408D"/>
    <w:rsid w:val="00294DA6"/>
    <w:rsid w:val="002961F5"/>
    <w:rsid w:val="002A4355"/>
    <w:rsid w:val="002A65C8"/>
    <w:rsid w:val="002B3881"/>
    <w:rsid w:val="002B4DAF"/>
    <w:rsid w:val="002B617D"/>
    <w:rsid w:val="002C1374"/>
    <w:rsid w:val="002C1F95"/>
    <w:rsid w:val="002C28AC"/>
    <w:rsid w:val="002C32C9"/>
    <w:rsid w:val="002C4022"/>
    <w:rsid w:val="002C405C"/>
    <w:rsid w:val="002C6556"/>
    <w:rsid w:val="002D39D7"/>
    <w:rsid w:val="002D6BF1"/>
    <w:rsid w:val="002D76B8"/>
    <w:rsid w:val="002F0592"/>
    <w:rsid w:val="002F0622"/>
    <w:rsid w:val="002F2619"/>
    <w:rsid w:val="002F43C4"/>
    <w:rsid w:val="002F4E35"/>
    <w:rsid w:val="002F7571"/>
    <w:rsid w:val="003017F9"/>
    <w:rsid w:val="003053C0"/>
    <w:rsid w:val="00307B4D"/>
    <w:rsid w:val="00312641"/>
    <w:rsid w:val="0031370B"/>
    <w:rsid w:val="0031603E"/>
    <w:rsid w:val="00317938"/>
    <w:rsid w:val="00320E58"/>
    <w:rsid w:val="00321169"/>
    <w:rsid w:val="003302E6"/>
    <w:rsid w:val="00330EFB"/>
    <w:rsid w:val="0033572D"/>
    <w:rsid w:val="00344A23"/>
    <w:rsid w:val="003458C2"/>
    <w:rsid w:val="00347E2E"/>
    <w:rsid w:val="0035186E"/>
    <w:rsid w:val="00351E40"/>
    <w:rsid w:val="0035203A"/>
    <w:rsid w:val="00354587"/>
    <w:rsid w:val="00355585"/>
    <w:rsid w:val="00356830"/>
    <w:rsid w:val="003574D1"/>
    <w:rsid w:val="003643DF"/>
    <w:rsid w:val="003706F5"/>
    <w:rsid w:val="00373A6C"/>
    <w:rsid w:val="00380007"/>
    <w:rsid w:val="00381601"/>
    <w:rsid w:val="00385904"/>
    <w:rsid w:val="00395799"/>
    <w:rsid w:val="003958A5"/>
    <w:rsid w:val="003A3870"/>
    <w:rsid w:val="003A3E91"/>
    <w:rsid w:val="003B11A0"/>
    <w:rsid w:val="003B58A0"/>
    <w:rsid w:val="003C0744"/>
    <w:rsid w:val="003C2F85"/>
    <w:rsid w:val="003C347E"/>
    <w:rsid w:val="003C61C8"/>
    <w:rsid w:val="003C7E3C"/>
    <w:rsid w:val="003D1658"/>
    <w:rsid w:val="003D377A"/>
    <w:rsid w:val="003D52FC"/>
    <w:rsid w:val="003E0091"/>
    <w:rsid w:val="003E09F5"/>
    <w:rsid w:val="003E0F63"/>
    <w:rsid w:val="003E3A3C"/>
    <w:rsid w:val="003E55BF"/>
    <w:rsid w:val="003E764D"/>
    <w:rsid w:val="003F7C0B"/>
    <w:rsid w:val="00407820"/>
    <w:rsid w:val="00413814"/>
    <w:rsid w:val="00414E13"/>
    <w:rsid w:val="00421785"/>
    <w:rsid w:val="00430216"/>
    <w:rsid w:val="0043760B"/>
    <w:rsid w:val="004417EF"/>
    <w:rsid w:val="00442080"/>
    <w:rsid w:val="00443581"/>
    <w:rsid w:val="0044408D"/>
    <w:rsid w:val="004509CF"/>
    <w:rsid w:val="004551D9"/>
    <w:rsid w:val="00455264"/>
    <w:rsid w:val="00455D12"/>
    <w:rsid w:val="0045650A"/>
    <w:rsid w:val="0046656F"/>
    <w:rsid w:val="00466DD3"/>
    <w:rsid w:val="00466E87"/>
    <w:rsid w:val="00466FCF"/>
    <w:rsid w:val="0046700E"/>
    <w:rsid w:val="00471703"/>
    <w:rsid w:val="0047451D"/>
    <w:rsid w:val="00475F18"/>
    <w:rsid w:val="00476BD0"/>
    <w:rsid w:val="004778D4"/>
    <w:rsid w:val="004778EE"/>
    <w:rsid w:val="0048325F"/>
    <w:rsid w:val="00486899"/>
    <w:rsid w:val="00490B6B"/>
    <w:rsid w:val="00490B6C"/>
    <w:rsid w:val="00494479"/>
    <w:rsid w:val="004961E5"/>
    <w:rsid w:val="00497494"/>
    <w:rsid w:val="004C325A"/>
    <w:rsid w:val="004C3DDB"/>
    <w:rsid w:val="004C523C"/>
    <w:rsid w:val="004C6F99"/>
    <w:rsid w:val="004D2194"/>
    <w:rsid w:val="004D643F"/>
    <w:rsid w:val="004E229C"/>
    <w:rsid w:val="004E4012"/>
    <w:rsid w:val="004E42FF"/>
    <w:rsid w:val="004E5B7E"/>
    <w:rsid w:val="004E6BA7"/>
    <w:rsid w:val="004E7B6D"/>
    <w:rsid w:val="004F0E64"/>
    <w:rsid w:val="005001FD"/>
    <w:rsid w:val="00502D6A"/>
    <w:rsid w:val="00503B44"/>
    <w:rsid w:val="00507374"/>
    <w:rsid w:val="005102E7"/>
    <w:rsid w:val="00515206"/>
    <w:rsid w:val="00517E9A"/>
    <w:rsid w:val="005218CC"/>
    <w:rsid w:val="00521E78"/>
    <w:rsid w:val="00525E70"/>
    <w:rsid w:val="00535C1A"/>
    <w:rsid w:val="005374A6"/>
    <w:rsid w:val="00537A66"/>
    <w:rsid w:val="00543763"/>
    <w:rsid w:val="00543D13"/>
    <w:rsid w:val="00551800"/>
    <w:rsid w:val="00551BE5"/>
    <w:rsid w:val="0055225F"/>
    <w:rsid w:val="005522FF"/>
    <w:rsid w:val="0057059D"/>
    <w:rsid w:val="00570FF4"/>
    <w:rsid w:val="0057213D"/>
    <w:rsid w:val="0057400B"/>
    <w:rsid w:val="00577D28"/>
    <w:rsid w:val="00580874"/>
    <w:rsid w:val="00581920"/>
    <w:rsid w:val="00586C59"/>
    <w:rsid w:val="00590798"/>
    <w:rsid w:val="00596477"/>
    <w:rsid w:val="005A2077"/>
    <w:rsid w:val="005A4155"/>
    <w:rsid w:val="005B05A3"/>
    <w:rsid w:val="005B0BE8"/>
    <w:rsid w:val="005B40F5"/>
    <w:rsid w:val="005B44A8"/>
    <w:rsid w:val="005B490A"/>
    <w:rsid w:val="005C55E3"/>
    <w:rsid w:val="005D09DB"/>
    <w:rsid w:val="005D0DA8"/>
    <w:rsid w:val="005D3A1B"/>
    <w:rsid w:val="005D47DE"/>
    <w:rsid w:val="005D658D"/>
    <w:rsid w:val="005D70D3"/>
    <w:rsid w:val="005E12B4"/>
    <w:rsid w:val="005E138D"/>
    <w:rsid w:val="005E156D"/>
    <w:rsid w:val="005E66B9"/>
    <w:rsid w:val="005E7FC6"/>
    <w:rsid w:val="005F09EF"/>
    <w:rsid w:val="005F2F2C"/>
    <w:rsid w:val="005F4C39"/>
    <w:rsid w:val="00603157"/>
    <w:rsid w:val="00604322"/>
    <w:rsid w:val="00605347"/>
    <w:rsid w:val="00605E6C"/>
    <w:rsid w:val="00611FA6"/>
    <w:rsid w:val="006127AA"/>
    <w:rsid w:val="00615914"/>
    <w:rsid w:val="00623254"/>
    <w:rsid w:val="0062626E"/>
    <w:rsid w:val="00626AB6"/>
    <w:rsid w:val="00630019"/>
    <w:rsid w:val="00636BEF"/>
    <w:rsid w:val="00636EE0"/>
    <w:rsid w:val="00637140"/>
    <w:rsid w:val="0063799B"/>
    <w:rsid w:val="00637C94"/>
    <w:rsid w:val="00645917"/>
    <w:rsid w:val="006517C6"/>
    <w:rsid w:val="00655894"/>
    <w:rsid w:val="0065702D"/>
    <w:rsid w:val="0066152C"/>
    <w:rsid w:val="00661641"/>
    <w:rsid w:val="0066167A"/>
    <w:rsid w:val="00664592"/>
    <w:rsid w:val="00666DDE"/>
    <w:rsid w:val="00667AD3"/>
    <w:rsid w:val="00672121"/>
    <w:rsid w:val="00672887"/>
    <w:rsid w:val="006742F7"/>
    <w:rsid w:val="006812D4"/>
    <w:rsid w:val="0068587F"/>
    <w:rsid w:val="00687C92"/>
    <w:rsid w:val="00687D3D"/>
    <w:rsid w:val="00692681"/>
    <w:rsid w:val="006932C8"/>
    <w:rsid w:val="00697E80"/>
    <w:rsid w:val="006A03A3"/>
    <w:rsid w:val="006A1D1B"/>
    <w:rsid w:val="006B1C79"/>
    <w:rsid w:val="006C4415"/>
    <w:rsid w:val="006D75B4"/>
    <w:rsid w:val="006E1DC3"/>
    <w:rsid w:val="006E3E60"/>
    <w:rsid w:val="006E7649"/>
    <w:rsid w:val="006E7DA4"/>
    <w:rsid w:val="006F1AD1"/>
    <w:rsid w:val="006F3CBF"/>
    <w:rsid w:val="006F48F6"/>
    <w:rsid w:val="006F5231"/>
    <w:rsid w:val="006F561E"/>
    <w:rsid w:val="006F7BB5"/>
    <w:rsid w:val="00700A37"/>
    <w:rsid w:val="007043A5"/>
    <w:rsid w:val="00713288"/>
    <w:rsid w:val="007133A1"/>
    <w:rsid w:val="007150B0"/>
    <w:rsid w:val="00716B35"/>
    <w:rsid w:val="007202A5"/>
    <w:rsid w:val="007242D8"/>
    <w:rsid w:val="0072458C"/>
    <w:rsid w:val="00725B95"/>
    <w:rsid w:val="0073420D"/>
    <w:rsid w:val="00737FD5"/>
    <w:rsid w:val="00740CC8"/>
    <w:rsid w:val="007425E8"/>
    <w:rsid w:val="007509D4"/>
    <w:rsid w:val="00752DE9"/>
    <w:rsid w:val="00755048"/>
    <w:rsid w:val="00756F88"/>
    <w:rsid w:val="00757863"/>
    <w:rsid w:val="00760F08"/>
    <w:rsid w:val="007657EA"/>
    <w:rsid w:val="0076799F"/>
    <w:rsid w:val="007730AD"/>
    <w:rsid w:val="00773D39"/>
    <w:rsid w:val="00773F92"/>
    <w:rsid w:val="00780AEB"/>
    <w:rsid w:val="00782AED"/>
    <w:rsid w:val="00786011"/>
    <w:rsid w:val="00787713"/>
    <w:rsid w:val="00790274"/>
    <w:rsid w:val="00794C7E"/>
    <w:rsid w:val="00796241"/>
    <w:rsid w:val="007A4EFE"/>
    <w:rsid w:val="007A5029"/>
    <w:rsid w:val="007A5ED6"/>
    <w:rsid w:val="007B136C"/>
    <w:rsid w:val="007B1C97"/>
    <w:rsid w:val="007B5826"/>
    <w:rsid w:val="007C3017"/>
    <w:rsid w:val="007C59EF"/>
    <w:rsid w:val="007C68FA"/>
    <w:rsid w:val="007D0210"/>
    <w:rsid w:val="007D3323"/>
    <w:rsid w:val="007D4321"/>
    <w:rsid w:val="007E1888"/>
    <w:rsid w:val="007E51AC"/>
    <w:rsid w:val="007F4681"/>
    <w:rsid w:val="0080575A"/>
    <w:rsid w:val="0080695F"/>
    <w:rsid w:val="008117C1"/>
    <w:rsid w:val="0081297F"/>
    <w:rsid w:val="00812F2C"/>
    <w:rsid w:val="00813BF9"/>
    <w:rsid w:val="00813D7D"/>
    <w:rsid w:val="00825A91"/>
    <w:rsid w:val="0082605A"/>
    <w:rsid w:val="00827E28"/>
    <w:rsid w:val="008305D2"/>
    <w:rsid w:val="00831198"/>
    <w:rsid w:val="00834545"/>
    <w:rsid w:val="008417BC"/>
    <w:rsid w:val="008420EE"/>
    <w:rsid w:val="0084270F"/>
    <w:rsid w:val="0084502D"/>
    <w:rsid w:val="008552CD"/>
    <w:rsid w:val="008563DF"/>
    <w:rsid w:val="00861350"/>
    <w:rsid w:val="008736B8"/>
    <w:rsid w:val="00880196"/>
    <w:rsid w:val="00880668"/>
    <w:rsid w:val="00884A3B"/>
    <w:rsid w:val="00890E03"/>
    <w:rsid w:val="008A0552"/>
    <w:rsid w:val="008A128E"/>
    <w:rsid w:val="008A241F"/>
    <w:rsid w:val="008A2D53"/>
    <w:rsid w:val="008A6A36"/>
    <w:rsid w:val="008B74AC"/>
    <w:rsid w:val="008C02B6"/>
    <w:rsid w:val="008C1689"/>
    <w:rsid w:val="008C472F"/>
    <w:rsid w:val="008C48B6"/>
    <w:rsid w:val="008C7AC4"/>
    <w:rsid w:val="008D173A"/>
    <w:rsid w:val="008D5B9F"/>
    <w:rsid w:val="008D7905"/>
    <w:rsid w:val="008E5068"/>
    <w:rsid w:val="008E5397"/>
    <w:rsid w:val="008E6E55"/>
    <w:rsid w:val="008F03CD"/>
    <w:rsid w:val="008F38B4"/>
    <w:rsid w:val="008F44B8"/>
    <w:rsid w:val="008F4979"/>
    <w:rsid w:val="008F5011"/>
    <w:rsid w:val="008F6C76"/>
    <w:rsid w:val="008F7DD3"/>
    <w:rsid w:val="00901E41"/>
    <w:rsid w:val="009072A9"/>
    <w:rsid w:val="009076E8"/>
    <w:rsid w:val="00911A15"/>
    <w:rsid w:val="00913E49"/>
    <w:rsid w:val="00916C37"/>
    <w:rsid w:val="00921EE1"/>
    <w:rsid w:val="00922CAB"/>
    <w:rsid w:val="00923457"/>
    <w:rsid w:val="00924E13"/>
    <w:rsid w:val="009274DE"/>
    <w:rsid w:val="00931265"/>
    <w:rsid w:val="00931AC7"/>
    <w:rsid w:val="009344DC"/>
    <w:rsid w:val="009355D3"/>
    <w:rsid w:val="009363F1"/>
    <w:rsid w:val="00936943"/>
    <w:rsid w:val="00937FBF"/>
    <w:rsid w:val="00945936"/>
    <w:rsid w:val="00947E4F"/>
    <w:rsid w:val="00950086"/>
    <w:rsid w:val="009516D8"/>
    <w:rsid w:val="00951E87"/>
    <w:rsid w:val="00957823"/>
    <w:rsid w:val="00960370"/>
    <w:rsid w:val="00960635"/>
    <w:rsid w:val="009624D3"/>
    <w:rsid w:val="00964170"/>
    <w:rsid w:val="00964730"/>
    <w:rsid w:val="00965414"/>
    <w:rsid w:val="009661A4"/>
    <w:rsid w:val="00967C6F"/>
    <w:rsid w:val="00974E96"/>
    <w:rsid w:val="009807DA"/>
    <w:rsid w:val="00981346"/>
    <w:rsid w:val="0099217B"/>
    <w:rsid w:val="0099379B"/>
    <w:rsid w:val="00994821"/>
    <w:rsid w:val="00994F1F"/>
    <w:rsid w:val="00995961"/>
    <w:rsid w:val="00996492"/>
    <w:rsid w:val="009A05D9"/>
    <w:rsid w:val="009A1011"/>
    <w:rsid w:val="009A3BD7"/>
    <w:rsid w:val="009A665D"/>
    <w:rsid w:val="009B443A"/>
    <w:rsid w:val="009B7533"/>
    <w:rsid w:val="009C1528"/>
    <w:rsid w:val="009C2280"/>
    <w:rsid w:val="009C2CC9"/>
    <w:rsid w:val="009C4F08"/>
    <w:rsid w:val="009D0680"/>
    <w:rsid w:val="009D0BB7"/>
    <w:rsid w:val="009D1F79"/>
    <w:rsid w:val="009D29BD"/>
    <w:rsid w:val="009D687D"/>
    <w:rsid w:val="009E1EE5"/>
    <w:rsid w:val="009E2520"/>
    <w:rsid w:val="009E3C52"/>
    <w:rsid w:val="009E5DAD"/>
    <w:rsid w:val="009E636B"/>
    <w:rsid w:val="009E7ECD"/>
    <w:rsid w:val="009F5747"/>
    <w:rsid w:val="009F72F7"/>
    <w:rsid w:val="00A03881"/>
    <w:rsid w:val="00A038EA"/>
    <w:rsid w:val="00A04197"/>
    <w:rsid w:val="00A0448A"/>
    <w:rsid w:val="00A06F96"/>
    <w:rsid w:val="00A0764F"/>
    <w:rsid w:val="00A10E7B"/>
    <w:rsid w:val="00A11EF6"/>
    <w:rsid w:val="00A20BE2"/>
    <w:rsid w:val="00A2711F"/>
    <w:rsid w:val="00A338EA"/>
    <w:rsid w:val="00A36D64"/>
    <w:rsid w:val="00A43462"/>
    <w:rsid w:val="00A44283"/>
    <w:rsid w:val="00A55EA1"/>
    <w:rsid w:val="00A57E8B"/>
    <w:rsid w:val="00A6043D"/>
    <w:rsid w:val="00A661D6"/>
    <w:rsid w:val="00A6740A"/>
    <w:rsid w:val="00A746B5"/>
    <w:rsid w:val="00A832D9"/>
    <w:rsid w:val="00A90129"/>
    <w:rsid w:val="00A9109C"/>
    <w:rsid w:val="00A9225E"/>
    <w:rsid w:val="00A95932"/>
    <w:rsid w:val="00A96349"/>
    <w:rsid w:val="00A96C8D"/>
    <w:rsid w:val="00AA1BBE"/>
    <w:rsid w:val="00AA64BB"/>
    <w:rsid w:val="00AA7DE4"/>
    <w:rsid w:val="00AB0B0F"/>
    <w:rsid w:val="00AB1236"/>
    <w:rsid w:val="00AB61CA"/>
    <w:rsid w:val="00AC0D33"/>
    <w:rsid w:val="00AC7170"/>
    <w:rsid w:val="00AD03D6"/>
    <w:rsid w:val="00AD28F0"/>
    <w:rsid w:val="00AD3AE4"/>
    <w:rsid w:val="00AD5745"/>
    <w:rsid w:val="00AD6B32"/>
    <w:rsid w:val="00AE64A7"/>
    <w:rsid w:val="00AE7E69"/>
    <w:rsid w:val="00B01830"/>
    <w:rsid w:val="00B02F0F"/>
    <w:rsid w:val="00B06F5B"/>
    <w:rsid w:val="00B13333"/>
    <w:rsid w:val="00B17BAB"/>
    <w:rsid w:val="00B24815"/>
    <w:rsid w:val="00B24DB9"/>
    <w:rsid w:val="00B27F4D"/>
    <w:rsid w:val="00B36D7A"/>
    <w:rsid w:val="00B375CA"/>
    <w:rsid w:val="00B37799"/>
    <w:rsid w:val="00B42353"/>
    <w:rsid w:val="00B5169C"/>
    <w:rsid w:val="00B52624"/>
    <w:rsid w:val="00B548C4"/>
    <w:rsid w:val="00B615D2"/>
    <w:rsid w:val="00B65AB3"/>
    <w:rsid w:val="00B72E1C"/>
    <w:rsid w:val="00B73F24"/>
    <w:rsid w:val="00B76D11"/>
    <w:rsid w:val="00B81107"/>
    <w:rsid w:val="00B85BD2"/>
    <w:rsid w:val="00B90A72"/>
    <w:rsid w:val="00B91062"/>
    <w:rsid w:val="00B92ADA"/>
    <w:rsid w:val="00B9595E"/>
    <w:rsid w:val="00B95AD0"/>
    <w:rsid w:val="00B96DBE"/>
    <w:rsid w:val="00BA0838"/>
    <w:rsid w:val="00BA11FE"/>
    <w:rsid w:val="00BA1C03"/>
    <w:rsid w:val="00BA30A1"/>
    <w:rsid w:val="00BA51A2"/>
    <w:rsid w:val="00BC073D"/>
    <w:rsid w:val="00BC0DF2"/>
    <w:rsid w:val="00BC7780"/>
    <w:rsid w:val="00BD0875"/>
    <w:rsid w:val="00BD11E1"/>
    <w:rsid w:val="00BD210D"/>
    <w:rsid w:val="00BD2366"/>
    <w:rsid w:val="00BD6C72"/>
    <w:rsid w:val="00BE02AC"/>
    <w:rsid w:val="00BE1533"/>
    <w:rsid w:val="00BE71CD"/>
    <w:rsid w:val="00BE7B98"/>
    <w:rsid w:val="00BF121E"/>
    <w:rsid w:val="00BF16C5"/>
    <w:rsid w:val="00BF52B0"/>
    <w:rsid w:val="00BF724F"/>
    <w:rsid w:val="00C0658E"/>
    <w:rsid w:val="00C07756"/>
    <w:rsid w:val="00C07D0C"/>
    <w:rsid w:val="00C153F7"/>
    <w:rsid w:val="00C16B12"/>
    <w:rsid w:val="00C175DC"/>
    <w:rsid w:val="00C31BB7"/>
    <w:rsid w:val="00C362A3"/>
    <w:rsid w:val="00C37EFF"/>
    <w:rsid w:val="00C4296D"/>
    <w:rsid w:val="00C43E49"/>
    <w:rsid w:val="00C45E9C"/>
    <w:rsid w:val="00C460CB"/>
    <w:rsid w:val="00C464A9"/>
    <w:rsid w:val="00C465B4"/>
    <w:rsid w:val="00C50016"/>
    <w:rsid w:val="00C51A00"/>
    <w:rsid w:val="00C5756C"/>
    <w:rsid w:val="00C618B6"/>
    <w:rsid w:val="00C70015"/>
    <w:rsid w:val="00C77AC7"/>
    <w:rsid w:val="00C83026"/>
    <w:rsid w:val="00C855BF"/>
    <w:rsid w:val="00C907B7"/>
    <w:rsid w:val="00C9123A"/>
    <w:rsid w:val="00C94911"/>
    <w:rsid w:val="00C95A92"/>
    <w:rsid w:val="00C9689D"/>
    <w:rsid w:val="00CB4065"/>
    <w:rsid w:val="00CC12F7"/>
    <w:rsid w:val="00CC1CDF"/>
    <w:rsid w:val="00CC225C"/>
    <w:rsid w:val="00CC364C"/>
    <w:rsid w:val="00CC498D"/>
    <w:rsid w:val="00CC66A6"/>
    <w:rsid w:val="00CD0220"/>
    <w:rsid w:val="00CD6F92"/>
    <w:rsid w:val="00CD78AF"/>
    <w:rsid w:val="00CE14AA"/>
    <w:rsid w:val="00CE2039"/>
    <w:rsid w:val="00CE3E19"/>
    <w:rsid w:val="00CF6556"/>
    <w:rsid w:val="00CF7B00"/>
    <w:rsid w:val="00D01AC6"/>
    <w:rsid w:val="00D031AD"/>
    <w:rsid w:val="00D040D2"/>
    <w:rsid w:val="00D21271"/>
    <w:rsid w:val="00D36E99"/>
    <w:rsid w:val="00D45E29"/>
    <w:rsid w:val="00D53EFA"/>
    <w:rsid w:val="00D56441"/>
    <w:rsid w:val="00D5692A"/>
    <w:rsid w:val="00D62875"/>
    <w:rsid w:val="00D70E93"/>
    <w:rsid w:val="00D769A3"/>
    <w:rsid w:val="00D77DE0"/>
    <w:rsid w:val="00D851F6"/>
    <w:rsid w:val="00D852BD"/>
    <w:rsid w:val="00D87392"/>
    <w:rsid w:val="00D90D8D"/>
    <w:rsid w:val="00D933F8"/>
    <w:rsid w:val="00D93BA7"/>
    <w:rsid w:val="00D9547E"/>
    <w:rsid w:val="00D95C87"/>
    <w:rsid w:val="00D973DE"/>
    <w:rsid w:val="00D97942"/>
    <w:rsid w:val="00DB1BB0"/>
    <w:rsid w:val="00DC0507"/>
    <w:rsid w:val="00DC2CFA"/>
    <w:rsid w:val="00DC3CEB"/>
    <w:rsid w:val="00DC7B9D"/>
    <w:rsid w:val="00DD174D"/>
    <w:rsid w:val="00DD4B55"/>
    <w:rsid w:val="00DD5728"/>
    <w:rsid w:val="00DD5F85"/>
    <w:rsid w:val="00DE2181"/>
    <w:rsid w:val="00DE306E"/>
    <w:rsid w:val="00DE3D69"/>
    <w:rsid w:val="00DE69C8"/>
    <w:rsid w:val="00DF0038"/>
    <w:rsid w:val="00DF5109"/>
    <w:rsid w:val="00DF72F8"/>
    <w:rsid w:val="00DF7D86"/>
    <w:rsid w:val="00E01EF7"/>
    <w:rsid w:val="00E02B19"/>
    <w:rsid w:val="00E05D14"/>
    <w:rsid w:val="00E11FDF"/>
    <w:rsid w:val="00E22BA4"/>
    <w:rsid w:val="00E24C85"/>
    <w:rsid w:val="00E2645C"/>
    <w:rsid w:val="00E32ABD"/>
    <w:rsid w:val="00E339C2"/>
    <w:rsid w:val="00E3680F"/>
    <w:rsid w:val="00E36ECA"/>
    <w:rsid w:val="00E46878"/>
    <w:rsid w:val="00E51FDC"/>
    <w:rsid w:val="00E56C86"/>
    <w:rsid w:val="00E6183A"/>
    <w:rsid w:val="00E70AE6"/>
    <w:rsid w:val="00E70F66"/>
    <w:rsid w:val="00E7121B"/>
    <w:rsid w:val="00E71B06"/>
    <w:rsid w:val="00E80143"/>
    <w:rsid w:val="00E82E41"/>
    <w:rsid w:val="00E82F8C"/>
    <w:rsid w:val="00E85979"/>
    <w:rsid w:val="00E87942"/>
    <w:rsid w:val="00E978D2"/>
    <w:rsid w:val="00EA1AE6"/>
    <w:rsid w:val="00EA1C20"/>
    <w:rsid w:val="00EA411F"/>
    <w:rsid w:val="00EA573C"/>
    <w:rsid w:val="00EB47BF"/>
    <w:rsid w:val="00EB5E01"/>
    <w:rsid w:val="00EB6D51"/>
    <w:rsid w:val="00EB7EB7"/>
    <w:rsid w:val="00EC0819"/>
    <w:rsid w:val="00EC777D"/>
    <w:rsid w:val="00EC7E9E"/>
    <w:rsid w:val="00ED1519"/>
    <w:rsid w:val="00ED1D0B"/>
    <w:rsid w:val="00EE54BE"/>
    <w:rsid w:val="00EE7192"/>
    <w:rsid w:val="00EE7FC3"/>
    <w:rsid w:val="00EF2C83"/>
    <w:rsid w:val="00F01DE8"/>
    <w:rsid w:val="00F02191"/>
    <w:rsid w:val="00F043A1"/>
    <w:rsid w:val="00F07936"/>
    <w:rsid w:val="00F15287"/>
    <w:rsid w:val="00F21746"/>
    <w:rsid w:val="00F21D59"/>
    <w:rsid w:val="00F23045"/>
    <w:rsid w:val="00F26474"/>
    <w:rsid w:val="00F415FC"/>
    <w:rsid w:val="00F41CB4"/>
    <w:rsid w:val="00F4383B"/>
    <w:rsid w:val="00F43CC0"/>
    <w:rsid w:val="00F4537C"/>
    <w:rsid w:val="00F45528"/>
    <w:rsid w:val="00F460D6"/>
    <w:rsid w:val="00F46FC8"/>
    <w:rsid w:val="00F504F4"/>
    <w:rsid w:val="00F506B1"/>
    <w:rsid w:val="00F51FD2"/>
    <w:rsid w:val="00F52497"/>
    <w:rsid w:val="00F539BD"/>
    <w:rsid w:val="00F541AF"/>
    <w:rsid w:val="00F556B0"/>
    <w:rsid w:val="00F55D51"/>
    <w:rsid w:val="00F56651"/>
    <w:rsid w:val="00F648B2"/>
    <w:rsid w:val="00F64D93"/>
    <w:rsid w:val="00F71283"/>
    <w:rsid w:val="00F72603"/>
    <w:rsid w:val="00F740E2"/>
    <w:rsid w:val="00F74A4D"/>
    <w:rsid w:val="00F74BC9"/>
    <w:rsid w:val="00F8204F"/>
    <w:rsid w:val="00F8277B"/>
    <w:rsid w:val="00F8723C"/>
    <w:rsid w:val="00F92019"/>
    <w:rsid w:val="00F96619"/>
    <w:rsid w:val="00FA1E24"/>
    <w:rsid w:val="00FA566D"/>
    <w:rsid w:val="00FA5A9F"/>
    <w:rsid w:val="00FA7B10"/>
    <w:rsid w:val="00FB2E19"/>
    <w:rsid w:val="00FB36AF"/>
    <w:rsid w:val="00FB65D2"/>
    <w:rsid w:val="00FC7F27"/>
    <w:rsid w:val="00FD0668"/>
    <w:rsid w:val="00FD221F"/>
    <w:rsid w:val="00FD3F47"/>
    <w:rsid w:val="00FD725B"/>
    <w:rsid w:val="00FE225C"/>
    <w:rsid w:val="00FE3D11"/>
    <w:rsid w:val="00FE4E21"/>
    <w:rsid w:val="00FE5DAA"/>
    <w:rsid w:val="00FE60D0"/>
    <w:rsid w:val="00FE7A8B"/>
    <w:rsid w:val="00FE7DC3"/>
    <w:rsid w:val="00FF012D"/>
    <w:rsid w:val="00FF1006"/>
    <w:rsid w:val="00FF58B9"/>
    <w:rsid w:val="00FF5A1D"/>
    <w:rsid w:val="00FF67E0"/>
    <w:rsid w:val="00FF6F8F"/>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554F819"/>
  <w15:docId w15:val="{ACFE2429-D6E2-462D-8036-086428EEE3F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760F08"/>
    <w:pPr>
      <w:widowControl w:val="0"/>
      <w:jc w:val="both"/>
    </w:pPr>
  </w:style>
  <w:style w:type="paragraph" w:styleId="1">
    <w:name w:val="heading 1"/>
    <w:basedOn w:val="a"/>
    <w:link w:val="10"/>
    <w:uiPriority w:val="9"/>
    <w:qFormat/>
    <w:rsid w:val="003574D1"/>
    <w:pPr>
      <w:widowControl/>
      <w:spacing w:before="100" w:beforeAutospacing="1" w:after="100" w:afterAutospacing="1"/>
      <w:jc w:val="left"/>
      <w:outlineLvl w:val="0"/>
    </w:pPr>
    <w:rPr>
      <w:rFonts w:ascii="宋体" w:eastAsia="宋体" w:hAnsi="宋体" w:cs="宋体"/>
      <w:b/>
      <w:bCs/>
      <w:kern w:val="36"/>
      <w:sz w:val="48"/>
      <w:szCs w:val="48"/>
    </w:rPr>
  </w:style>
  <w:style w:type="paragraph" w:styleId="2">
    <w:name w:val="heading 2"/>
    <w:basedOn w:val="a"/>
    <w:next w:val="a"/>
    <w:link w:val="20"/>
    <w:uiPriority w:val="9"/>
    <w:semiHidden/>
    <w:unhideWhenUsed/>
    <w:qFormat/>
    <w:rsid w:val="00DF72F8"/>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note text"/>
    <w:basedOn w:val="a"/>
    <w:link w:val="a4"/>
    <w:uiPriority w:val="99"/>
    <w:semiHidden/>
    <w:unhideWhenUsed/>
    <w:rsid w:val="00760F08"/>
    <w:pPr>
      <w:snapToGrid w:val="0"/>
      <w:jc w:val="left"/>
    </w:pPr>
    <w:rPr>
      <w:sz w:val="18"/>
      <w:szCs w:val="18"/>
    </w:rPr>
  </w:style>
  <w:style w:type="character" w:customStyle="1" w:styleId="a4">
    <w:name w:val="脚注文本 字符"/>
    <w:basedOn w:val="a0"/>
    <w:link w:val="a3"/>
    <w:uiPriority w:val="99"/>
    <w:semiHidden/>
    <w:rsid w:val="00760F08"/>
    <w:rPr>
      <w:sz w:val="18"/>
      <w:szCs w:val="18"/>
    </w:rPr>
  </w:style>
  <w:style w:type="character" w:styleId="a5">
    <w:name w:val="footnote reference"/>
    <w:basedOn w:val="a0"/>
    <w:uiPriority w:val="99"/>
    <w:semiHidden/>
    <w:unhideWhenUsed/>
    <w:rsid w:val="00760F08"/>
    <w:rPr>
      <w:vertAlign w:val="superscript"/>
    </w:rPr>
  </w:style>
  <w:style w:type="paragraph" w:styleId="a6">
    <w:name w:val="header"/>
    <w:basedOn w:val="a"/>
    <w:link w:val="a7"/>
    <w:uiPriority w:val="99"/>
    <w:unhideWhenUsed/>
    <w:rsid w:val="000B13C5"/>
    <w:pPr>
      <w:pBdr>
        <w:bottom w:val="single" w:sz="6" w:space="1" w:color="auto"/>
      </w:pBdr>
      <w:tabs>
        <w:tab w:val="center" w:pos="4153"/>
        <w:tab w:val="right" w:pos="8306"/>
      </w:tabs>
      <w:snapToGrid w:val="0"/>
      <w:jc w:val="center"/>
    </w:pPr>
    <w:rPr>
      <w:sz w:val="18"/>
      <w:szCs w:val="18"/>
    </w:rPr>
  </w:style>
  <w:style w:type="character" w:customStyle="1" w:styleId="a7">
    <w:name w:val="页眉 字符"/>
    <w:basedOn w:val="a0"/>
    <w:link w:val="a6"/>
    <w:uiPriority w:val="99"/>
    <w:rsid w:val="000B13C5"/>
    <w:rPr>
      <w:sz w:val="18"/>
      <w:szCs w:val="18"/>
    </w:rPr>
  </w:style>
  <w:style w:type="paragraph" w:styleId="a8">
    <w:name w:val="footer"/>
    <w:basedOn w:val="a"/>
    <w:link w:val="a9"/>
    <w:uiPriority w:val="99"/>
    <w:unhideWhenUsed/>
    <w:rsid w:val="000B13C5"/>
    <w:pPr>
      <w:tabs>
        <w:tab w:val="center" w:pos="4153"/>
        <w:tab w:val="right" w:pos="8306"/>
      </w:tabs>
      <w:snapToGrid w:val="0"/>
      <w:jc w:val="left"/>
    </w:pPr>
    <w:rPr>
      <w:sz w:val="18"/>
      <w:szCs w:val="18"/>
    </w:rPr>
  </w:style>
  <w:style w:type="character" w:customStyle="1" w:styleId="a9">
    <w:name w:val="页脚 字符"/>
    <w:basedOn w:val="a0"/>
    <w:link w:val="a8"/>
    <w:uiPriority w:val="99"/>
    <w:rsid w:val="000B13C5"/>
    <w:rPr>
      <w:sz w:val="18"/>
      <w:szCs w:val="18"/>
    </w:rPr>
  </w:style>
  <w:style w:type="character" w:customStyle="1" w:styleId="fontstyle01">
    <w:name w:val="fontstyle01"/>
    <w:basedOn w:val="a0"/>
    <w:rsid w:val="00C31BB7"/>
    <w:rPr>
      <w:rFonts w:ascii="AdvOTb92eb7df.I" w:hAnsi="AdvOTb92eb7df.I" w:hint="default"/>
      <w:b w:val="0"/>
      <w:bCs w:val="0"/>
      <w:i w:val="0"/>
      <w:iCs w:val="0"/>
      <w:color w:val="000000"/>
      <w:sz w:val="16"/>
      <w:szCs w:val="16"/>
    </w:rPr>
  </w:style>
  <w:style w:type="character" w:customStyle="1" w:styleId="fontstyle21">
    <w:name w:val="fontstyle21"/>
    <w:basedOn w:val="a0"/>
    <w:rsid w:val="0072458C"/>
    <w:rPr>
      <w:rFonts w:ascii="Minion-Regular" w:hAnsi="Minion-Regular" w:hint="default"/>
      <w:b w:val="0"/>
      <w:bCs w:val="0"/>
      <w:i w:val="0"/>
      <w:iCs w:val="0"/>
      <w:color w:val="231F20"/>
      <w:sz w:val="18"/>
      <w:szCs w:val="18"/>
    </w:rPr>
  </w:style>
  <w:style w:type="character" w:customStyle="1" w:styleId="fontstyle31">
    <w:name w:val="fontstyle31"/>
    <w:basedOn w:val="a0"/>
    <w:rsid w:val="00884A3B"/>
    <w:rPr>
      <w:rFonts w:ascii="AdvOT46dcae81+fb" w:hAnsi="AdvOT46dcae81+fb" w:hint="default"/>
      <w:b w:val="0"/>
      <w:bCs w:val="0"/>
      <w:i w:val="0"/>
      <w:iCs w:val="0"/>
      <w:color w:val="000000"/>
      <w:sz w:val="18"/>
      <w:szCs w:val="18"/>
    </w:rPr>
  </w:style>
  <w:style w:type="character" w:customStyle="1" w:styleId="fontstyle41">
    <w:name w:val="fontstyle41"/>
    <w:basedOn w:val="a0"/>
    <w:rsid w:val="00C45E9C"/>
    <w:rPr>
      <w:rFonts w:ascii="AdvP7DA6" w:hAnsi="AdvP7DA6" w:hint="default"/>
      <w:b w:val="0"/>
      <w:bCs w:val="0"/>
      <w:i w:val="0"/>
      <w:iCs w:val="0"/>
      <w:color w:val="000000"/>
      <w:sz w:val="20"/>
      <w:szCs w:val="20"/>
    </w:rPr>
  </w:style>
  <w:style w:type="character" w:customStyle="1" w:styleId="fontstyle51">
    <w:name w:val="fontstyle51"/>
    <w:basedOn w:val="a0"/>
    <w:rsid w:val="00C45E9C"/>
    <w:rPr>
      <w:rFonts w:ascii="AdvOT1ef757c0+fb" w:hAnsi="AdvOT1ef757c0+fb" w:hint="default"/>
      <w:b w:val="0"/>
      <w:bCs w:val="0"/>
      <w:i w:val="0"/>
      <w:iCs w:val="0"/>
      <w:color w:val="000000"/>
      <w:sz w:val="20"/>
      <w:szCs w:val="20"/>
    </w:rPr>
  </w:style>
  <w:style w:type="character" w:customStyle="1" w:styleId="fontstyle11">
    <w:name w:val="fontstyle11"/>
    <w:basedOn w:val="a0"/>
    <w:rsid w:val="00FD221F"/>
    <w:rPr>
      <w:rFonts w:ascii="AdvTT5235d5a9+20" w:hAnsi="AdvTT5235d5a9+20" w:hint="default"/>
      <w:b w:val="0"/>
      <w:bCs w:val="0"/>
      <w:i w:val="0"/>
      <w:iCs w:val="0"/>
      <w:color w:val="231F20"/>
      <w:sz w:val="16"/>
      <w:szCs w:val="16"/>
    </w:rPr>
  </w:style>
  <w:style w:type="paragraph" w:styleId="HTML">
    <w:name w:val="HTML Preformatted"/>
    <w:basedOn w:val="a"/>
    <w:link w:val="HTML0"/>
    <w:uiPriority w:val="99"/>
    <w:unhideWhenUsed/>
    <w:rsid w:val="00FD221F"/>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eastAsia="宋体" w:hAnsi="宋体" w:cs="宋体"/>
      <w:kern w:val="0"/>
      <w:sz w:val="24"/>
      <w:szCs w:val="24"/>
    </w:rPr>
  </w:style>
  <w:style w:type="character" w:customStyle="1" w:styleId="HTML0">
    <w:name w:val="HTML 预设格式 字符"/>
    <w:basedOn w:val="a0"/>
    <w:link w:val="HTML"/>
    <w:uiPriority w:val="99"/>
    <w:rsid w:val="00FD221F"/>
    <w:rPr>
      <w:rFonts w:ascii="宋体" w:eastAsia="宋体" w:hAnsi="宋体" w:cs="宋体"/>
      <w:kern w:val="0"/>
      <w:sz w:val="24"/>
      <w:szCs w:val="24"/>
    </w:rPr>
  </w:style>
  <w:style w:type="paragraph" w:styleId="aa">
    <w:name w:val="Title"/>
    <w:basedOn w:val="a"/>
    <w:next w:val="a"/>
    <w:link w:val="ab"/>
    <w:uiPriority w:val="10"/>
    <w:qFormat/>
    <w:rsid w:val="000D4210"/>
    <w:pPr>
      <w:spacing w:before="240" w:after="60"/>
      <w:jc w:val="center"/>
      <w:outlineLvl w:val="0"/>
    </w:pPr>
    <w:rPr>
      <w:rFonts w:asciiTheme="majorHAnsi" w:eastAsia="宋体" w:hAnsiTheme="majorHAnsi" w:cstheme="majorBidi"/>
      <w:b/>
      <w:bCs/>
      <w:sz w:val="32"/>
      <w:szCs w:val="32"/>
    </w:rPr>
  </w:style>
  <w:style w:type="character" w:customStyle="1" w:styleId="ab">
    <w:name w:val="标题 字符"/>
    <w:basedOn w:val="a0"/>
    <w:link w:val="aa"/>
    <w:uiPriority w:val="10"/>
    <w:rsid w:val="000D4210"/>
    <w:rPr>
      <w:rFonts w:asciiTheme="majorHAnsi" w:eastAsia="宋体" w:hAnsiTheme="majorHAnsi" w:cstheme="majorBidi"/>
      <w:b/>
      <w:bCs/>
      <w:sz w:val="32"/>
      <w:szCs w:val="32"/>
    </w:rPr>
  </w:style>
  <w:style w:type="character" w:styleId="ac">
    <w:name w:val="Hyperlink"/>
    <w:basedOn w:val="a0"/>
    <w:uiPriority w:val="99"/>
    <w:unhideWhenUsed/>
    <w:qFormat/>
    <w:rsid w:val="005D47DE"/>
    <w:rPr>
      <w:color w:val="0000FF"/>
      <w:u w:val="single"/>
    </w:rPr>
  </w:style>
  <w:style w:type="character" w:customStyle="1" w:styleId="highlight">
    <w:name w:val="highlight"/>
    <w:basedOn w:val="a0"/>
    <w:rsid w:val="005D47DE"/>
  </w:style>
  <w:style w:type="paragraph" w:styleId="ad">
    <w:name w:val="annotation text"/>
    <w:basedOn w:val="a"/>
    <w:link w:val="ae"/>
    <w:uiPriority w:val="99"/>
    <w:unhideWhenUsed/>
    <w:rsid w:val="00B9595E"/>
    <w:pPr>
      <w:widowControl/>
      <w:adjustRightInd w:val="0"/>
      <w:snapToGrid w:val="0"/>
      <w:spacing w:after="200"/>
      <w:jc w:val="left"/>
    </w:pPr>
    <w:rPr>
      <w:rFonts w:ascii="Tahoma" w:eastAsia="微软雅黑" w:hAnsi="Tahoma"/>
      <w:kern w:val="0"/>
      <w:sz w:val="22"/>
    </w:rPr>
  </w:style>
  <w:style w:type="character" w:customStyle="1" w:styleId="ae">
    <w:name w:val="批注文字 字符"/>
    <w:basedOn w:val="a0"/>
    <w:link w:val="ad"/>
    <w:uiPriority w:val="99"/>
    <w:rsid w:val="00B9595E"/>
    <w:rPr>
      <w:rFonts w:ascii="Tahoma" w:eastAsia="微软雅黑" w:hAnsi="Tahoma"/>
      <w:kern w:val="0"/>
      <w:sz w:val="22"/>
    </w:rPr>
  </w:style>
  <w:style w:type="character" w:styleId="af">
    <w:name w:val="Strong"/>
    <w:basedOn w:val="a0"/>
    <w:uiPriority w:val="22"/>
    <w:qFormat/>
    <w:rsid w:val="00466E87"/>
    <w:rPr>
      <w:b/>
      <w:bCs/>
    </w:rPr>
  </w:style>
  <w:style w:type="character" w:customStyle="1" w:styleId="apple-converted-space">
    <w:name w:val="apple-converted-space"/>
    <w:basedOn w:val="a0"/>
    <w:rsid w:val="00466E87"/>
  </w:style>
  <w:style w:type="character" w:styleId="af0">
    <w:name w:val="Emphasis"/>
    <w:basedOn w:val="a0"/>
    <w:uiPriority w:val="20"/>
    <w:qFormat/>
    <w:rsid w:val="004778EE"/>
    <w:rPr>
      <w:i/>
      <w:iCs/>
    </w:rPr>
  </w:style>
  <w:style w:type="character" w:customStyle="1" w:styleId="10">
    <w:name w:val="标题 1 字符"/>
    <w:basedOn w:val="a0"/>
    <w:link w:val="1"/>
    <w:uiPriority w:val="9"/>
    <w:rsid w:val="003574D1"/>
    <w:rPr>
      <w:rFonts w:ascii="宋体" w:eastAsia="宋体" w:hAnsi="宋体" w:cs="宋体"/>
      <w:b/>
      <w:bCs/>
      <w:kern w:val="36"/>
      <w:sz w:val="48"/>
      <w:szCs w:val="48"/>
    </w:rPr>
  </w:style>
  <w:style w:type="character" w:customStyle="1" w:styleId="20">
    <w:name w:val="标题 2 字符"/>
    <w:basedOn w:val="a0"/>
    <w:link w:val="2"/>
    <w:uiPriority w:val="9"/>
    <w:semiHidden/>
    <w:rsid w:val="00DF72F8"/>
    <w:rPr>
      <w:rFonts w:asciiTheme="majorHAnsi" w:eastAsiaTheme="majorEastAsia" w:hAnsiTheme="majorHAnsi" w:cstheme="majorBidi"/>
      <w:b/>
      <w:bCs/>
      <w:sz w:val="32"/>
      <w:szCs w:val="32"/>
    </w:rPr>
  </w:style>
  <w:style w:type="paragraph" w:customStyle="1" w:styleId="EndNoteBibliographyTitle">
    <w:name w:val="EndNote Bibliography Title"/>
    <w:basedOn w:val="a"/>
    <w:link w:val="EndNoteBibliographyTitleChar"/>
    <w:rsid w:val="005F2F2C"/>
    <w:pPr>
      <w:jc w:val="center"/>
    </w:pPr>
    <w:rPr>
      <w:rFonts w:ascii="Calibri" w:hAnsi="Calibri" w:cs="Calibri"/>
      <w:noProof/>
      <w:sz w:val="20"/>
    </w:rPr>
  </w:style>
  <w:style w:type="character" w:customStyle="1" w:styleId="EndNoteBibliographyTitleChar">
    <w:name w:val="EndNote Bibliography Title Char"/>
    <w:basedOn w:val="a0"/>
    <w:link w:val="EndNoteBibliographyTitle"/>
    <w:rsid w:val="005F2F2C"/>
    <w:rPr>
      <w:rFonts w:ascii="Calibri" w:hAnsi="Calibri" w:cs="Calibri"/>
      <w:noProof/>
      <w:sz w:val="20"/>
    </w:rPr>
  </w:style>
  <w:style w:type="paragraph" w:customStyle="1" w:styleId="EndNoteBibliography">
    <w:name w:val="EndNote Bibliography"/>
    <w:basedOn w:val="a"/>
    <w:link w:val="EndNoteBibliographyChar"/>
    <w:rsid w:val="005F2F2C"/>
    <w:rPr>
      <w:rFonts w:ascii="Calibri" w:hAnsi="Calibri" w:cs="Calibri"/>
      <w:noProof/>
      <w:sz w:val="20"/>
    </w:rPr>
  </w:style>
  <w:style w:type="character" w:customStyle="1" w:styleId="EndNoteBibliographyChar">
    <w:name w:val="EndNote Bibliography Char"/>
    <w:basedOn w:val="a0"/>
    <w:link w:val="EndNoteBibliography"/>
    <w:rsid w:val="005F2F2C"/>
    <w:rPr>
      <w:rFonts w:ascii="Calibri" w:hAnsi="Calibri" w:cs="Calibri"/>
      <w:noProof/>
      <w:sz w:val="20"/>
    </w:rPr>
  </w:style>
  <w:style w:type="paragraph" w:styleId="af1">
    <w:name w:val="List Paragraph"/>
    <w:basedOn w:val="a"/>
    <w:uiPriority w:val="34"/>
    <w:qFormat/>
    <w:rsid w:val="00752DE9"/>
    <w:pPr>
      <w:ind w:firstLineChars="200" w:firstLine="420"/>
    </w:pPr>
  </w:style>
  <w:style w:type="character" w:styleId="af2">
    <w:name w:val="line number"/>
    <w:basedOn w:val="a0"/>
    <w:uiPriority w:val="99"/>
    <w:semiHidden/>
    <w:unhideWhenUsed/>
    <w:rsid w:val="009D1F79"/>
  </w:style>
  <w:style w:type="paragraph" w:styleId="af3">
    <w:name w:val="Balloon Text"/>
    <w:basedOn w:val="a"/>
    <w:link w:val="af4"/>
    <w:uiPriority w:val="99"/>
    <w:semiHidden/>
    <w:unhideWhenUsed/>
    <w:rsid w:val="009E7ECD"/>
    <w:rPr>
      <w:sz w:val="18"/>
      <w:szCs w:val="18"/>
    </w:rPr>
  </w:style>
  <w:style w:type="character" w:customStyle="1" w:styleId="af4">
    <w:name w:val="批注框文本 字符"/>
    <w:basedOn w:val="a0"/>
    <w:link w:val="af3"/>
    <w:uiPriority w:val="99"/>
    <w:semiHidden/>
    <w:rsid w:val="009E7ECD"/>
    <w:rPr>
      <w:sz w:val="18"/>
      <w:szCs w:val="18"/>
    </w:rPr>
  </w:style>
  <w:style w:type="character" w:styleId="af5">
    <w:name w:val="annotation reference"/>
    <w:basedOn w:val="a0"/>
    <w:uiPriority w:val="99"/>
    <w:semiHidden/>
    <w:unhideWhenUsed/>
    <w:rsid w:val="00A746B5"/>
    <w:rPr>
      <w:sz w:val="21"/>
      <w:szCs w:val="21"/>
    </w:rPr>
  </w:style>
  <w:style w:type="paragraph" w:styleId="af6">
    <w:name w:val="annotation subject"/>
    <w:basedOn w:val="ad"/>
    <w:next w:val="ad"/>
    <w:link w:val="af7"/>
    <w:uiPriority w:val="99"/>
    <w:semiHidden/>
    <w:unhideWhenUsed/>
    <w:rsid w:val="00A746B5"/>
    <w:pPr>
      <w:widowControl w:val="0"/>
      <w:adjustRightInd/>
      <w:snapToGrid/>
      <w:spacing w:after="0"/>
    </w:pPr>
    <w:rPr>
      <w:rFonts w:asciiTheme="minorHAnsi" w:eastAsiaTheme="minorEastAsia" w:hAnsiTheme="minorHAnsi"/>
      <w:b/>
      <w:bCs/>
      <w:kern w:val="2"/>
      <w:sz w:val="21"/>
    </w:rPr>
  </w:style>
  <w:style w:type="character" w:customStyle="1" w:styleId="af7">
    <w:name w:val="批注主题 字符"/>
    <w:basedOn w:val="ae"/>
    <w:link w:val="af6"/>
    <w:uiPriority w:val="99"/>
    <w:semiHidden/>
    <w:rsid w:val="00A746B5"/>
    <w:rPr>
      <w:rFonts w:ascii="Tahoma" w:eastAsia="微软雅黑" w:hAnsi="Tahoma"/>
      <w:b/>
      <w:bCs/>
      <w:kern w:val="0"/>
      <w:sz w:val="22"/>
    </w:rPr>
  </w:style>
  <w:style w:type="character" w:styleId="af8">
    <w:name w:val="Unresolved Mention"/>
    <w:basedOn w:val="a0"/>
    <w:uiPriority w:val="99"/>
    <w:semiHidden/>
    <w:unhideWhenUsed/>
    <w:rsid w:val="00E2645C"/>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70216554">
      <w:bodyDiv w:val="1"/>
      <w:marLeft w:val="0"/>
      <w:marRight w:val="0"/>
      <w:marTop w:val="0"/>
      <w:marBottom w:val="0"/>
      <w:divBdr>
        <w:top w:val="none" w:sz="0" w:space="0" w:color="auto"/>
        <w:left w:val="none" w:sz="0" w:space="0" w:color="auto"/>
        <w:bottom w:val="none" w:sz="0" w:space="0" w:color="auto"/>
        <w:right w:val="none" w:sz="0" w:space="0" w:color="auto"/>
      </w:divBdr>
    </w:div>
    <w:div w:id="273489091">
      <w:bodyDiv w:val="1"/>
      <w:marLeft w:val="0"/>
      <w:marRight w:val="0"/>
      <w:marTop w:val="0"/>
      <w:marBottom w:val="0"/>
      <w:divBdr>
        <w:top w:val="none" w:sz="0" w:space="0" w:color="auto"/>
        <w:left w:val="none" w:sz="0" w:space="0" w:color="auto"/>
        <w:bottom w:val="none" w:sz="0" w:space="0" w:color="auto"/>
        <w:right w:val="none" w:sz="0" w:space="0" w:color="auto"/>
      </w:divBdr>
    </w:div>
    <w:div w:id="283852554">
      <w:bodyDiv w:val="1"/>
      <w:marLeft w:val="0"/>
      <w:marRight w:val="0"/>
      <w:marTop w:val="0"/>
      <w:marBottom w:val="0"/>
      <w:divBdr>
        <w:top w:val="none" w:sz="0" w:space="0" w:color="auto"/>
        <w:left w:val="none" w:sz="0" w:space="0" w:color="auto"/>
        <w:bottom w:val="none" w:sz="0" w:space="0" w:color="auto"/>
        <w:right w:val="none" w:sz="0" w:space="0" w:color="auto"/>
      </w:divBdr>
    </w:div>
    <w:div w:id="354573791">
      <w:bodyDiv w:val="1"/>
      <w:marLeft w:val="0"/>
      <w:marRight w:val="0"/>
      <w:marTop w:val="0"/>
      <w:marBottom w:val="0"/>
      <w:divBdr>
        <w:top w:val="none" w:sz="0" w:space="0" w:color="auto"/>
        <w:left w:val="none" w:sz="0" w:space="0" w:color="auto"/>
        <w:bottom w:val="none" w:sz="0" w:space="0" w:color="auto"/>
        <w:right w:val="none" w:sz="0" w:space="0" w:color="auto"/>
      </w:divBdr>
    </w:div>
    <w:div w:id="385447563">
      <w:bodyDiv w:val="1"/>
      <w:marLeft w:val="0"/>
      <w:marRight w:val="0"/>
      <w:marTop w:val="0"/>
      <w:marBottom w:val="0"/>
      <w:divBdr>
        <w:top w:val="none" w:sz="0" w:space="0" w:color="auto"/>
        <w:left w:val="none" w:sz="0" w:space="0" w:color="auto"/>
        <w:bottom w:val="none" w:sz="0" w:space="0" w:color="auto"/>
        <w:right w:val="none" w:sz="0" w:space="0" w:color="auto"/>
      </w:divBdr>
    </w:div>
    <w:div w:id="397871031">
      <w:bodyDiv w:val="1"/>
      <w:marLeft w:val="0"/>
      <w:marRight w:val="0"/>
      <w:marTop w:val="0"/>
      <w:marBottom w:val="0"/>
      <w:divBdr>
        <w:top w:val="none" w:sz="0" w:space="0" w:color="auto"/>
        <w:left w:val="none" w:sz="0" w:space="0" w:color="auto"/>
        <w:bottom w:val="none" w:sz="0" w:space="0" w:color="auto"/>
        <w:right w:val="none" w:sz="0" w:space="0" w:color="auto"/>
      </w:divBdr>
    </w:div>
    <w:div w:id="398596205">
      <w:bodyDiv w:val="1"/>
      <w:marLeft w:val="0"/>
      <w:marRight w:val="0"/>
      <w:marTop w:val="0"/>
      <w:marBottom w:val="0"/>
      <w:divBdr>
        <w:top w:val="none" w:sz="0" w:space="0" w:color="auto"/>
        <w:left w:val="none" w:sz="0" w:space="0" w:color="auto"/>
        <w:bottom w:val="none" w:sz="0" w:space="0" w:color="auto"/>
        <w:right w:val="none" w:sz="0" w:space="0" w:color="auto"/>
      </w:divBdr>
    </w:div>
    <w:div w:id="473179790">
      <w:bodyDiv w:val="1"/>
      <w:marLeft w:val="0"/>
      <w:marRight w:val="0"/>
      <w:marTop w:val="0"/>
      <w:marBottom w:val="0"/>
      <w:divBdr>
        <w:top w:val="none" w:sz="0" w:space="0" w:color="auto"/>
        <w:left w:val="none" w:sz="0" w:space="0" w:color="auto"/>
        <w:bottom w:val="none" w:sz="0" w:space="0" w:color="auto"/>
        <w:right w:val="none" w:sz="0" w:space="0" w:color="auto"/>
      </w:divBdr>
    </w:div>
    <w:div w:id="555973788">
      <w:bodyDiv w:val="1"/>
      <w:marLeft w:val="0"/>
      <w:marRight w:val="0"/>
      <w:marTop w:val="0"/>
      <w:marBottom w:val="0"/>
      <w:divBdr>
        <w:top w:val="none" w:sz="0" w:space="0" w:color="auto"/>
        <w:left w:val="none" w:sz="0" w:space="0" w:color="auto"/>
        <w:bottom w:val="none" w:sz="0" w:space="0" w:color="auto"/>
        <w:right w:val="none" w:sz="0" w:space="0" w:color="auto"/>
      </w:divBdr>
    </w:div>
    <w:div w:id="620723417">
      <w:bodyDiv w:val="1"/>
      <w:marLeft w:val="0"/>
      <w:marRight w:val="0"/>
      <w:marTop w:val="0"/>
      <w:marBottom w:val="0"/>
      <w:divBdr>
        <w:top w:val="none" w:sz="0" w:space="0" w:color="auto"/>
        <w:left w:val="none" w:sz="0" w:space="0" w:color="auto"/>
        <w:bottom w:val="none" w:sz="0" w:space="0" w:color="auto"/>
        <w:right w:val="none" w:sz="0" w:space="0" w:color="auto"/>
      </w:divBdr>
    </w:div>
    <w:div w:id="647977464">
      <w:bodyDiv w:val="1"/>
      <w:marLeft w:val="0"/>
      <w:marRight w:val="0"/>
      <w:marTop w:val="0"/>
      <w:marBottom w:val="0"/>
      <w:divBdr>
        <w:top w:val="none" w:sz="0" w:space="0" w:color="auto"/>
        <w:left w:val="none" w:sz="0" w:space="0" w:color="auto"/>
        <w:bottom w:val="none" w:sz="0" w:space="0" w:color="auto"/>
        <w:right w:val="none" w:sz="0" w:space="0" w:color="auto"/>
      </w:divBdr>
    </w:div>
    <w:div w:id="775173853">
      <w:bodyDiv w:val="1"/>
      <w:marLeft w:val="0"/>
      <w:marRight w:val="0"/>
      <w:marTop w:val="0"/>
      <w:marBottom w:val="0"/>
      <w:divBdr>
        <w:top w:val="none" w:sz="0" w:space="0" w:color="auto"/>
        <w:left w:val="none" w:sz="0" w:space="0" w:color="auto"/>
        <w:bottom w:val="none" w:sz="0" w:space="0" w:color="auto"/>
        <w:right w:val="none" w:sz="0" w:space="0" w:color="auto"/>
      </w:divBdr>
    </w:div>
    <w:div w:id="900599598">
      <w:bodyDiv w:val="1"/>
      <w:marLeft w:val="0"/>
      <w:marRight w:val="0"/>
      <w:marTop w:val="0"/>
      <w:marBottom w:val="0"/>
      <w:divBdr>
        <w:top w:val="none" w:sz="0" w:space="0" w:color="auto"/>
        <w:left w:val="none" w:sz="0" w:space="0" w:color="auto"/>
        <w:bottom w:val="none" w:sz="0" w:space="0" w:color="auto"/>
        <w:right w:val="none" w:sz="0" w:space="0" w:color="auto"/>
      </w:divBdr>
    </w:div>
    <w:div w:id="939609669">
      <w:bodyDiv w:val="1"/>
      <w:marLeft w:val="0"/>
      <w:marRight w:val="0"/>
      <w:marTop w:val="0"/>
      <w:marBottom w:val="0"/>
      <w:divBdr>
        <w:top w:val="none" w:sz="0" w:space="0" w:color="auto"/>
        <w:left w:val="none" w:sz="0" w:space="0" w:color="auto"/>
        <w:bottom w:val="none" w:sz="0" w:space="0" w:color="auto"/>
        <w:right w:val="none" w:sz="0" w:space="0" w:color="auto"/>
      </w:divBdr>
    </w:div>
    <w:div w:id="989940151">
      <w:bodyDiv w:val="1"/>
      <w:marLeft w:val="0"/>
      <w:marRight w:val="0"/>
      <w:marTop w:val="0"/>
      <w:marBottom w:val="0"/>
      <w:divBdr>
        <w:top w:val="none" w:sz="0" w:space="0" w:color="auto"/>
        <w:left w:val="none" w:sz="0" w:space="0" w:color="auto"/>
        <w:bottom w:val="none" w:sz="0" w:space="0" w:color="auto"/>
        <w:right w:val="none" w:sz="0" w:space="0" w:color="auto"/>
      </w:divBdr>
    </w:div>
    <w:div w:id="1025129751">
      <w:bodyDiv w:val="1"/>
      <w:marLeft w:val="0"/>
      <w:marRight w:val="0"/>
      <w:marTop w:val="0"/>
      <w:marBottom w:val="0"/>
      <w:divBdr>
        <w:top w:val="none" w:sz="0" w:space="0" w:color="auto"/>
        <w:left w:val="none" w:sz="0" w:space="0" w:color="auto"/>
        <w:bottom w:val="none" w:sz="0" w:space="0" w:color="auto"/>
        <w:right w:val="none" w:sz="0" w:space="0" w:color="auto"/>
      </w:divBdr>
    </w:div>
    <w:div w:id="1199514580">
      <w:bodyDiv w:val="1"/>
      <w:marLeft w:val="0"/>
      <w:marRight w:val="0"/>
      <w:marTop w:val="0"/>
      <w:marBottom w:val="0"/>
      <w:divBdr>
        <w:top w:val="none" w:sz="0" w:space="0" w:color="auto"/>
        <w:left w:val="none" w:sz="0" w:space="0" w:color="auto"/>
        <w:bottom w:val="none" w:sz="0" w:space="0" w:color="auto"/>
        <w:right w:val="none" w:sz="0" w:space="0" w:color="auto"/>
      </w:divBdr>
    </w:div>
    <w:div w:id="1242257256">
      <w:bodyDiv w:val="1"/>
      <w:marLeft w:val="0"/>
      <w:marRight w:val="0"/>
      <w:marTop w:val="0"/>
      <w:marBottom w:val="0"/>
      <w:divBdr>
        <w:top w:val="none" w:sz="0" w:space="0" w:color="auto"/>
        <w:left w:val="none" w:sz="0" w:space="0" w:color="auto"/>
        <w:bottom w:val="none" w:sz="0" w:space="0" w:color="auto"/>
        <w:right w:val="none" w:sz="0" w:space="0" w:color="auto"/>
      </w:divBdr>
    </w:div>
    <w:div w:id="1248731857">
      <w:bodyDiv w:val="1"/>
      <w:marLeft w:val="0"/>
      <w:marRight w:val="0"/>
      <w:marTop w:val="0"/>
      <w:marBottom w:val="0"/>
      <w:divBdr>
        <w:top w:val="none" w:sz="0" w:space="0" w:color="auto"/>
        <w:left w:val="none" w:sz="0" w:space="0" w:color="auto"/>
        <w:bottom w:val="none" w:sz="0" w:space="0" w:color="auto"/>
        <w:right w:val="none" w:sz="0" w:space="0" w:color="auto"/>
      </w:divBdr>
    </w:div>
    <w:div w:id="1346444055">
      <w:bodyDiv w:val="1"/>
      <w:marLeft w:val="0"/>
      <w:marRight w:val="0"/>
      <w:marTop w:val="0"/>
      <w:marBottom w:val="0"/>
      <w:divBdr>
        <w:top w:val="none" w:sz="0" w:space="0" w:color="auto"/>
        <w:left w:val="none" w:sz="0" w:space="0" w:color="auto"/>
        <w:bottom w:val="none" w:sz="0" w:space="0" w:color="auto"/>
        <w:right w:val="none" w:sz="0" w:space="0" w:color="auto"/>
      </w:divBdr>
    </w:div>
    <w:div w:id="1347949533">
      <w:bodyDiv w:val="1"/>
      <w:marLeft w:val="0"/>
      <w:marRight w:val="0"/>
      <w:marTop w:val="0"/>
      <w:marBottom w:val="0"/>
      <w:divBdr>
        <w:top w:val="none" w:sz="0" w:space="0" w:color="auto"/>
        <w:left w:val="none" w:sz="0" w:space="0" w:color="auto"/>
        <w:bottom w:val="none" w:sz="0" w:space="0" w:color="auto"/>
        <w:right w:val="none" w:sz="0" w:space="0" w:color="auto"/>
      </w:divBdr>
    </w:div>
    <w:div w:id="1436097201">
      <w:bodyDiv w:val="1"/>
      <w:marLeft w:val="0"/>
      <w:marRight w:val="0"/>
      <w:marTop w:val="0"/>
      <w:marBottom w:val="0"/>
      <w:divBdr>
        <w:top w:val="none" w:sz="0" w:space="0" w:color="auto"/>
        <w:left w:val="none" w:sz="0" w:space="0" w:color="auto"/>
        <w:bottom w:val="none" w:sz="0" w:space="0" w:color="auto"/>
        <w:right w:val="none" w:sz="0" w:space="0" w:color="auto"/>
      </w:divBdr>
    </w:div>
    <w:div w:id="1474330159">
      <w:bodyDiv w:val="1"/>
      <w:marLeft w:val="0"/>
      <w:marRight w:val="0"/>
      <w:marTop w:val="0"/>
      <w:marBottom w:val="0"/>
      <w:divBdr>
        <w:top w:val="none" w:sz="0" w:space="0" w:color="auto"/>
        <w:left w:val="none" w:sz="0" w:space="0" w:color="auto"/>
        <w:bottom w:val="none" w:sz="0" w:space="0" w:color="auto"/>
        <w:right w:val="none" w:sz="0" w:space="0" w:color="auto"/>
      </w:divBdr>
    </w:div>
    <w:div w:id="1550530103">
      <w:bodyDiv w:val="1"/>
      <w:marLeft w:val="0"/>
      <w:marRight w:val="0"/>
      <w:marTop w:val="0"/>
      <w:marBottom w:val="0"/>
      <w:divBdr>
        <w:top w:val="none" w:sz="0" w:space="0" w:color="auto"/>
        <w:left w:val="none" w:sz="0" w:space="0" w:color="auto"/>
        <w:bottom w:val="none" w:sz="0" w:space="0" w:color="auto"/>
        <w:right w:val="none" w:sz="0" w:space="0" w:color="auto"/>
      </w:divBdr>
    </w:div>
    <w:div w:id="1550873556">
      <w:bodyDiv w:val="1"/>
      <w:marLeft w:val="0"/>
      <w:marRight w:val="0"/>
      <w:marTop w:val="0"/>
      <w:marBottom w:val="0"/>
      <w:divBdr>
        <w:top w:val="none" w:sz="0" w:space="0" w:color="auto"/>
        <w:left w:val="none" w:sz="0" w:space="0" w:color="auto"/>
        <w:bottom w:val="none" w:sz="0" w:space="0" w:color="auto"/>
        <w:right w:val="none" w:sz="0" w:space="0" w:color="auto"/>
      </w:divBdr>
    </w:div>
    <w:div w:id="1572887536">
      <w:bodyDiv w:val="1"/>
      <w:marLeft w:val="0"/>
      <w:marRight w:val="0"/>
      <w:marTop w:val="0"/>
      <w:marBottom w:val="0"/>
      <w:divBdr>
        <w:top w:val="none" w:sz="0" w:space="0" w:color="auto"/>
        <w:left w:val="none" w:sz="0" w:space="0" w:color="auto"/>
        <w:bottom w:val="none" w:sz="0" w:space="0" w:color="auto"/>
        <w:right w:val="none" w:sz="0" w:space="0" w:color="auto"/>
      </w:divBdr>
    </w:div>
    <w:div w:id="1645693613">
      <w:bodyDiv w:val="1"/>
      <w:marLeft w:val="0"/>
      <w:marRight w:val="0"/>
      <w:marTop w:val="0"/>
      <w:marBottom w:val="0"/>
      <w:divBdr>
        <w:top w:val="none" w:sz="0" w:space="0" w:color="auto"/>
        <w:left w:val="none" w:sz="0" w:space="0" w:color="auto"/>
        <w:bottom w:val="none" w:sz="0" w:space="0" w:color="auto"/>
        <w:right w:val="none" w:sz="0" w:space="0" w:color="auto"/>
      </w:divBdr>
    </w:div>
    <w:div w:id="1659384560">
      <w:bodyDiv w:val="1"/>
      <w:marLeft w:val="0"/>
      <w:marRight w:val="0"/>
      <w:marTop w:val="0"/>
      <w:marBottom w:val="0"/>
      <w:divBdr>
        <w:top w:val="none" w:sz="0" w:space="0" w:color="auto"/>
        <w:left w:val="none" w:sz="0" w:space="0" w:color="auto"/>
        <w:bottom w:val="none" w:sz="0" w:space="0" w:color="auto"/>
        <w:right w:val="none" w:sz="0" w:space="0" w:color="auto"/>
      </w:divBdr>
    </w:div>
    <w:div w:id="1694765074">
      <w:bodyDiv w:val="1"/>
      <w:marLeft w:val="0"/>
      <w:marRight w:val="0"/>
      <w:marTop w:val="0"/>
      <w:marBottom w:val="0"/>
      <w:divBdr>
        <w:top w:val="none" w:sz="0" w:space="0" w:color="auto"/>
        <w:left w:val="none" w:sz="0" w:space="0" w:color="auto"/>
        <w:bottom w:val="none" w:sz="0" w:space="0" w:color="auto"/>
        <w:right w:val="none" w:sz="0" w:space="0" w:color="auto"/>
      </w:divBdr>
    </w:div>
    <w:div w:id="171457514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tiff"/><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6D8EAF4-5F1C-4CA5-9EE5-9982B3E9E07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TotalTime>
  <Pages>3</Pages>
  <Words>547</Words>
  <Characters>3123</Characters>
  <Application>Microsoft Office Word</Application>
  <DocSecurity>0</DocSecurity>
  <Lines>26</Lines>
  <Paragraphs>7</Paragraphs>
  <ScaleCrop>false</ScaleCrop>
  <Company>Sky123.Org</Company>
  <LinksUpToDate>false</LinksUpToDate>
  <CharactersWithSpaces>3663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China</dc:creator>
  <dc:description>NE.Ref</dc:description>
  <cp:lastModifiedBy>yan mickey</cp:lastModifiedBy>
  <cp:revision>7</cp:revision>
  <dcterms:created xsi:type="dcterms:W3CDTF">2024-06-23T09:30:00Z</dcterms:created>
  <dcterms:modified xsi:type="dcterms:W3CDTF">2024-08-05T14:41:00Z</dcterms:modified>
</cp:coreProperties>
</file>