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STROBE Statement—Checklist for Cohort Studies (Filled from “Perfect Version” Manuscript)</w:t>
      </w:r>
    </w:p>
    <w:p>
      <w:pPr>
        <w:jc w:val="left"/>
      </w:pPr>
      <w:r>
        <w:t>Manuscript: Application of the “5E” Instructional Model to Basic Nursing Teaching in Characteristic Industry College (Retrospective Cohort)</w:t>
      </w:r>
    </w:p>
    <w:p>
      <w:r>
        <w:t>Note: Page (p.) and line (L.) numbers refer to the line-numbered revised PDF provided by the author. “NA” = not applicable / not reported.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 No.</w:t>
            </w:r>
          </w:p>
        </w:tc>
        <w:tc>
          <w:tcPr>
            <w:tcW w:type="dxa" w:w="2880"/>
          </w:tcPr>
          <w:p>
            <w:r>
              <w:t>Recommendation</w:t>
            </w:r>
          </w:p>
        </w:tc>
        <w:tc>
          <w:tcPr>
            <w:tcW w:type="dxa" w:w="2880"/>
          </w:tcPr>
          <w:p>
            <w:r>
              <w:t>Where in manuscript (section / p., L.)</w:t>
            </w:r>
          </w:p>
        </w:tc>
      </w:tr>
      <w:tr>
        <w:tc>
          <w:tcPr>
            <w:tcW w:type="dxa" w:w="2880"/>
          </w:tcPr>
          <w:p>
            <w:r>
              <w:t>1(a)</w:t>
            </w:r>
          </w:p>
        </w:tc>
        <w:tc>
          <w:tcPr>
            <w:tcW w:type="dxa" w:w="2880"/>
          </w:tcPr>
          <w:p>
            <w:r>
              <w:t>Indicate the study design in the title or abstract.</w:t>
            </w:r>
          </w:p>
        </w:tc>
        <w:tc>
          <w:tcPr>
            <w:tcW w:type="dxa" w:w="2880"/>
          </w:tcPr>
          <w:p>
            <w:r>
              <w:t>Abstract Methods: “A retrospective cohort study design was used.” (p.2, L.11–17).</w:t>
            </w:r>
          </w:p>
        </w:tc>
      </w:tr>
      <w:tr>
        <w:tc>
          <w:tcPr>
            <w:tcW w:type="dxa" w:w="2880"/>
          </w:tcPr>
          <w:p>
            <w:r>
              <w:t>1(b)</w:t>
            </w:r>
          </w:p>
        </w:tc>
        <w:tc>
          <w:tcPr>
            <w:tcW w:type="dxa" w:w="2880"/>
          </w:tcPr>
          <w:p>
            <w:r>
              <w:t>Provide an informative, balanced summary of what was done and found in the abstract.</w:t>
            </w:r>
          </w:p>
        </w:tc>
        <w:tc>
          <w:tcPr>
            <w:tcW w:type="dxa" w:w="2880"/>
          </w:tcPr>
          <w:p>
            <w:r>
              <w:t>Abstract (Objective, Methods, Results, Conclusion) (p.2, L.3–29).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Explain scientific background and rationale.</w:t>
            </w:r>
          </w:p>
        </w:tc>
        <w:tc>
          <w:tcPr>
            <w:tcW w:type="dxa" w:w="2880"/>
          </w:tcPr>
          <w:p>
            <w:r>
              <w:t>Background (p.3–7, L.30–113).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State specific objectives, including any prespecified hypotheses.</w:t>
            </w:r>
          </w:p>
        </w:tc>
        <w:tc>
          <w:tcPr>
            <w:tcW w:type="dxa" w:w="2880"/>
          </w:tcPr>
          <w:p>
            <w:r>
              <w:t>End of Background: three aims listed (p.6–7, L.102–113).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Present key elements of study design early in the paper.</w:t>
            </w:r>
          </w:p>
        </w:tc>
        <w:tc>
          <w:tcPr>
            <w:tcW w:type="dxa" w:w="2880"/>
          </w:tcPr>
          <w:p>
            <w:r>
              <w:t>Study Design (§2.1) (p.7–8, L.115–134).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Describe the setting, locations, and relevant dates (recruitment, exposure, follow-up, data collection).</w:t>
            </w:r>
          </w:p>
        </w:tc>
        <w:tc>
          <w:tcPr>
            <w:tcW w:type="dxa" w:w="2880"/>
          </w:tcPr>
          <w:p>
            <w:r>
              <w:t>Institution/course context and ethics (p.7–8, L.116–123); data periods (p.8, L.135–137); course duration/setting (p.12, L.189–197).</w:t>
            </w:r>
          </w:p>
        </w:tc>
      </w:tr>
      <w:tr>
        <w:tc>
          <w:tcPr>
            <w:tcW w:type="dxa" w:w="2880"/>
          </w:tcPr>
          <w:p>
            <w:r>
              <w:t>6(a)</w:t>
            </w:r>
          </w:p>
        </w:tc>
        <w:tc>
          <w:tcPr>
            <w:tcW w:type="dxa" w:w="2880"/>
          </w:tcPr>
          <w:p>
            <w:r>
              <w:t>Eligibility criteria; sources and methods of selection; methods of follow-up.</w:t>
            </w:r>
          </w:p>
        </w:tc>
        <w:tc>
          <w:tcPr>
            <w:tcW w:type="dxa" w:w="2880"/>
          </w:tcPr>
          <w:p>
            <w:r>
              <w:t>Sampling and eligibility (p.8, L.123–132); group sizes (p.8, L.126–127); CTDI measured pre/post (p.10, L.188).</w:t>
            </w:r>
          </w:p>
        </w:tc>
      </w:tr>
      <w:tr>
        <w:tc>
          <w:tcPr>
            <w:tcW w:type="dxa" w:w="2880"/>
          </w:tcPr>
          <w:p>
            <w:r>
              <w:t>6(b)</w:t>
            </w:r>
          </w:p>
        </w:tc>
        <w:tc>
          <w:tcPr>
            <w:tcW w:type="dxa" w:w="2880"/>
          </w:tcPr>
          <w:p>
            <w:r>
              <w:t>For matched studies, give matching criteria and numbers of matched pairs.</w:t>
            </w:r>
          </w:p>
        </w:tc>
        <w:tc>
          <w:tcPr>
            <w:tcW w:type="dxa" w:w="2880"/>
          </w:tcPr>
          <w:p>
            <w:r>
              <w:t>NA (not a matched study).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Clearly define all outcomes, exposures, predictors, potential confounders, and effect modifiers.</w:t>
            </w:r>
          </w:p>
        </w:tc>
        <w:tc>
          <w:tcPr>
            <w:tcW w:type="dxa" w:w="2880"/>
          </w:tcPr>
          <w:p>
            <w:r>
              <w:t>Exposure: 5E vs traditional (§2.3.1–2.3.2) (p.11–13, L.198–260). Outcomes: course scores &amp; CTDI‑CV (§2.2.2–2.2.3) (p.9–10, L.147–188). Predictors/confounders collected: sex, age, GPA (§2.2.1) (p.8–9, L.138–145).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For each variable, give data sources and assessment methods; describe comparability if &gt;1 group.</w:t>
            </w:r>
          </w:p>
        </w:tc>
        <w:tc>
          <w:tcPr>
            <w:tcW w:type="dxa" w:w="2880"/>
          </w:tcPr>
          <w:p>
            <w:r>
              <w:t>Academic affairs system; standardized rubrics and combined online/offline scoring (p.9, L.156–167); CTDI‑CV instrument details/reliability (p.10, L.172–188).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Describe efforts to address potential sources of bias.</w:t>
            </w:r>
          </w:p>
        </w:tc>
        <w:tc>
          <w:tcPr>
            <w:tcW w:type="dxa" w:w="2880"/>
          </w:tcPr>
          <w:p>
            <w:r>
              <w:t>Quality Control (§2.4): separation of teaching and assessment; completeness checks; historical control to avoid cross‑contamination (p.13, L.266–274).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Explain how the study size was arrived at.</w:t>
            </w:r>
          </w:p>
        </w:tc>
        <w:tc>
          <w:tcPr>
            <w:tcW w:type="dxa" w:w="2880"/>
          </w:tcPr>
          <w:p>
            <w:r>
              <w:t>Convenience cluster sampling; size determined by eligible cohorts; no a priori calculation (p.8, L.123–127).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Explain handling of quantitative variables (and any groupings).</w:t>
            </w:r>
          </w:p>
        </w:tc>
        <w:tc>
          <w:tcPr>
            <w:tcW w:type="dxa" w:w="2880"/>
          </w:tcPr>
          <w:p>
            <w:r>
              <w:t>Means±SD; independent‑samples t‑tests; chi‑square for categorical; α=0.05 (p.13, L.261–265). CTDI category boundaries described (p.10, L.182–186).</w:t>
            </w:r>
          </w:p>
        </w:tc>
      </w:tr>
      <w:tr>
        <w:tc>
          <w:tcPr>
            <w:tcW w:type="dxa" w:w="2880"/>
          </w:tcPr>
          <w:p>
            <w:r>
              <w:t>12(a)</w:t>
            </w:r>
          </w:p>
        </w:tc>
        <w:tc>
          <w:tcPr>
            <w:tcW w:type="dxa" w:w="2880"/>
          </w:tcPr>
          <w:p>
            <w:r>
              <w:t>Describe all statistical methods, including those used to control for confounding.</w:t>
            </w:r>
          </w:p>
        </w:tc>
        <w:tc>
          <w:tcPr>
            <w:tcW w:type="dxa" w:w="2880"/>
          </w:tcPr>
          <w:p>
            <w:r>
              <w:t>t‑tests and chi‑square; no covariate adjustment performed (p.13, L.261–265).</w:t>
            </w:r>
          </w:p>
        </w:tc>
      </w:tr>
      <w:tr>
        <w:tc>
          <w:tcPr>
            <w:tcW w:type="dxa" w:w="2880"/>
          </w:tcPr>
          <w:p>
            <w:r>
              <w:t>12(b)</w:t>
            </w:r>
          </w:p>
        </w:tc>
        <w:tc>
          <w:tcPr>
            <w:tcW w:type="dxa" w:w="2880"/>
          </w:tcPr>
          <w:p>
            <w:r>
              <w:t>Describe any methods used to examine subgroups and interactions.</w:t>
            </w:r>
          </w:p>
        </w:tc>
        <w:tc>
          <w:tcPr>
            <w:tcW w:type="dxa" w:w="2880"/>
          </w:tcPr>
          <w:p>
            <w:r>
              <w:t>NA (no subgroup/interaction analyses reported).</w:t>
            </w:r>
          </w:p>
        </w:tc>
      </w:tr>
      <w:tr>
        <w:tc>
          <w:tcPr>
            <w:tcW w:type="dxa" w:w="2880"/>
          </w:tcPr>
          <w:p>
            <w:r>
              <w:t>12(c)</w:t>
            </w:r>
          </w:p>
        </w:tc>
        <w:tc>
          <w:tcPr>
            <w:tcW w:type="dxa" w:w="2880"/>
          </w:tcPr>
          <w:p>
            <w:r>
              <w:t>Explain how missing data were addressed.</w:t>
            </w:r>
          </w:p>
        </w:tc>
        <w:tc>
          <w:tcPr>
            <w:tcW w:type="dxa" w:w="2880"/>
          </w:tcPr>
          <w:p>
            <w:r>
              <w:t>Completeness verified and missing items supplemented immediately (p.13, L.268–270).</w:t>
            </w:r>
          </w:p>
        </w:tc>
      </w:tr>
      <w:tr>
        <w:tc>
          <w:tcPr>
            <w:tcW w:type="dxa" w:w="2880"/>
          </w:tcPr>
          <w:p>
            <w:r>
              <w:t>12(d)</w:t>
            </w:r>
          </w:p>
        </w:tc>
        <w:tc>
          <w:tcPr>
            <w:tcW w:type="dxa" w:w="2880"/>
          </w:tcPr>
          <w:p>
            <w:r>
              <w:t>If applicable, explain how loss to follow-up was addressed.</w:t>
            </w:r>
          </w:p>
        </w:tc>
        <w:tc>
          <w:tcPr>
            <w:tcW w:type="dxa" w:w="2880"/>
          </w:tcPr>
          <w:p>
            <w:r>
              <w:t>NA (course‑based assessment; all included students analyzed; ethics note on withdrawal in Declarations p.20, L.478–481).</w:t>
            </w:r>
          </w:p>
        </w:tc>
      </w:tr>
      <w:tr>
        <w:tc>
          <w:tcPr>
            <w:tcW w:type="dxa" w:w="2880"/>
          </w:tcPr>
          <w:p>
            <w:r>
              <w:t>12(e)</w:t>
            </w:r>
          </w:p>
        </w:tc>
        <w:tc>
          <w:tcPr>
            <w:tcW w:type="dxa" w:w="2880"/>
          </w:tcPr>
          <w:p>
            <w:r>
              <w:t>Describe any sensitivity analyses.</w:t>
            </w:r>
          </w:p>
        </w:tc>
        <w:tc>
          <w:tcPr>
            <w:tcW w:type="dxa" w:w="2880"/>
          </w:tcPr>
          <w:p>
            <w:r>
              <w:t>NA (none reported).</w:t>
            </w:r>
          </w:p>
        </w:tc>
      </w:tr>
      <w:tr>
        <w:tc>
          <w:tcPr>
            <w:tcW w:type="dxa" w:w="2880"/>
          </w:tcPr>
          <w:p>
            <w:r>
              <w:t>13(a)</w:t>
            </w:r>
          </w:p>
        </w:tc>
        <w:tc>
          <w:tcPr>
            <w:tcW w:type="dxa" w:w="2880"/>
          </w:tcPr>
          <w:p>
            <w:r>
              <w:t>Report numbers of individuals at each stage (potentially eligible, examined, included, analyzed).</w:t>
            </w:r>
          </w:p>
        </w:tc>
        <w:tc>
          <w:tcPr>
            <w:tcW w:type="dxa" w:w="2880"/>
          </w:tcPr>
          <w:p>
            <w:r>
              <w:t>Cohorts and n per group (p.8, L.123–127); sample described in Results (p.14, L.276–288); flowchart Figure 3 (p.8, L.133–134).</w:t>
            </w:r>
          </w:p>
        </w:tc>
      </w:tr>
      <w:tr>
        <w:tc>
          <w:tcPr>
            <w:tcW w:type="dxa" w:w="2880"/>
          </w:tcPr>
          <w:p>
            <w:r>
              <w:t>13(b)</w:t>
            </w:r>
          </w:p>
        </w:tc>
        <w:tc>
          <w:tcPr>
            <w:tcW w:type="dxa" w:w="2880"/>
          </w:tcPr>
          <w:p>
            <w:r>
              <w:t>Give reasons for non-participation at each stage.</w:t>
            </w:r>
          </w:p>
        </w:tc>
        <w:tc>
          <w:tcPr>
            <w:tcW w:type="dxa" w:w="2880"/>
          </w:tcPr>
          <w:p>
            <w:r>
              <w:t>Not specifically enumerated; exclusion criteria defined (p.8, L.128–132).</w:t>
            </w:r>
          </w:p>
        </w:tc>
      </w:tr>
      <w:tr>
        <w:tc>
          <w:tcPr>
            <w:tcW w:type="dxa" w:w="2880"/>
          </w:tcPr>
          <w:p>
            <w:r>
              <w:t>13(c)</w:t>
            </w:r>
          </w:p>
        </w:tc>
        <w:tc>
          <w:tcPr>
            <w:tcW w:type="dxa" w:w="2880"/>
          </w:tcPr>
          <w:p>
            <w:r>
              <w:t>Consider use of a flow diagram.</w:t>
            </w:r>
          </w:p>
        </w:tc>
        <w:tc>
          <w:tcPr>
            <w:tcW w:type="dxa" w:w="2880"/>
          </w:tcPr>
          <w:p>
            <w:r>
              <w:t>Figure 3 Research Design Flowchart (p.8, L.133–134).</w:t>
            </w:r>
          </w:p>
        </w:tc>
      </w:tr>
      <w:tr>
        <w:tc>
          <w:tcPr>
            <w:tcW w:type="dxa" w:w="2880"/>
          </w:tcPr>
          <w:p>
            <w:r>
              <w:t>14(a)</w:t>
            </w:r>
          </w:p>
        </w:tc>
        <w:tc>
          <w:tcPr>
            <w:tcW w:type="dxa" w:w="2880"/>
          </w:tcPr>
          <w:p>
            <w:r>
              <w:t>Give characteristics of study participants (demographic, clinical, social) and information on exposures/confounders.</w:t>
            </w:r>
          </w:p>
        </w:tc>
        <w:tc>
          <w:tcPr>
            <w:tcW w:type="dxa" w:w="2880"/>
          </w:tcPr>
          <w:p>
            <w:r>
              <w:t>Baseline sex/age and GPA collection described (p.8–9, L.138–145); baseline results &amp; Table 2 (p.14, L.276–288; p.27–28, L.581–582).</w:t>
            </w:r>
          </w:p>
        </w:tc>
      </w:tr>
      <w:tr>
        <w:tc>
          <w:tcPr>
            <w:tcW w:type="dxa" w:w="2880"/>
          </w:tcPr>
          <w:p>
            <w:r>
              <w:t>14(b)</w:t>
            </w:r>
          </w:p>
        </w:tc>
        <w:tc>
          <w:tcPr>
            <w:tcW w:type="dxa" w:w="2880"/>
          </w:tcPr>
          <w:p>
            <w:r>
              <w:t>Indicate number of participants with missing data for each variable of interest.</w:t>
            </w:r>
          </w:p>
        </w:tc>
        <w:tc>
          <w:tcPr>
            <w:tcW w:type="dxa" w:w="2880"/>
          </w:tcPr>
          <w:p>
            <w:r>
              <w:t>Not explicitly reported; completeness checks described (p.13, L.268–270).</w:t>
            </w:r>
          </w:p>
        </w:tc>
      </w:tr>
      <w:tr>
        <w:tc>
          <w:tcPr>
            <w:tcW w:type="dxa" w:w="2880"/>
          </w:tcPr>
          <w:p>
            <w:r>
              <w:t>14(c)</w:t>
            </w:r>
          </w:p>
        </w:tc>
        <w:tc>
          <w:tcPr>
            <w:tcW w:type="dxa" w:w="2880"/>
          </w:tcPr>
          <w:p>
            <w:r>
              <w:t>Summarise follow-up time (eg, average and total).</w:t>
            </w:r>
          </w:p>
        </w:tc>
        <w:tc>
          <w:tcPr>
            <w:tcW w:type="dxa" w:w="2880"/>
          </w:tcPr>
          <w:p>
            <w:r>
              <w:t>Course duration 144 hours across one academic year; 72 hours/semester (p.12, L.190–193).</w:t>
            </w:r>
          </w:p>
        </w:tc>
      </w:tr>
      <w:tr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Report numbers of outcome events or summary measures over time.</w:t>
            </w:r>
          </w:p>
        </w:tc>
        <w:tc>
          <w:tcPr>
            <w:tcW w:type="dxa" w:w="2880"/>
          </w:tcPr>
          <w:p>
            <w:r>
              <w:t>Course assessment outcomes Table 3 (p.28–29, L.583–584); CTDI‑CV outcomes Table 4 (p.29, L.585–586); Results text (p.14–16, L.291–347).</w:t>
            </w:r>
          </w:p>
        </w:tc>
      </w:tr>
      <w:tr>
        <w:tc>
          <w:tcPr>
            <w:tcW w:type="dxa" w:w="2880"/>
          </w:tcPr>
          <w:p>
            <w:r>
              <w:t>16(a)</w:t>
            </w:r>
          </w:p>
        </w:tc>
        <w:tc>
          <w:tcPr>
            <w:tcW w:type="dxa" w:w="2880"/>
          </w:tcPr>
          <w:p>
            <w:r>
              <w:t>Give unadjusted estimates (and if applicable, adjusted) with precision (eg, 95% CI); specify confounders.</w:t>
            </w:r>
          </w:p>
        </w:tc>
        <w:tc>
          <w:tcPr>
            <w:tcW w:type="dxa" w:w="2880"/>
          </w:tcPr>
          <w:p>
            <w:r>
              <w:t>Unadjusted group means with t‑tests and p‑values reported (p.14–16, L.291–347). No adjusted analyses performed.</w:t>
            </w:r>
          </w:p>
        </w:tc>
      </w:tr>
      <w:tr>
        <w:tc>
          <w:tcPr>
            <w:tcW w:type="dxa" w:w="2880"/>
          </w:tcPr>
          <w:p>
            <w:r>
              <w:t>16(b)</w:t>
            </w:r>
          </w:p>
        </w:tc>
        <w:tc>
          <w:tcPr>
            <w:tcW w:type="dxa" w:w="2880"/>
          </w:tcPr>
          <w:p>
            <w:r>
              <w:t>Report category boundaries when continuous variables were categorized.</w:t>
            </w:r>
          </w:p>
        </w:tc>
        <w:tc>
          <w:tcPr>
            <w:tcW w:type="dxa" w:w="2880"/>
          </w:tcPr>
          <w:p>
            <w:r>
              <w:t>CTDI‑CV category boundaries described (p.10, L.182–186).</w:t>
            </w:r>
          </w:p>
        </w:tc>
      </w:tr>
      <w:tr>
        <w:tc>
          <w:tcPr>
            <w:tcW w:type="dxa" w:w="2880"/>
          </w:tcPr>
          <w:p>
            <w:r>
              <w:t>16(c)</w:t>
            </w:r>
          </w:p>
        </w:tc>
        <w:tc>
          <w:tcPr>
            <w:tcW w:type="dxa" w:w="2880"/>
          </w:tcPr>
          <w:p>
            <w:r>
              <w:t>If relevant, translate estimates of relative risk into absolute risk for a meaningful time period.</w:t>
            </w:r>
          </w:p>
        </w:tc>
        <w:tc>
          <w:tcPr>
            <w:tcW w:type="dxa" w:w="2880"/>
          </w:tcPr>
          <w:p>
            <w:r>
              <w:t>NA (educational outcomes; not risk-based).</w:t>
            </w:r>
          </w:p>
        </w:tc>
      </w:tr>
      <w:tr>
        <w:tc>
          <w:tcPr>
            <w:tcW w:type="dxa" w:w="2880"/>
          </w:tcPr>
          <w:p>
            <w:r>
              <w:t>17</w:t>
            </w:r>
          </w:p>
        </w:tc>
        <w:tc>
          <w:tcPr>
            <w:tcW w:type="dxa" w:w="2880"/>
          </w:tcPr>
          <w:p>
            <w:r>
              <w:t>Report other analyses (subgroups, interactions, sensitivity).</w:t>
            </w:r>
          </w:p>
        </w:tc>
        <w:tc>
          <w:tcPr>
            <w:tcW w:type="dxa" w:w="2880"/>
          </w:tcPr>
          <w:p>
            <w:r>
              <w:t>NA (none reported).</w:t>
            </w:r>
          </w:p>
        </w:tc>
      </w:tr>
      <w:tr>
        <w:tc>
          <w:tcPr>
            <w:tcW w:type="dxa" w:w="2880"/>
          </w:tcPr>
          <w:p>
            <w:r>
              <w:t>18</w:t>
            </w:r>
          </w:p>
        </w:tc>
        <w:tc>
          <w:tcPr>
            <w:tcW w:type="dxa" w:w="2880"/>
          </w:tcPr>
          <w:p>
            <w:r>
              <w:t>Summarise key results with reference to study objectives.</w:t>
            </w:r>
          </w:p>
        </w:tc>
        <w:tc>
          <w:tcPr>
            <w:tcW w:type="dxa" w:w="2880"/>
          </w:tcPr>
          <w:p>
            <w:r>
              <w:t>Discussion opening (p.16–17, L.348–357).</w:t>
            </w:r>
          </w:p>
        </w:tc>
      </w:tr>
      <w:tr>
        <w:tc>
          <w:tcPr>
            <w:tcW w:type="dxa" w:w="2880"/>
          </w:tcPr>
          <w:p>
            <w:r>
              <w:t>19</w:t>
            </w:r>
          </w:p>
        </w:tc>
        <w:tc>
          <w:tcPr>
            <w:tcW w:type="dxa" w:w="2880"/>
          </w:tcPr>
          <w:p>
            <w:r>
              <w:t>Discuss limitations, considering potential bias/imprecision; discuss direction and magnitude.</w:t>
            </w:r>
          </w:p>
        </w:tc>
        <w:tc>
          <w:tcPr>
            <w:tcW w:type="dxa" w:w="2880"/>
          </w:tcPr>
          <w:p>
            <w:r>
              <w:t>Limitations paragraph (p.18, L.405–414).</w:t>
            </w:r>
          </w:p>
        </w:tc>
      </w:tr>
      <w:tr>
        <w:tc>
          <w:tcPr>
            <w:tcW w:type="dxa" w:w="2880"/>
          </w:tcPr>
          <w:p>
            <w:r>
              <w:t>20</w:t>
            </w:r>
          </w:p>
        </w:tc>
        <w:tc>
          <w:tcPr>
            <w:tcW w:type="dxa" w:w="2880"/>
          </w:tcPr>
          <w:p>
            <w:r>
              <w:t>Give a cautious overall interpretation considering objectives, limitations, multiplicity, similar studies, and evidence.</w:t>
            </w:r>
          </w:p>
        </w:tc>
        <w:tc>
          <w:tcPr>
            <w:tcW w:type="dxa" w:w="2880"/>
          </w:tcPr>
          <w:p>
            <w:r>
              <w:t>Interpretation and mechanism paragraphs (p.17–18, L.368–404) with recommendations (p.18–19, L.415–426).</w:t>
            </w:r>
          </w:p>
        </w:tc>
      </w:tr>
      <w:tr>
        <w:tc>
          <w:tcPr>
            <w:tcW w:type="dxa" w:w="2880"/>
          </w:tcPr>
          <w:p>
            <w:r>
              <w:t>21</w:t>
            </w:r>
          </w:p>
        </w:tc>
        <w:tc>
          <w:tcPr>
            <w:tcW w:type="dxa" w:w="2880"/>
          </w:tcPr>
          <w:p>
            <w:r>
              <w:t>Discuss the generalisability (external validity) of the study results.</w:t>
            </w:r>
          </w:p>
        </w:tc>
        <w:tc>
          <w:tcPr>
            <w:tcW w:type="dxa" w:w="2880"/>
          </w:tcPr>
          <w:p>
            <w:r>
              <w:t>Promotion/extension to other courses and settings (p.18–19, L.410–426; Conclusion p.19, L.433–444).</w:t>
            </w:r>
          </w:p>
        </w:tc>
      </w:tr>
      <w:tr>
        <w:tc>
          <w:tcPr>
            <w:tcW w:type="dxa" w:w="2880"/>
          </w:tcPr>
          <w:p>
            <w:r>
              <w:t>22</w:t>
            </w:r>
          </w:p>
        </w:tc>
        <w:tc>
          <w:tcPr>
            <w:tcW w:type="dxa" w:w="2880"/>
          </w:tcPr>
          <w:p>
            <w:r>
              <w:t>Give the source of funding and the role of the funders.</w:t>
            </w:r>
          </w:p>
        </w:tc>
        <w:tc>
          <w:tcPr>
            <w:tcW w:type="dxa" w:w="2880"/>
          </w:tcPr>
          <w:p>
            <w:r>
              <w:t>Funding sources listed (p.20, L.463–467). No funder role in design/analysis stated.</w:t>
            </w:r>
          </w:p>
        </w:tc>
      </w:tr>
    </w:tbl>
    <w:p/>
    <w:p>
      <w:r>
        <w:t>Prepared for submission with the revised (“perfect version”) manuscript.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