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45C7C2" w14:textId="77777777" w:rsidR="005D0FBE" w:rsidRDefault="005D0FBE" w:rsidP="005D0FBE">
      <w:pPr>
        <w:pStyle w:val="Heading1"/>
        <w:widowControl w:val="0"/>
        <w:spacing w:line="360" w:lineRule="auto"/>
        <w:rPr>
          <w:b/>
          <w:color w:val="1C4587"/>
          <w:sz w:val="44"/>
          <w:szCs w:val="44"/>
        </w:rPr>
      </w:pPr>
      <w:r>
        <w:rPr>
          <w:b/>
          <w:color w:val="1C4587"/>
          <w:sz w:val="44"/>
          <w:szCs w:val="44"/>
        </w:rPr>
        <w:t xml:space="preserve">Supplementary Information </w:t>
      </w:r>
    </w:p>
    <w:p w14:paraId="250D18BF" w14:textId="77777777" w:rsidR="005D0FBE" w:rsidRDefault="005D0FBE" w:rsidP="005D0FBE">
      <w:pPr>
        <w:widowControl w:val="0"/>
        <w:spacing w:line="360" w:lineRule="auto"/>
        <w:rPr>
          <w:b/>
          <w:sz w:val="24"/>
          <w:szCs w:val="24"/>
        </w:rPr>
      </w:pPr>
    </w:p>
    <w:p w14:paraId="027B24DE" w14:textId="77777777" w:rsidR="005D0FBE" w:rsidRDefault="005D0FBE" w:rsidP="005D0FBE">
      <w:pPr>
        <w:pStyle w:val="Heading2"/>
        <w:widowControl w:val="0"/>
        <w:spacing w:line="360" w:lineRule="auto"/>
      </w:pPr>
      <w:bookmarkStart w:id="0" w:name="_19c6y18"/>
      <w:bookmarkEnd w:id="0"/>
      <w:r>
        <w:rPr>
          <w:sz w:val="30"/>
          <w:szCs w:val="30"/>
        </w:rPr>
        <w:t>1 - Growing medium</w:t>
      </w:r>
    </w:p>
    <w:p w14:paraId="49420515" w14:textId="77777777" w:rsidR="005D0FBE" w:rsidRDefault="005D0FBE" w:rsidP="005D0FBE">
      <w:pPr>
        <w:widowControl w:val="0"/>
        <w:spacing w:line="360" w:lineRule="auto"/>
        <w:rPr>
          <w:b/>
          <w:sz w:val="24"/>
          <w:szCs w:val="24"/>
        </w:rPr>
      </w:pPr>
    </w:p>
    <w:p w14:paraId="04C9C576" w14:textId="77777777" w:rsidR="005D0FBE" w:rsidRDefault="005D0FBE" w:rsidP="005D0FBE">
      <w:pPr>
        <w:widowControl w:val="0"/>
        <w:spacing w:line="360" w:lineRule="auto"/>
        <w:jc w:val="center"/>
        <w:rPr>
          <w:b/>
          <w:sz w:val="24"/>
          <w:szCs w:val="24"/>
        </w:rPr>
      </w:pPr>
      <w:r>
        <w:rPr>
          <w:noProof/>
        </w:rPr>
        <w:drawing>
          <wp:inline distT="0" distB="0" distL="0" distR="0" wp14:anchorId="0AF4BF86" wp14:editId="6A642396">
            <wp:extent cx="4424680" cy="4997450"/>
            <wp:effectExtent l="0" t="0" r="0" b="0"/>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a:picLocks noChangeAspect="1" noChangeArrowheads="1"/>
                    </pic:cNvPicPr>
                  </pic:nvPicPr>
                  <pic:blipFill>
                    <a:blip r:embed="rId5"/>
                    <a:stretch>
                      <a:fillRect/>
                    </a:stretch>
                  </pic:blipFill>
                  <pic:spPr bwMode="auto">
                    <a:xfrm>
                      <a:off x="0" y="0"/>
                      <a:ext cx="4424680" cy="4997450"/>
                    </a:xfrm>
                    <a:prstGeom prst="rect">
                      <a:avLst/>
                    </a:prstGeom>
                  </pic:spPr>
                </pic:pic>
              </a:graphicData>
            </a:graphic>
          </wp:inline>
        </w:drawing>
      </w:r>
    </w:p>
    <w:p w14:paraId="4BA8E747" w14:textId="77777777" w:rsidR="005D0FBE" w:rsidRDefault="005D0FBE" w:rsidP="005D0FBE">
      <w:pPr>
        <w:pStyle w:val="Heading3"/>
        <w:widowControl w:val="0"/>
        <w:spacing w:line="240" w:lineRule="auto"/>
        <w:rPr>
          <w:b/>
          <w:color w:val="000000"/>
          <w:sz w:val="22"/>
          <w:szCs w:val="22"/>
        </w:rPr>
      </w:pPr>
      <w:bookmarkStart w:id="1" w:name="_3tbugp1"/>
      <w:bookmarkEnd w:id="1"/>
      <w:r>
        <w:rPr>
          <w:b/>
          <w:color w:val="000000"/>
          <w:sz w:val="22"/>
          <w:szCs w:val="22"/>
        </w:rPr>
        <w:t>Table 1. Culture Medium</w:t>
      </w:r>
    </w:p>
    <w:p w14:paraId="29BD7D77" w14:textId="77777777" w:rsidR="005D0FBE" w:rsidRDefault="005D0FBE" w:rsidP="005D0FBE">
      <w:pPr>
        <w:spacing w:line="240" w:lineRule="auto"/>
      </w:pPr>
      <w:r>
        <w:t>The culture medium used for reconstitutions was based on Leibovitz L-15 Medium 30-2008.</w:t>
      </w:r>
    </w:p>
    <w:p w14:paraId="6582FC92" w14:textId="77777777" w:rsidR="005D0FBE" w:rsidRDefault="005D0FBE" w:rsidP="005D0FBE">
      <w:pPr>
        <w:spacing w:line="240" w:lineRule="auto"/>
      </w:pPr>
      <w:r>
        <w:t xml:space="preserve">More Information on medium: </w:t>
      </w:r>
      <w:hyperlink r:id="rId6">
        <w:r>
          <w:rPr>
            <w:color w:val="1155CC"/>
            <w:u w:val="single"/>
          </w:rPr>
          <w:t>https://www.atcc.org/products/30-2008</w:t>
        </w:r>
      </w:hyperlink>
    </w:p>
    <w:p w14:paraId="6D204BAC" w14:textId="77777777" w:rsidR="005D0FBE" w:rsidRDefault="005D0FBE" w:rsidP="005D0FBE">
      <w:pPr>
        <w:spacing w:line="360" w:lineRule="auto"/>
      </w:pPr>
    </w:p>
    <w:p w14:paraId="0B03EF23" w14:textId="77777777" w:rsidR="005D0FBE" w:rsidRDefault="005D0FBE" w:rsidP="005D0FBE">
      <w:pPr>
        <w:pStyle w:val="Heading2"/>
        <w:keepNext w:val="0"/>
        <w:spacing w:line="360" w:lineRule="auto"/>
        <w:rPr>
          <w:sz w:val="30"/>
          <w:szCs w:val="30"/>
        </w:rPr>
      </w:pPr>
      <w:bookmarkStart w:id="2" w:name="_28h4qwu"/>
      <w:bookmarkEnd w:id="2"/>
    </w:p>
    <w:p w14:paraId="30F9C9B0" w14:textId="77777777" w:rsidR="005D0FBE" w:rsidRDefault="005D0FBE" w:rsidP="005D0FBE">
      <w:pPr>
        <w:spacing w:line="360" w:lineRule="auto"/>
      </w:pPr>
    </w:p>
    <w:p w14:paraId="79BB32B6" w14:textId="77777777" w:rsidR="005D0FBE" w:rsidRDefault="005D0FBE" w:rsidP="005D0FBE">
      <w:pPr>
        <w:spacing w:line="360" w:lineRule="auto"/>
      </w:pPr>
    </w:p>
    <w:p w14:paraId="1D955ECA" w14:textId="77777777" w:rsidR="005D0FBE" w:rsidRDefault="005D0FBE" w:rsidP="005D0FBE">
      <w:pPr>
        <w:spacing w:line="360" w:lineRule="auto"/>
      </w:pPr>
    </w:p>
    <w:p w14:paraId="066229CD" w14:textId="77777777" w:rsidR="005D0FBE" w:rsidRDefault="005D0FBE" w:rsidP="005D0FBE">
      <w:pPr>
        <w:pStyle w:val="Heading2"/>
        <w:keepNext w:val="0"/>
        <w:spacing w:line="360" w:lineRule="auto"/>
        <w:rPr>
          <w:sz w:val="30"/>
          <w:szCs w:val="30"/>
        </w:rPr>
      </w:pPr>
      <w:bookmarkStart w:id="3" w:name="_nmf14n"/>
      <w:bookmarkEnd w:id="3"/>
      <w:r>
        <w:rPr>
          <w:sz w:val="30"/>
          <w:szCs w:val="30"/>
        </w:rPr>
        <w:t>2 - Characteristics of the metabolic reconstructions</w:t>
      </w:r>
    </w:p>
    <w:p w14:paraId="7EEA5CB5" w14:textId="77777777" w:rsidR="005D0FBE" w:rsidRDefault="005D0FBE" w:rsidP="005D0FBE">
      <w:pPr>
        <w:spacing w:line="360" w:lineRule="auto"/>
      </w:pPr>
    </w:p>
    <w:p w14:paraId="7FF397A4" w14:textId="77777777" w:rsidR="005D0FBE" w:rsidRDefault="005D0FBE" w:rsidP="005D0FBE">
      <w:pPr>
        <w:spacing w:line="360" w:lineRule="auto"/>
        <w:rPr>
          <w:b/>
          <w:sz w:val="20"/>
          <w:szCs w:val="20"/>
        </w:rPr>
      </w:pPr>
      <w:r>
        <w:rPr>
          <w:noProof/>
        </w:rPr>
        <w:drawing>
          <wp:inline distT="0" distB="0" distL="0" distR="0" wp14:anchorId="1EB61C44" wp14:editId="4B673053">
            <wp:extent cx="5100320" cy="1224915"/>
            <wp:effectExtent l="0" t="0" r="0" b="0"/>
            <wp:docPr id="8"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a:picLocks noChangeAspect="1" noChangeArrowheads="1"/>
                    </pic:cNvPicPr>
                  </pic:nvPicPr>
                  <pic:blipFill>
                    <a:blip r:embed="rId7"/>
                    <a:stretch>
                      <a:fillRect/>
                    </a:stretch>
                  </pic:blipFill>
                  <pic:spPr bwMode="auto">
                    <a:xfrm>
                      <a:off x="0" y="0"/>
                      <a:ext cx="5100320" cy="1224915"/>
                    </a:xfrm>
                    <a:prstGeom prst="rect">
                      <a:avLst/>
                    </a:prstGeom>
                  </pic:spPr>
                </pic:pic>
              </a:graphicData>
            </a:graphic>
          </wp:inline>
        </w:drawing>
      </w:r>
    </w:p>
    <w:p w14:paraId="3F0D7394" w14:textId="77777777" w:rsidR="005D0FBE" w:rsidRDefault="005D0FBE" w:rsidP="005D0FBE">
      <w:pPr>
        <w:pStyle w:val="Heading3"/>
        <w:keepNext w:val="0"/>
        <w:spacing w:before="0" w:line="240" w:lineRule="auto"/>
        <w:rPr>
          <w:b/>
          <w:color w:val="000000"/>
          <w:sz w:val="22"/>
          <w:szCs w:val="22"/>
        </w:rPr>
      </w:pPr>
      <w:bookmarkStart w:id="4" w:name="_37m2jsg"/>
      <w:bookmarkEnd w:id="4"/>
      <w:r>
        <w:rPr>
          <w:b/>
          <w:color w:val="000000"/>
          <w:sz w:val="22"/>
          <w:szCs w:val="22"/>
        </w:rPr>
        <w:t>Table 2. Characteristics of the metabolic reconstructions.</w:t>
      </w:r>
    </w:p>
    <w:p w14:paraId="0217B821" w14:textId="77777777" w:rsidR="005D0FBE" w:rsidRDefault="005D0FBE" w:rsidP="005D0FBE">
      <w:pPr>
        <w:spacing w:line="240" w:lineRule="auto"/>
        <w:jc w:val="both"/>
        <w:rPr>
          <w:sz w:val="20"/>
          <w:szCs w:val="20"/>
        </w:rPr>
      </w:pPr>
      <w:r>
        <w:rPr>
          <w:sz w:val="20"/>
          <w:szCs w:val="20"/>
        </w:rPr>
        <w:t>Included are the count of metabolic reactions within each GEM as well as the number of metabolites within each of these classified as I - Invasive, R - Reservoir, and P - Proliferative. For more information on the reconstruction, consult the MEMOTE reports for each reconstruction.</w:t>
      </w:r>
    </w:p>
    <w:p w14:paraId="62FF88C7" w14:textId="77777777" w:rsidR="005D0FBE" w:rsidRDefault="005D0FBE" w:rsidP="005D0FBE">
      <w:pPr>
        <w:spacing w:line="360" w:lineRule="auto"/>
        <w:jc w:val="both"/>
        <w:rPr>
          <w:sz w:val="20"/>
          <w:szCs w:val="20"/>
        </w:rPr>
      </w:pPr>
    </w:p>
    <w:p w14:paraId="002F1C61" w14:textId="77777777" w:rsidR="005D0FBE" w:rsidRDefault="005D0FBE" w:rsidP="005D0FBE">
      <w:pPr>
        <w:spacing w:line="360" w:lineRule="auto"/>
        <w:jc w:val="both"/>
        <w:rPr>
          <w:sz w:val="20"/>
          <w:szCs w:val="20"/>
        </w:rPr>
      </w:pPr>
    </w:p>
    <w:p w14:paraId="2A6076CD" w14:textId="77777777" w:rsidR="005D0FBE" w:rsidRDefault="005D0FBE" w:rsidP="005D0FBE">
      <w:pPr>
        <w:pStyle w:val="Heading2"/>
        <w:keepNext w:val="0"/>
        <w:spacing w:line="360" w:lineRule="auto"/>
        <w:rPr>
          <w:sz w:val="24"/>
          <w:szCs w:val="24"/>
        </w:rPr>
      </w:pPr>
      <w:bookmarkStart w:id="5" w:name="_1mrcu09"/>
      <w:bookmarkEnd w:id="5"/>
      <w:r>
        <w:rPr>
          <w:sz w:val="30"/>
          <w:szCs w:val="30"/>
        </w:rPr>
        <w:t>3 - Output files of community simulation with MICOM</w:t>
      </w:r>
    </w:p>
    <w:p w14:paraId="51BA6DD7" w14:textId="77777777" w:rsidR="005D0FBE" w:rsidRDefault="005D0FBE" w:rsidP="005D0FBE">
      <w:pPr>
        <w:widowControl w:val="0"/>
        <w:spacing w:line="360" w:lineRule="auto"/>
      </w:pPr>
      <w:r>
        <w:t>Supplementary file 1 contains 4 tables of MICOM output files:</w:t>
      </w:r>
    </w:p>
    <w:p w14:paraId="7814B163" w14:textId="77777777" w:rsidR="005D0FBE" w:rsidRDefault="005D0FBE" w:rsidP="005D0FBE">
      <w:pPr>
        <w:widowControl w:val="0"/>
        <w:spacing w:line="360" w:lineRule="auto"/>
      </w:pPr>
    </w:p>
    <w:p w14:paraId="4CE60C77" w14:textId="77777777" w:rsidR="005D0FBE" w:rsidRDefault="005D0FBE" w:rsidP="005D0FBE">
      <w:pPr>
        <w:widowControl w:val="0"/>
        <w:numPr>
          <w:ilvl w:val="0"/>
          <w:numId w:val="2"/>
        </w:numPr>
        <w:spacing w:line="360" w:lineRule="auto"/>
      </w:pPr>
      <w:r>
        <w:t>Community fluxes on day 6 (Day6_fluxes)</w:t>
      </w:r>
    </w:p>
    <w:p w14:paraId="3079017B" w14:textId="77777777" w:rsidR="005D0FBE" w:rsidRDefault="005D0FBE" w:rsidP="005D0FBE">
      <w:pPr>
        <w:widowControl w:val="0"/>
        <w:numPr>
          <w:ilvl w:val="0"/>
          <w:numId w:val="2"/>
        </w:numPr>
        <w:spacing w:line="360" w:lineRule="auto"/>
      </w:pPr>
      <w:r>
        <w:t>Community fluxes on Day 19 (Day19_fluxes)</w:t>
      </w:r>
    </w:p>
    <w:p w14:paraId="2D3A93C4" w14:textId="77777777" w:rsidR="005D0FBE" w:rsidRDefault="005D0FBE" w:rsidP="005D0FBE">
      <w:pPr>
        <w:widowControl w:val="0"/>
        <w:numPr>
          <w:ilvl w:val="0"/>
          <w:numId w:val="2"/>
        </w:numPr>
        <w:spacing w:line="360" w:lineRule="auto"/>
      </w:pPr>
      <w:r>
        <w:t>Exchanges fluxes with the medium on day 6 (Exchanges_day6)</w:t>
      </w:r>
    </w:p>
    <w:p w14:paraId="3B439601" w14:textId="77777777" w:rsidR="005D0FBE" w:rsidRDefault="005D0FBE" w:rsidP="005D0FBE">
      <w:pPr>
        <w:widowControl w:val="0"/>
        <w:numPr>
          <w:ilvl w:val="0"/>
          <w:numId w:val="2"/>
        </w:numPr>
        <w:spacing w:line="360" w:lineRule="auto"/>
      </w:pPr>
      <w:r>
        <w:t>Exchange fluxes with the medium on day 19 (Exchanges_day19)</w:t>
      </w:r>
    </w:p>
    <w:p w14:paraId="2ADE6900" w14:textId="77777777" w:rsidR="005D0FBE" w:rsidRDefault="005D0FBE" w:rsidP="005D0FBE">
      <w:pPr>
        <w:widowControl w:val="0"/>
        <w:spacing w:line="360" w:lineRule="auto"/>
        <w:ind w:left="720"/>
      </w:pPr>
    </w:p>
    <w:p w14:paraId="316EE72A" w14:textId="77777777" w:rsidR="005D0FBE" w:rsidRDefault="005D0FBE" w:rsidP="005D0FBE">
      <w:pPr>
        <w:spacing w:line="360" w:lineRule="auto"/>
      </w:pPr>
    </w:p>
    <w:p w14:paraId="06A6F8A6" w14:textId="77777777" w:rsidR="005D0FBE" w:rsidRDefault="005D0FBE" w:rsidP="005D0FBE">
      <w:pPr>
        <w:spacing w:line="360" w:lineRule="auto"/>
        <w:jc w:val="right"/>
      </w:pPr>
    </w:p>
    <w:p w14:paraId="4E9DA93B" w14:textId="77777777" w:rsidR="005D0FBE" w:rsidRDefault="005D0FBE" w:rsidP="005D0FBE">
      <w:pPr>
        <w:spacing w:line="360" w:lineRule="auto"/>
        <w:jc w:val="right"/>
      </w:pPr>
      <w:r>
        <w:t xml:space="preserve">Download the files in the Github, MICOM/Output_files/ csv_files folder: </w:t>
      </w:r>
      <w:hyperlink r:id="rId8">
        <w:r>
          <w:rPr>
            <w:color w:val="1155CC"/>
            <w:u w:val="single"/>
          </w:rPr>
          <w:t>https://github.com/resendislab/Modeling_Heterogeneity_Cancer_Metabolism_MICOM</w:t>
        </w:r>
      </w:hyperlink>
    </w:p>
    <w:p w14:paraId="11722DBA" w14:textId="77777777" w:rsidR="005D0FBE" w:rsidRDefault="005D0FBE" w:rsidP="005D0FBE">
      <w:pPr>
        <w:pStyle w:val="Heading2"/>
        <w:keepNext w:val="0"/>
        <w:spacing w:line="360" w:lineRule="auto"/>
        <w:rPr>
          <w:sz w:val="30"/>
          <w:szCs w:val="30"/>
        </w:rPr>
      </w:pPr>
      <w:bookmarkStart w:id="6" w:name="_46r0co2"/>
      <w:bookmarkEnd w:id="6"/>
    </w:p>
    <w:p w14:paraId="6451049F" w14:textId="77777777" w:rsidR="005D0FBE" w:rsidRDefault="005D0FBE" w:rsidP="005D0FBE">
      <w:pPr>
        <w:spacing w:line="360" w:lineRule="auto"/>
      </w:pPr>
    </w:p>
    <w:p w14:paraId="132B2F9E" w14:textId="77777777" w:rsidR="005D0FBE" w:rsidRDefault="005D0FBE" w:rsidP="005D0FBE">
      <w:pPr>
        <w:pStyle w:val="Heading2"/>
        <w:keepNext w:val="0"/>
        <w:spacing w:line="360" w:lineRule="auto"/>
        <w:rPr>
          <w:sz w:val="24"/>
          <w:szCs w:val="24"/>
        </w:rPr>
      </w:pPr>
      <w:bookmarkStart w:id="7" w:name="_2lwamvv"/>
      <w:bookmarkEnd w:id="7"/>
      <w:r>
        <w:rPr>
          <w:sz w:val="30"/>
          <w:szCs w:val="30"/>
        </w:rPr>
        <w:t>4 - Reports of quality with MEMOTE</w:t>
      </w:r>
    </w:p>
    <w:p w14:paraId="7ACE6A6E" w14:textId="77777777" w:rsidR="005D0FBE" w:rsidRDefault="005D0FBE" w:rsidP="005D0FBE">
      <w:pPr>
        <w:widowControl w:val="0"/>
        <w:numPr>
          <w:ilvl w:val="0"/>
          <w:numId w:val="1"/>
        </w:numPr>
        <w:spacing w:line="360" w:lineRule="auto"/>
      </w:pPr>
      <w:r>
        <w:t>Supplementary File 4 - Report of MEMOTE (Invasive.html)</w:t>
      </w:r>
    </w:p>
    <w:p w14:paraId="5BD5FA57" w14:textId="77777777" w:rsidR="005D0FBE" w:rsidRDefault="005D0FBE" w:rsidP="005D0FBE">
      <w:pPr>
        <w:widowControl w:val="0"/>
        <w:numPr>
          <w:ilvl w:val="0"/>
          <w:numId w:val="1"/>
        </w:numPr>
        <w:spacing w:line="360" w:lineRule="auto"/>
      </w:pPr>
      <w:r>
        <w:t>Supplementary File 5 - Report of MEMOTE (Reservoir.html)</w:t>
      </w:r>
    </w:p>
    <w:p w14:paraId="3AF1C987" w14:textId="77777777" w:rsidR="005D0FBE" w:rsidRDefault="005D0FBE" w:rsidP="005D0FBE">
      <w:pPr>
        <w:widowControl w:val="0"/>
        <w:numPr>
          <w:ilvl w:val="0"/>
          <w:numId w:val="1"/>
        </w:numPr>
        <w:spacing w:line="360" w:lineRule="auto"/>
      </w:pPr>
      <w:r>
        <w:lastRenderedPageBreak/>
        <w:t>Supplementary File 6 - Report of MEMOTE (Proliferative.html)</w:t>
      </w:r>
    </w:p>
    <w:p w14:paraId="68CD056D" w14:textId="77777777" w:rsidR="005D0FBE" w:rsidRDefault="005D0FBE" w:rsidP="005D0FBE">
      <w:pPr>
        <w:widowControl w:val="0"/>
        <w:spacing w:line="360" w:lineRule="auto"/>
        <w:rPr>
          <w:b/>
          <w:sz w:val="24"/>
          <w:szCs w:val="24"/>
        </w:rPr>
      </w:pPr>
    </w:p>
    <w:p w14:paraId="1C560815" w14:textId="77777777" w:rsidR="005D0FBE" w:rsidRDefault="005D0FBE" w:rsidP="005D0FBE">
      <w:pPr>
        <w:spacing w:line="360" w:lineRule="auto"/>
      </w:pPr>
    </w:p>
    <w:p w14:paraId="2B80CD2B" w14:textId="77777777" w:rsidR="005D0FBE" w:rsidRDefault="005D0FBE" w:rsidP="005D0FBE">
      <w:pPr>
        <w:spacing w:line="360" w:lineRule="auto"/>
        <w:jc w:val="right"/>
        <w:rPr>
          <w:b/>
          <w:sz w:val="24"/>
          <w:szCs w:val="24"/>
        </w:rPr>
      </w:pPr>
      <w:r>
        <w:t xml:space="preserve">Download the files in the Github, MICOM/Output_files/ Reports_of_quality folder: </w:t>
      </w:r>
      <w:hyperlink r:id="rId9">
        <w:r>
          <w:rPr>
            <w:color w:val="1155CC"/>
            <w:u w:val="single"/>
          </w:rPr>
          <w:t>https://github.com/resendislab/Modeling_Heterogeneity_Cancer_Metabolism_MICOM</w:t>
        </w:r>
      </w:hyperlink>
    </w:p>
    <w:p w14:paraId="074BC5AA" w14:textId="77777777" w:rsidR="005D0FBE" w:rsidRDefault="005D0FBE" w:rsidP="005D0FBE">
      <w:pPr>
        <w:pStyle w:val="Heading2"/>
        <w:keepNext w:val="0"/>
        <w:spacing w:line="360" w:lineRule="auto"/>
      </w:pPr>
      <w:bookmarkStart w:id="8" w:name="_111kx3o"/>
      <w:bookmarkEnd w:id="8"/>
      <w:r>
        <w:rPr>
          <w:sz w:val="30"/>
          <w:szCs w:val="30"/>
        </w:rPr>
        <w:t>5 - Enrichment of metabolic pathways with active reactions</w:t>
      </w:r>
    </w:p>
    <w:p w14:paraId="00EAB279" w14:textId="77777777" w:rsidR="005D0FBE" w:rsidRDefault="005D0FBE" w:rsidP="005D0FBE">
      <w:pPr>
        <w:spacing w:line="360" w:lineRule="auto"/>
      </w:pPr>
    </w:p>
    <w:p w14:paraId="46CD89C6" w14:textId="77777777" w:rsidR="005D0FBE" w:rsidRDefault="005D0FBE" w:rsidP="005D0FBE">
      <w:pPr>
        <w:widowControl w:val="0"/>
        <w:spacing w:line="360" w:lineRule="auto"/>
        <w:rPr>
          <w:b/>
          <w:sz w:val="24"/>
          <w:szCs w:val="24"/>
        </w:rPr>
      </w:pPr>
      <w:r>
        <w:rPr>
          <w:noProof/>
        </w:rPr>
        <w:drawing>
          <wp:inline distT="0" distB="0" distL="0" distR="0" wp14:anchorId="50B5AEE7" wp14:editId="6503AA15">
            <wp:extent cx="4752975" cy="5029200"/>
            <wp:effectExtent l="0" t="0" r="0" b="0"/>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a:picLocks noChangeAspect="1" noChangeArrowheads="1"/>
                    </pic:cNvPicPr>
                  </pic:nvPicPr>
                  <pic:blipFill>
                    <a:blip r:embed="rId10"/>
                    <a:srcRect r="9439" b="37440"/>
                    <a:stretch>
                      <a:fillRect/>
                    </a:stretch>
                  </pic:blipFill>
                  <pic:spPr bwMode="auto">
                    <a:xfrm>
                      <a:off x="0" y="0"/>
                      <a:ext cx="4752975" cy="5029200"/>
                    </a:xfrm>
                    <a:prstGeom prst="rect">
                      <a:avLst/>
                    </a:prstGeom>
                  </pic:spPr>
                </pic:pic>
              </a:graphicData>
            </a:graphic>
          </wp:inline>
        </w:drawing>
      </w:r>
      <w:r>
        <w:rPr>
          <w:noProof/>
        </w:rPr>
        <w:drawing>
          <wp:anchor distT="114300" distB="114300" distL="114300" distR="114300" simplePos="0" relativeHeight="251659264" behindDoc="0" locked="0" layoutInCell="0" allowOverlap="1" wp14:anchorId="58A0E37C" wp14:editId="2F43EF8E">
            <wp:simplePos x="0" y="0"/>
            <wp:positionH relativeFrom="column">
              <wp:posOffset>4981575</wp:posOffset>
            </wp:positionH>
            <wp:positionV relativeFrom="paragraph">
              <wp:posOffset>2124075</wp:posOffset>
            </wp:positionV>
            <wp:extent cx="814070" cy="1522730"/>
            <wp:effectExtent l="0" t="0" r="0" b="0"/>
            <wp:wrapSquare wrapText="bothSides"/>
            <wp:docPr id="10"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
                    <pic:cNvPicPr>
                      <a:picLocks noChangeAspect="1" noChangeArrowheads="1"/>
                    </pic:cNvPicPr>
                  </pic:nvPicPr>
                  <pic:blipFill>
                    <a:blip r:embed="rId10"/>
                    <a:srcRect l="90328" t="25512" b="62303"/>
                    <a:stretch>
                      <a:fillRect/>
                    </a:stretch>
                  </pic:blipFill>
                  <pic:spPr bwMode="auto">
                    <a:xfrm>
                      <a:off x="0" y="0"/>
                      <a:ext cx="814070" cy="1522730"/>
                    </a:xfrm>
                    <a:prstGeom prst="rect">
                      <a:avLst/>
                    </a:prstGeom>
                  </pic:spPr>
                </pic:pic>
              </a:graphicData>
            </a:graphic>
          </wp:anchor>
        </w:drawing>
      </w:r>
    </w:p>
    <w:p w14:paraId="562B4526" w14:textId="77777777" w:rsidR="005D0FBE" w:rsidRDefault="005D0FBE" w:rsidP="005D0FBE">
      <w:pPr>
        <w:widowControl w:val="0"/>
        <w:spacing w:line="360" w:lineRule="auto"/>
        <w:rPr>
          <w:b/>
          <w:sz w:val="24"/>
          <w:szCs w:val="24"/>
        </w:rPr>
      </w:pPr>
    </w:p>
    <w:p w14:paraId="5508AE67" w14:textId="77777777" w:rsidR="005D0FBE" w:rsidRDefault="005D0FBE" w:rsidP="005D0FBE">
      <w:pPr>
        <w:pStyle w:val="Heading3"/>
        <w:spacing w:line="240" w:lineRule="auto"/>
        <w:jc w:val="both"/>
        <w:rPr>
          <w:color w:val="000000"/>
          <w:sz w:val="22"/>
          <w:szCs w:val="22"/>
        </w:rPr>
      </w:pPr>
      <w:bookmarkStart w:id="9" w:name="_3l18frh"/>
      <w:bookmarkEnd w:id="9"/>
      <w:r>
        <w:rPr>
          <w:b/>
          <w:color w:val="000000"/>
          <w:sz w:val="22"/>
          <w:szCs w:val="22"/>
        </w:rPr>
        <w:t>Figure 1. Counting of reactions with fluxes per metabolic pathway</w:t>
      </w:r>
      <w:r>
        <w:rPr>
          <w:color w:val="000000"/>
          <w:sz w:val="22"/>
          <w:szCs w:val="22"/>
        </w:rPr>
        <w:t>.</w:t>
      </w:r>
    </w:p>
    <w:p w14:paraId="491778F6" w14:textId="77777777" w:rsidR="005D0FBE" w:rsidRDefault="005D0FBE" w:rsidP="005D0FBE">
      <w:pPr>
        <w:spacing w:line="240" w:lineRule="auto"/>
        <w:jc w:val="both"/>
        <w:rPr>
          <w:sz w:val="20"/>
          <w:szCs w:val="20"/>
        </w:rPr>
      </w:pPr>
      <w:bookmarkStart w:id="10" w:name="_206ipza"/>
      <w:bookmarkEnd w:id="10"/>
      <w:r>
        <w:rPr>
          <w:sz w:val="20"/>
          <w:szCs w:val="20"/>
        </w:rPr>
        <w:t xml:space="preserve">The size of the spheres corresponds to the number of active reactions within each pathway for the 3 subpopulations. The cases in which a blank space is identified correspond to the fact that the reactions had fluxes equal to zero, reason for discarding. This behavior differs between days 6 and 19 as it can be deduced that depending on the day the metabolism is reconfigured, different metabolic behaviors are observed between the subpopulations depending on the day of the study. </w:t>
      </w:r>
    </w:p>
    <w:p w14:paraId="24886384" w14:textId="77777777" w:rsidR="005D0FBE" w:rsidRDefault="005D0FBE" w:rsidP="005D0FBE">
      <w:pPr>
        <w:spacing w:line="360" w:lineRule="auto"/>
      </w:pPr>
    </w:p>
    <w:p w14:paraId="1F5E72E1" w14:textId="77777777" w:rsidR="005D0FBE" w:rsidRDefault="005D0FBE" w:rsidP="005D0FBE">
      <w:pPr>
        <w:spacing w:line="360" w:lineRule="auto"/>
      </w:pPr>
    </w:p>
    <w:p w14:paraId="0569F6DC" w14:textId="77777777" w:rsidR="005D0FBE" w:rsidRDefault="005D0FBE" w:rsidP="005D0FBE">
      <w:pPr>
        <w:spacing w:line="360" w:lineRule="auto"/>
      </w:pPr>
    </w:p>
    <w:p w14:paraId="4D301696" w14:textId="77777777" w:rsidR="005D0FBE" w:rsidRDefault="005D0FBE" w:rsidP="005D0FBE">
      <w:pPr>
        <w:spacing w:line="360" w:lineRule="auto"/>
      </w:pPr>
    </w:p>
    <w:p w14:paraId="48DF48F7" w14:textId="77777777" w:rsidR="005D0FBE" w:rsidRDefault="005D0FBE" w:rsidP="005D0FBE">
      <w:pPr>
        <w:spacing w:line="360" w:lineRule="auto"/>
      </w:pPr>
    </w:p>
    <w:p w14:paraId="38FF08B8" w14:textId="77777777" w:rsidR="005D0FBE" w:rsidRDefault="005D0FBE" w:rsidP="005D0FBE">
      <w:pPr>
        <w:spacing w:line="360" w:lineRule="auto"/>
      </w:pPr>
    </w:p>
    <w:p w14:paraId="2AFE3E48" w14:textId="77777777" w:rsidR="005D0FBE" w:rsidRDefault="005D0FBE" w:rsidP="005D0FBE">
      <w:pPr>
        <w:pStyle w:val="Heading2"/>
        <w:keepNext w:val="0"/>
        <w:spacing w:line="360" w:lineRule="auto"/>
      </w:pPr>
      <w:bookmarkStart w:id="11" w:name="_4k668n3"/>
      <w:bookmarkEnd w:id="11"/>
      <w:r>
        <w:t>6 - Intracellular reactions with activity (Reaction directionality)</w:t>
      </w:r>
    </w:p>
    <w:p w14:paraId="76A815E9" w14:textId="77777777" w:rsidR="005D0FBE" w:rsidRDefault="005D0FBE" w:rsidP="005D0FBE">
      <w:pPr>
        <w:pStyle w:val="Heading3"/>
        <w:spacing w:line="360" w:lineRule="auto"/>
        <w:jc w:val="center"/>
        <w:rPr>
          <w:b/>
          <w:color w:val="000000"/>
          <w:sz w:val="20"/>
          <w:szCs w:val="20"/>
        </w:rPr>
      </w:pPr>
      <w:r>
        <w:rPr>
          <w:noProof/>
        </w:rPr>
        <w:lastRenderedPageBreak/>
        <w:drawing>
          <wp:inline distT="0" distB="0" distL="0" distR="0" wp14:anchorId="5C49D674" wp14:editId="17B4FF01">
            <wp:extent cx="4941570" cy="6295390"/>
            <wp:effectExtent l="0" t="0" r="0" b="0"/>
            <wp:docPr id="11" name="image11.png" descr="Gráfico, Gráfico de burbuj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png" descr="Gráfico, Gráfico de burbujas&#10;&#10;Descripción generada automáticamente"/>
                    <pic:cNvPicPr>
                      <a:picLocks noChangeAspect="1" noChangeArrowheads="1"/>
                    </pic:cNvPicPr>
                  </pic:nvPicPr>
                  <pic:blipFill>
                    <a:blip r:embed="rId11"/>
                    <a:srcRect b="15078"/>
                    <a:stretch>
                      <a:fillRect/>
                    </a:stretch>
                  </pic:blipFill>
                  <pic:spPr bwMode="auto">
                    <a:xfrm>
                      <a:off x="0" y="0"/>
                      <a:ext cx="4941570" cy="6295390"/>
                    </a:xfrm>
                    <a:prstGeom prst="rect">
                      <a:avLst/>
                    </a:prstGeom>
                  </pic:spPr>
                </pic:pic>
              </a:graphicData>
            </a:graphic>
          </wp:inline>
        </w:drawing>
      </w:r>
    </w:p>
    <w:p w14:paraId="295D8FF8" w14:textId="77777777" w:rsidR="005D0FBE" w:rsidRDefault="005D0FBE" w:rsidP="005D0FBE">
      <w:pPr>
        <w:pStyle w:val="Heading3"/>
        <w:spacing w:line="240" w:lineRule="auto"/>
        <w:jc w:val="both"/>
        <w:rPr>
          <w:sz w:val="22"/>
          <w:szCs w:val="22"/>
          <w:highlight w:val="yellow"/>
        </w:rPr>
      </w:pPr>
      <w:bookmarkStart w:id="12" w:name="_2zbgiuw"/>
      <w:bookmarkEnd w:id="12"/>
      <w:r>
        <w:rPr>
          <w:b/>
          <w:color w:val="000000"/>
          <w:sz w:val="22"/>
          <w:szCs w:val="22"/>
        </w:rPr>
        <w:t>Figure 2. Enzymes with metabolic activity</w:t>
      </w:r>
    </w:p>
    <w:p w14:paraId="0568EE8B" w14:textId="77777777" w:rsidR="005D0FBE" w:rsidRDefault="005D0FBE" w:rsidP="005D0FBE">
      <w:pPr>
        <w:spacing w:line="240" w:lineRule="auto"/>
        <w:jc w:val="both"/>
        <w:rPr>
          <w:sz w:val="18"/>
          <w:szCs w:val="18"/>
        </w:rPr>
      </w:pPr>
      <w:r>
        <w:rPr>
          <w:sz w:val="20"/>
          <w:szCs w:val="20"/>
        </w:rPr>
        <w:t>The metabolic pathways were grouped according to the VMH database (see methods section), in which each reaction is assigned a subsystem such as a) Pentose Phosphate pathway b) Fatty acid Oxidation/Synthesis. Only reactions with activity in at least one of the three subpopulations were considered for visualization. To represent the directionality, a color identifier (reddish) corresponds to the directionality of the reaction in its classical pathway described in the database, and (blue) corresponds to a reversal of the directionality of the reaction when observed. The blanks do not exclude the presence of enzymes in the reconstruction; they only reflect whether there was activity. The units of the FBA modeling correspond to the metabolic biotransformation rate, mmol/cell/hour, reflected in the size of the spheres for each reaction.</w:t>
      </w:r>
    </w:p>
    <w:p w14:paraId="25940EFC" w14:textId="77777777" w:rsidR="005D0FBE" w:rsidRDefault="005D0FBE" w:rsidP="005D0FBE">
      <w:pPr>
        <w:pStyle w:val="Heading2"/>
        <w:keepNext w:val="0"/>
        <w:spacing w:line="360" w:lineRule="auto"/>
        <w:rPr>
          <w:sz w:val="30"/>
          <w:szCs w:val="30"/>
        </w:rPr>
      </w:pPr>
      <w:bookmarkStart w:id="13" w:name="_1egqt2p"/>
      <w:bookmarkEnd w:id="13"/>
      <w:r>
        <w:rPr>
          <w:sz w:val="30"/>
          <w:szCs w:val="30"/>
        </w:rPr>
        <w:t>7 - Community response to oxygen gradients</w:t>
      </w:r>
    </w:p>
    <w:p w14:paraId="3C0F8DC6" w14:textId="77777777" w:rsidR="005D0FBE" w:rsidRDefault="005D0FBE" w:rsidP="005D0FBE">
      <w:pPr>
        <w:pStyle w:val="Heading3"/>
        <w:spacing w:line="360" w:lineRule="auto"/>
        <w:jc w:val="center"/>
        <w:rPr>
          <w:b/>
          <w:color w:val="000000"/>
          <w:sz w:val="20"/>
          <w:szCs w:val="20"/>
        </w:rPr>
      </w:pPr>
      <w:r>
        <w:rPr>
          <w:noProof/>
        </w:rPr>
        <w:lastRenderedPageBreak/>
        <w:drawing>
          <wp:inline distT="0" distB="0" distL="0" distR="0" wp14:anchorId="15A77B32" wp14:editId="552DD89F">
            <wp:extent cx="5056505" cy="7284085"/>
            <wp:effectExtent l="0" t="0" r="0" b="0"/>
            <wp:docPr id="12" name="image10.png"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0.png" descr="Gráfico, Gráfico de líneas&#10;&#10;Descripción generada automáticamente"/>
                    <pic:cNvPicPr>
                      <a:picLocks noChangeAspect="1" noChangeArrowheads="1"/>
                    </pic:cNvPicPr>
                  </pic:nvPicPr>
                  <pic:blipFill>
                    <a:blip r:embed="rId12"/>
                    <a:srcRect b="3966"/>
                    <a:stretch>
                      <a:fillRect/>
                    </a:stretch>
                  </pic:blipFill>
                  <pic:spPr bwMode="auto">
                    <a:xfrm>
                      <a:off x="0" y="0"/>
                      <a:ext cx="5056505" cy="7284085"/>
                    </a:xfrm>
                    <a:prstGeom prst="rect">
                      <a:avLst/>
                    </a:prstGeom>
                  </pic:spPr>
                </pic:pic>
              </a:graphicData>
            </a:graphic>
          </wp:inline>
        </w:drawing>
      </w:r>
    </w:p>
    <w:p w14:paraId="3BBEAF8F" w14:textId="77777777" w:rsidR="005D0FBE" w:rsidRDefault="005D0FBE" w:rsidP="005D0FBE">
      <w:pPr>
        <w:pStyle w:val="Heading3"/>
        <w:spacing w:line="240" w:lineRule="auto"/>
        <w:jc w:val="both"/>
        <w:rPr>
          <w:sz w:val="30"/>
          <w:szCs w:val="30"/>
        </w:rPr>
      </w:pPr>
      <w:bookmarkStart w:id="14" w:name="_3ygebqi"/>
      <w:bookmarkEnd w:id="14"/>
      <w:r>
        <w:rPr>
          <w:b/>
          <w:color w:val="000000"/>
          <w:sz w:val="22"/>
          <w:szCs w:val="22"/>
        </w:rPr>
        <w:t xml:space="preserve">Figure 3. </w:t>
      </w:r>
      <w:r>
        <w:rPr>
          <w:b/>
          <w:sz w:val="22"/>
          <w:szCs w:val="22"/>
        </w:rPr>
        <w:t>Community response to oxygen depletion</w:t>
      </w:r>
    </w:p>
    <w:p w14:paraId="1D61D77E" w14:textId="77777777" w:rsidR="005D0FBE" w:rsidRDefault="005D0FBE" w:rsidP="005D0FBE">
      <w:pPr>
        <w:spacing w:line="240" w:lineRule="auto"/>
        <w:jc w:val="both"/>
      </w:pPr>
      <w:r>
        <w:rPr>
          <w:sz w:val="20"/>
          <w:szCs w:val="20"/>
        </w:rPr>
        <w:t xml:space="preserve">From right to left, the gradient from normoxia to hypoxia is represented, where oxygen fluxes are decreasing, and each of the 16 marked points reflects the behavior of the subpopulations about the consumption or production of a metabolite. Values above zero represent secretion, and those below zero consumption. Red lines correspond to invading cells, green lines to reservoirs, and blue lines to proliferative cells. Each point on the X-axis represents a different community simulation or scenario. Since this is a deterministic scenario, we do not have any statistics since there are no variations in the repetitions of the </w:t>
      </w:r>
      <w:r>
        <w:rPr>
          <w:sz w:val="20"/>
          <w:szCs w:val="20"/>
        </w:rPr>
        <w:lastRenderedPageBreak/>
        <w:t>simulations. To visualize the behavior of the community with the disposition of the elements of the medium, we selected metabolites that could be used as an energy source on different study days: a) pyruvate, c) galactose, e) L-serine, g) lysine on day six, and b) pyruvate, d) galactose, f) L-serine, h) glycine on day 19.</w:t>
      </w:r>
    </w:p>
    <w:p w14:paraId="4D94CEBF" w14:textId="77777777" w:rsidR="005D0FBE" w:rsidRDefault="005D0FBE" w:rsidP="005D0FBE">
      <w:pPr>
        <w:pStyle w:val="Heading2"/>
        <w:keepNext w:val="0"/>
        <w:spacing w:line="360" w:lineRule="auto"/>
        <w:rPr>
          <w:sz w:val="30"/>
          <w:szCs w:val="30"/>
        </w:rPr>
      </w:pPr>
      <w:bookmarkStart w:id="15" w:name="_2dlolyb"/>
      <w:bookmarkEnd w:id="15"/>
    </w:p>
    <w:p w14:paraId="60CC4449" w14:textId="77777777" w:rsidR="005D0FBE" w:rsidRDefault="005D0FBE" w:rsidP="005D0FBE">
      <w:pPr>
        <w:pStyle w:val="Heading2"/>
        <w:keepNext w:val="0"/>
        <w:spacing w:line="360" w:lineRule="auto"/>
        <w:rPr>
          <w:sz w:val="30"/>
          <w:szCs w:val="30"/>
        </w:rPr>
      </w:pPr>
      <w:bookmarkStart w:id="16" w:name="_sqyw64"/>
      <w:bookmarkEnd w:id="16"/>
      <w:r>
        <w:rPr>
          <w:sz w:val="30"/>
          <w:szCs w:val="30"/>
        </w:rPr>
        <w:t>8 - Doubling times</w:t>
      </w:r>
    </w:p>
    <w:p w14:paraId="176488A0" w14:textId="77777777" w:rsidR="005D0FBE" w:rsidRDefault="005D0FBE" w:rsidP="005D0FBE">
      <w:pPr>
        <w:spacing w:line="360" w:lineRule="auto"/>
      </w:pPr>
    </w:p>
    <w:p w14:paraId="06DA2F61" w14:textId="77777777" w:rsidR="005D0FBE" w:rsidRDefault="005D0FBE" w:rsidP="005D0FBE">
      <w:pPr>
        <w:spacing w:line="360" w:lineRule="auto"/>
        <w:jc w:val="both"/>
        <w:rPr>
          <w:sz w:val="24"/>
          <w:szCs w:val="24"/>
        </w:rPr>
      </w:pPr>
    </w:p>
    <w:p w14:paraId="7B585A20" w14:textId="77777777" w:rsidR="005D0FBE" w:rsidRDefault="005D0FBE" w:rsidP="005D0FBE">
      <w:pPr>
        <w:spacing w:line="360" w:lineRule="auto"/>
        <w:jc w:val="both"/>
        <w:rPr>
          <w:sz w:val="24"/>
          <w:szCs w:val="24"/>
        </w:rPr>
      </w:pPr>
      <w:r>
        <w:rPr>
          <w:sz w:val="24"/>
          <w:szCs w:val="24"/>
        </w:rPr>
        <w:t xml:space="preserve">According to </w:t>
      </w:r>
      <w:hyperlink r:id="rId13">
        <w:r>
          <w:rPr>
            <w:sz w:val="24"/>
            <w:szCs w:val="24"/>
          </w:rPr>
          <w:t>Meadows</w:t>
        </w:r>
      </w:hyperlink>
      <w:r>
        <w:rPr>
          <w:sz w:val="24"/>
          <w:szCs w:val="24"/>
        </w:rPr>
        <w:t xml:space="preserve"> et al.</w:t>
      </w:r>
      <w:r>
        <w:rPr>
          <w:sz w:val="24"/>
          <w:szCs w:val="24"/>
          <w:vertAlign w:val="superscript"/>
        </w:rPr>
        <w:t>1</w:t>
      </w:r>
      <w:r>
        <w:rPr>
          <w:sz w:val="24"/>
          <w:szCs w:val="24"/>
        </w:rPr>
        <w:t>, the doubling time results from dividing the natural logarithm of 2 by the biomass or growth rate. The simulation indicated a 0.026 mmol/cell/h rate, corresponding to an approximate ~ 26-hour doubling time on both days. The doubling time is a characteristic unit (a natural unit of scale) for the exponential growth equation, and its reciprocal for exponential decay is the half-life.</w:t>
      </w:r>
    </w:p>
    <w:p w14:paraId="07867F2E" w14:textId="77777777" w:rsidR="005D0FBE" w:rsidRDefault="005D0FBE" w:rsidP="005D0FBE">
      <w:pPr>
        <w:spacing w:line="360" w:lineRule="auto"/>
        <w:ind w:firstLine="720"/>
        <w:jc w:val="center"/>
        <w:rPr>
          <w:sz w:val="24"/>
          <w:szCs w:val="24"/>
        </w:rPr>
      </w:pPr>
    </w:p>
    <w:p w14:paraId="4DC9BD6F" w14:textId="77777777" w:rsidR="005D0FBE" w:rsidRDefault="005D0FBE" w:rsidP="005D0FBE">
      <w:pPr>
        <w:jc w:val="center"/>
        <w:rPr>
          <w:rFonts w:ascii="Cambria Math" w:eastAsia="Cambria Math" w:hAnsi="Cambria Math" w:cs="Cambria Math"/>
          <w:sz w:val="24"/>
          <w:szCs w:val="24"/>
        </w:rPr>
      </w:pPr>
      <m:oMathPara>
        <m:oMathParaPr>
          <m:jc m:val="center"/>
        </m:oMathParaPr>
        <m:oMath>
          <m:r>
            <w:rPr>
              <w:rFonts w:ascii="Cambria Math" w:hAnsi="Cambria Math"/>
            </w:rPr>
            <m:t>DoublingTime=ln</m:t>
          </m:r>
          <m:f>
            <m:fPr>
              <m:type m:val="lin"/>
              <m:ctrlPr>
                <w:rPr>
                  <w:rFonts w:ascii="Cambria Math" w:hAnsi="Cambria Math"/>
                </w:rPr>
              </m:ctrlPr>
            </m:fPr>
            <m:num>
              <m:d>
                <m:dPr>
                  <m:ctrlPr>
                    <w:rPr>
                      <w:rFonts w:ascii="Cambria Math" w:hAnsi="Cambria Math"/>
                    </w:rPr>
                  </m:ctrlPr>
                </m:dPr>
                <m:e>
                  <m:r>
                    <w:rPr>
                      <w:rFonts w:ascii="Cambria Math" w:hAnsi="Cambria Math"/>
                    </w:rPr>
                    <m:t>2</m:t>
                  </m:r>
                </m:e>
              </m:d>
            </m:num>
            <m:den>
              <m:r>
                <w:rPr>
                  <w:rFonts w:ascii="Cambria Math" w:hAnsi="Cambria Math"/>
                </w:rPr>
                <m:t>Biomass</m:t>
              </m:r>
            </m:den>
          </m:f>
        </m:oMath>
      </m:oMathPara>
    </w:p>
    <w:p w14:paraId="4F752E3B" w14:textId="77777777" w:rsidR="005D0FBE" w:rsidRDefault="005D0FBE" w:rsidP="005D0FBE">
      <w:pPr>
        <w:spacing w:line="360" w:lineRule="auto"/>
        <w:ind w:firstLine="720"/>
        <w:jc w:val="center"/>
        <w:rPr>
          <w:sz w:val="24"/>
          <w:szCs w:val="24"/>
        </w:rPr>
      </w:pPr>
    </w:p>
    <w:p w14:paraId="5D7B5E48" w14:textId="77777777" w:rsidR="005D0FBE" w:rsidRDefault="005D0FBE" w:rsidP="005D0FBE">
      <w:pPr>
        <w:widowControl w:val="0"/>
        <w:spacing w:after="200" w:line="360" w:lineRule="auto"/>
        <w:ind w:left="400"/>
        <w:jc w:val="right"/>
        <w:rPr>
          <w:sz w:val="20"/>
          <w:szCs w:val="20"/>
        </w:rPr>
      </w:pPr>
      <w:r>
        <w:rPr>
          <w:sz w:val="20"/>
          <w:szCs w:val="20"/>
        </w:rPr>
        <w:t>1.</w:t>
      </w:r>
      <w:r>
        <w:rPr>
          <w:sz w:val="20"/>
          <w:szCs w:val="20"/>
        </w:rPr>
        <w:tab/>
      </w:r>
      <w:hyperlink r:id="rId14">
        <w:r>
          <w:rPr>
            <w:sz w:val="20"/>
            <w:szCs w:val="20"/>
          </w:rPr>
          <w:t xml:space="preserve">Meadows, D. H. </w:t>
        </w:r>
      </w:hyperlink>
      <w:hyperlink r:id="rId15">
        <w:r>
          <w:rPr>
            <w:i/>
            <w:sz w:val="20"/>
            <w:szCs w:val="20"/>
          </w:rPr>
          <w:t>Thinking in Systems: A Primer</w:t>
        </w:r>
      </w:hyperlink>
      <w:hyperlink r:id="rId16">
        <w:r>
          <w:rPr>
            <w:sz w:val="20"/>
            <w:szCs w:val="20"/>
          </w:rPr>
          <w:t>. (Chelsea Green Publishing, 2008).</w:t>
        </w:r>
      </w:hyperlink>
    </w:p>
    <w:p w14:paraId="60DCC99E" w14:textId="77777777" w:rsidR="005D0FBE" w:rsidRDefault="005D0FBE" w:rsidP="005D0FBE">
      <w:pPr>
        <w:spacing w:line="360" w:lineRule="auto"/>
        <w:ind w:firstLine="720"/>
        <w:rPr>
          <w:sz w:val="24"/>
          <w:szCs w:val="24"/>
        </w:rPr>
      </w:pPr>
    </w:p>
    <w:p w14:paraId="112FADF5" w14:textId="77777777" w:rsidR="005D0FBE" w:rsidRDefault="005D0FBE" w:rsidP="005D0FBE">
      <w:pPr>
        <w:spacing w:line="360" w:lineRule="auto"/>
        <w:ind w:firstLine="720"/>
        <w:jc w:val="both"/>
        <w:rPr>
          <w:sz w:val="24"/>
          <w:szCs w:val="24"/>
        </w:rPr>
      </w:pPr>
    </w:p>
    <w:p w14:paraId="6D3157A2" w14:textId="77777777" w:rsidR="005D0FBE" w:rsidRDefault="005D0FBE" w:rsidP="005D0FBE">
      <w:pPr>
        <w:spacing w:line="360" w:lineRule="auto"/>
      </w:pPr>
    </w:p>
    <w:p w14:paraId="18FBD492" w14:textId="77777777" w:rsidR="005D0FBE" w:rsidRDefault="005D0FBE" w:rsidP="005D0FBE">
      <w:pPr>
        <w:spacing w:line="360" w:lineRule="auto"/>
        <w:rPr>
          <w:sz w:val="20"/>
          <w:szCs w:val="20"/>
        </w:rPr>
      </w:pPr>
    </w:p>
    <w:p w14:paraId="10169C1D" w14:textId="77777777" w:rsidR="005D0FBE" w:rsidRDefault="005D0FBE" w:rsidP="005D0FBE">
      <w:pPr>
        <w:spacing w:line="360" w:lineRule="auto"/>
        <w:rPr>
          <w:sz w:val="20"/>
          <w:szCs w:val="20"/>
        </w:rPr>
      </w:pPr>
    </w:p>
    <w:p w14:paraId="4E6FCB6B" w14:textId="77777777" w:rsidR="005D0FBE" w:rsidRDefault="005D0FBE" w:rsidP="005D0FBE">
      <w:pPr>
        <w:spacing w:line="360" w:lineRule="auto"/>
        <w:rPr>
          <w:sz w:val="20"/>
          <w:szCs w:val="20"/>
        </w:rPr>
      </w:pPr>
    </w:p>
    <w:p w14:paraId="31DB9B44" w14:textId="77777777" w:rsidR="005D0FBE" w:rsidRDefault="005D0FBE" w:rsidP="005D0FBE">
      <w:pPr>
        <w:spacing w:line="360" w:lineRule="auto"/>
        <w:rPr>
          <w:sz w:val="20"/>
          <w:szCs w:val="20"/>
        </w:rPr>
      </w:pPr>
    </w:p>
    <w:p w14:paraId="50E05FE9" w14:textId="77777777" w:rsidR="005D0FBE" w:rsidRDefault="005D0FBE" w:rsidP="005D0FBE">
      <w:pPr>
        <w:spacing w:line="360" w:lineRule="auto"/>
        <w:rPr>
          <w:sz w:val="20"/>
          <w:szCs w:val="20"/>
        </w:rPr>
      </w:pPr>
    </w:p>
    <w:p w14:paraId="4ACC502D" w14:textId="77777777" w:rsidR="005D0FBE" w:rsidRDefault="005D0FBE" w:rsidP="005D0FBE">
      <w:pPr>
        <w:spacing w:line="360" w:lineRule="auto"/>
        <w:rPr>
          <w:sz w:val="20"/>
          <w:szCs w:val="20"/>
        </w:rPr>
      </w:pPr>
    </w:p>
    <w:p w14:paraId="1B2CA2B8" w14:textId="77777777" w:rsidR="005D0FBE" w:rsidRDefault="005D0FBE" w:rsidP="005D0FBE">
      <w:pPr>
        <w:spacing w:line="360" w:lineRule="auto"/>
        <w:rPr>
          <w:sz w:val="20"/>
          <w:szCs w:val="20"/>
        </w:rPr>
      </w:pPr>
    </w:p>
    <w:p w14:paraId="1A6B348E" w14:textId="77777777" w:rsidR="005D0FBE" w:rsidRDefault="005D0FBE" w:rsidP="005D0FBE">
      <w:pPr>
        <w:spacing w:line="360" w:lineRule="auto"/>
        <w:rPr>
          <w:sz w:val="20"/>
          <w:szCs w:val="20"/>
        </w:rPr>
      </w:pPr>
    </w:p>
    <w:p w14:paraId="1DCBD88C" w14:textId="77777777" w:rsidR="005D0FBE" w:rsidRDefault="005D0FBE" w:rsidP="005D0FBE">
      <w:pPr>
        <w:spacing w:line="360" w:lineRule="auto"/>
        <w:rPr>
          <w:sz w:val="20"/>
          <w:szCs w:val="20"/>
        </w:rPr>
      </w:pPr>
    </w:p>
    <w:p w14:paraId="303F25BD" w14:textId="77777777" w:rsidR="005D0FBE" w:rsidRDefault="005D0FBE" w:rsidP="005D0FBE">
      <w:pPr>
        <w:spacing w:line="360" w:lineRule="auto"/>
        <w:rPr>
          <w:sz w:val="20"/>
          <w:szCs w:val="20"/>
        </w:rPr>
      </w:pPr>
    </w:p>
    <w:p w14:paraId="019783F4" w14:textId="77777777" w:rsidR="005D0FBE" w:rsidRDefault="005D0FBE" w:rsidP="005D0FBE">
      <w:pPr>
        <w:spacing w:line="360" w:lineRule="auto"/>
        <w:rPr>
          <w:sz w:val="20"/>
          <w:szCs w:val="20"/>
        </w:rPr>
      </w:pPr>
    </w:p>
    <w:p w14:paraId="2CADD546" w14:textId="77777777" w:rsidR="005D0FBE" w:rsidRDefault="005D0FBE" w:rsidP="005D0FBE">
      <w:pPr>
        <w:spacing w:line="360" w:lineRule="auto"/>
        <w:rPr>
          <w:sz w:val="20"/>
          <w:szCs w:val="20"/>
        </w:rPr>
      </w:pPr>
    </w:p>
    <w:p w14:paraId="23DBA9A9" w14:textId="77777777" w:rsidR="005D0FBE" w:rsidRDefault="005D0FBE" w:rsidP="005D0FBE">
      <w:pPr>
        <w:spacing w:line="360" w:lineRule="auto"/>
        <w:rPr>
          <w:sz w:val="20"/>
          <w:szCs w:val="20"/>
        </w:rPr>
      </w:pPr>
    </w:p>
    <w:p w14:paraId="3D088575" w14:textId="77777777" w:rsidR="005D0FBE" w:rsidRDefault="005D0FBE" w:rsidP="005D0FBE">
      <w:pPr>
        <w:spacing w:line="360" w:lineRule="auto"/>
      </w:pPr>
    </w:p>
    <w:p w14:paraId="139D1C85" w14:textId="77777777" w:rsidR="00F553FF" w:rsidRDefault="00F553FF"/>
    <w:sectPr w:rsidR="00F553FF" w:rsidSect="005D0FBE">
      <w:headerReference w:type="default" r:id="rId17"/>
      <w:pgSz w:w="11906" w:h="16838"/>
      <w:pgMar w:top="1440" w:right="1440" w:bottom="1440" w:left="1133" w:header="720" w:footer="0" w:gutter="0"/>
      <w:pgNumType w:start="1"/>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OpenSymbol">
    <w:altName w:val="Calibri"/>
    <w:charset w:val="01"/>
    <w:family w:val="auto"/>
    <w:pitch w:val="variable"/>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DC3316" w14:textId="77777777" w:rsidR="00000000" w:rsidRDefault="00000000">
    <w:pPr>
      <w:jc w:val="right"/>
      <w:rPr>
        <w:b/>
        <w:color w:val="999999"/>
        <w:sz w:val="18"/>
        <w:szCs w:val="18"/>
      </w:rPr>
    </w:pPr>
  </w:p>
  <w:p w14:paraId="4CA0BF57" w14:textId="77777777" w:rsidR="00000000" w:rsidRDefault="00000000"/>
  <w:p w14:paraId="4DD9391B" w14:textId="77777777" w:rsidR="00000000" w:rsidRDefault="00000000">
    <w:pPr>
      <w:jc w:val="right"/>
    </w:pPr>
  </w:p>
  <w:p w14:paraId="2170AC1C" w14:textId="77777777" w:rsidR="00000000" w:rsidRDefault="00000000">
    <w:pPr>
      <w:jc w:val="right"/>
    </w:pPr>
    <w:r>
      <w:fldChar w:fldCharType="begin"/>
    </w:r>
    <w:r>
      <w:instrText xml:space="preserve"> PAGE </w:instrText>
    </w:r>
    <w:r>
      <w:fldChar w:fldCharType="separate"/>
    </w:r>
    <w:r>
      <w:t>22</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0C428A4"/>
    <w:multiLevelType w:val="multilevel"/>
    <w:tmpl w:val="C19C0FA8"/>
    <w:lvl w:ilvl="0">
      <w:start w:val="1"/>
      <w:numFmt w:val="bullet"/>
      <w:lvlText w:val=""/>
      <w:lvlJc w:val="left"/>
      <w:pPr>
        <w:tabs>
          <w:tab w:val="num" w:pos="0"/>
        </w:tabs>
        <w:ind w:left="1440" w:hanging="360"/>
      </w:pPr>
      <w:rPr>
        <w:rFonts w:ascii="Wingdings" w:hAnsi="Wingdings" w:cs="Wingdings" w:hint="default"/>
        <w:u w:val="none"/>
      </w:rPr>
    </w:lvl>
    <w:lvl w:ilvl="1">
      <w:start w:val="1"/>
      <w:numFmt w:val="bullet"/>
      <w:lvlText w:val=""/>
      <w:lvlJc w:val="left"/>
      <w:pPr>
        <w:tabs>
          <w:tab w:val="num" w:pos="0"/>
        </w:tabs>
        <w:ind w:left="2160" w:hanging="360"/>
      </w:pPr>
      <w:rPr>
        <w:rFonts w:ascii="Wingdings 2" w:hAnsi="Wingdings 2" w:cs="Wingdings 2" w:hint="default"/>
        <w:u w:val="none"/>
      </w:rPr>
    </w:lvl>
    <w:lvl w:ilvl="2">
      <w:start w:val="1"/>
      <w:numFmt w:val="bullet"/>
      <w:lvlText w:val="■"/>
      <w:lvlJc w:val="left"/>
      <w:pPr>
        <w:tabs>
          <w:tab w:val="num" w:pos="0"/>
        </w:tabs>
        <w:ind w:left="2880" w:hanging="360"/>
      </w:pPr>
      <w:rPr>
        <w:rFonts w:ascii="OpenSymbol" w:hAnsi="OpenSymbol" w:cs="OpenSymbol" w:hint="default"/>
        <w:u w:val="none"/>
      </w:rPr>
    </w:lvl>
    <w:lvl w:ilvl="3">
      <w:start w:val="1"/>
      <w:numFmt w:val="bullet"/>
      <w:lvlText w:val=""/>
      <w:lvlJc w:val="left"/>
      <w:pPr>
        <w:tabs>
          <w:tab w:val="num" w:pos="0"/>
        </w:tabs>
        <w:ind w:left="3600" w:hanging="360"/>
      </w:pPr>
      <w:rPr>
        <w:rFonts w:ascii="Wingdings" w:hAnsi="Wingdings" w:cs="Wingdings" w:hint="default"/>
        <w:u w:val="none"/>
      </w:rPr>
    </w:lvl>
    <w:lvl w:ilvl="4">
      <w:start w:val="1"/>
      <w:numFmt w:val="bullet"/>
      <w:lvlText w:val=""/>
      <w:lvlJc w:val="left"/>
      <w:pPr>
        <w:tabs>
          <w:tab w:val="num" w:pos="0"/>
        </w:tabs>
        <w:ind w:left="4320" w:hanging="360"/>
      </w:pPr>
      <w:rPr>
        <w:rFonts w:ascii="Wingdings 2" w:hAnsi="Wingdings 2" w:cs="Wingdings 2" w:hint="default"/>
        <w:u w:val="none"/>
      </w:rPr>
    </w:lvl>
    <w:lvl w:ilvl="5">
      <w:start w:val="1"/>
      <w:numFmt w:val="bullet"/>
      <w:lvlText w:val="■"/>
      <w:lvlJc w:val="left"/>
      <w:pPr>
        <w:tabs>
          <w:tab w:val="num" w:pos="0"/>
        </w:tabs>
        <w:ind w:left="5040" w:hanging="360"/>
      </w:pPr>
      <w:rPr>
        <w:rFonts w:ascii="OpenSymbol" w:hAnsi="OpenSymbol" w:cs="OpenSymbol" w:hint="default"/>
        <w:u w:val="none"/>
      </w:rPr>
    </w:lvl>
    <w:lvl w:ilvl="6">
      <w:start w:val="1"/>
      <w:numFmt w:val="bullet"/>
      <w:lvlText w:val=""/>
      <w:lvlJc w:val="left"/>
      <w:pPr>
        <w:tabs>
          <w:tab w:val="num" w:pos="0"/>
        </w:tabs>
        <w:ind w:left="5760" w:hanging="360"/>
      </w:pPr>
      <w:rPr>
        <w:rFonts w:ascii="Wingdings" w:hAnsi="Wingdings" w:cs="Wingdings" w:hint="default"/>
        <w:u w:val="none"/>
      </w:rPr>
    </w:lvl>
    <w:lvl w:ilvl="7">
      <w:start w:val="1"/>
      <w:numFmt w:val="bullet"/>
      <w:lvlText w:val=""/>
      <w:lvlJc w:val="left"/>
      <w:pPr>
        <w:tabs>
          <w:tab w:val="num" w:pos="0"/>
        </w:tabs>
        <w:ind w:left="6480" w:hanging="360"/>
      </w:pPr>
      <w:rPr>
        <w:rFonts w:ascii="Wingdings 2" w:hAnsi="Wingdings 2" w:cs="Wingdings 2" w:hint="default"/>
        <w:u w:val="none"/>
      </w:rPr>
    </w:lvl>
    <w:lvl w:ilvl="8">
      <w:start w:val="1"/>
      <w:numFmt w:val="bullet"/>
      <w:lvlText w:val="■"/>
      <w:lvlJc w:val="left"/>
      <w:pPr>
        <w:tabs>
          <w:tab w:val="num" w:pos="0"/>
        </w:tabs>
        <w:ind w:left="7200" w:hanging="360"/>
      </w:pPr>
      <w:rPr>
        <w:rFonts w:ascii="OpenSymbol" w:hAnsi="OpenSymbol" w:cs="OpenSymbol" w:hint="default"/>
        <w:u w:val="none"/>
      </w:rPr>
    </w:lvl>
  </w:abstractNum>
  <w:abstractNum w:abstractNumId="1" w15:restartNumberingAfterBreak="0">
    <w:nsid w:val="5BB16C25"/>
    <w:multiLevelType w:val="multilevel"/>
    <w:tmpl w:val="19E4BA64"/>
    <w:lvl w:ilvl="0">
      <w:start w:val="1"/>
      <w:numFmt w:val="bullet"/>
      <w:lvlText w:val="-"/>
      <w:lvlJc w:val="left"/>
      <w:pPr>
        <w:tabs>
          <w:tab w:val="num" w:pos="0"/>
        </w:tabs>
        <w:ind w:left="720" w:hanging="360"/>
      </w:pPr>
      <w:rPr>
        <w:rFonts w:ascii="OpenSymbol" w:hAnsi="OpenSymbol" w:cs="OpenSymbol" w:hint="default"/>
        <w:u w:val="none"/>
      </w:rPr>
    </w:lvl>
    <w:lvl w:ilvl="1">
      <w:start w:val="1"/>
      <w:numFmt w:val="bullet"/>
      <w:lvlText w:val="-"/>
      <w:lvlJc w:val="left"/>
      <w:pPr>
        <w:tabs>
          <w:tab w:val="num" w:pos="0"/>
        </w:tabs>
        <w:ind w:left="1440" w:hanging="360"/>
      </w:pPr>
      <w:rPr>
        <w:rFonts w:ascii="OpenSymbol" w:hAnsi="OpenSymbol" w:cs="OpenSymbol"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OpenSymbol" w:hAnsi="OpenSymbol" w:cs="OpenSymbol" w:hint="default"/>
        <w:u w:val="none"/>
      </w:rPr>
    </w:lvl>
    <w:lvl w:ilvl="4">
      <w:start w:val="1"/>
      <w:numFmt w:val="bullet"/>
      <w:lvlText w:val="-"/>
      <w:lvlJc w:val="left"/>
      <w:pPr>
        <w:tabs>
          <w:tab w:val="num" w:pos="0"/>
        </w:tabs>
        <w:ind w:left="3600" w:hanging="360"/>
      </w:pPr>
      <w:rPr>
        <w:rFonts w:ascii="OpenSymbol" w:hAnsi="OpenSymbol" w:cs="OpenSymbol"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OpenSymbol" w:hAnsi="OpenSymbol" w:cs="OpenSymbol" w:hint="default"/>
        <w:u w:val="none"/>
      </w:rPr>
    </w:lvl>
    <w:lvl w:ilvl="7">
      <w:start w:val="1"/>
      <w:numFmt w:val="bullet"/>
      <w:lvlText w:val="-"/>
      <w:lvlJc w:val="left"/>
      <w:pPr>
        <w:tabs>
          <w:tab w:val="num" w:pos="0"/>
        </w:tabs>
        <w:ind w:left="5760" w:hanging="360"/>
      </w:pPr>
      <w:rPr>
        <w:rFonts w:ascii="OpenSymbol" w:hAnsi="OpenSymbol" w:cs="OpenSymbol"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num w:numId="1" w16cid:durableId="1332903107">
    <w:abstractNumId w:val="1"/>
  </w:num>
  <w:num w:numId="2" w16cid:durableId="6894513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FBE"/>
    <w:rsid w:val="003C2EF4"/>
    <w:rsid w:val="005D0FBE"/>
    <w:rsid w:val="00B74216"/>
    <w:rsid w:val="00E928EF"/>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F2EC5"/>
  <w15:chartTrackingRefBased/>
  <w15:docId w15:val="{7E0E55FA-5360-47CC-A622-359438502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FBE"/>
    <w:pPr>
      <w:suppressAutoHyphens/>
      <w:spacing w:after="0" w:line="276" w:lineRule="auto"/>
    </w:pPr>
    <w:rPr>
      <w:rFonts w:ascii="Arial" w:eastAsia="Arial" w:hAnsi="Arial" w:cs="Arial"/>
      <w:kern w:val="0"/>
      <w14:ligatures w14:val="none"/>
    </w:rPr>
  </w:style>
  <w:style w:type="paragraph" w:styleId="Heading1">
    <w:name w:val="heading 1"/>
    <w:basedOn w:val="Normal"/>
    <w:next w:val="Normal"/>
    <w:link w:val="Heading1Char"/>
    <w:uiPriority w:val="9"/>
    <w:qFormat/>
    <w:rsid w:val="005D0F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D0F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D0FB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0FB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0FB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0FB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0FB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0FB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0FB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0F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0F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0F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0F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0F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0F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0F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0F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0FBE"/>
    <w:rPr>
      <w:rFonts w:eastAsiaTheme="majorEastAsia" w:cstheme="majorBidi"/>
      <w:color w:val="272727" w:themeColor="text1" w:themeTint="D8"/>
    </w:rPr>
  </w:style>
  <w:style w:type="paragraph" w:styleId="Title">
    <w:name w:val="Title"/>
    <w:basedOn w:val="Normal"/>
    <w:next w:val="Normal"/>
    <w:link w:val="TitleChar"/>
    <w:uiPriority w:val="10"/>
    <w:qFormat/>
    <w:rsid w:val="005D0F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0F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0F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0F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0FBE"/>
    <w:pPr>
      <w:spacing w:before="160"/>
      <w:jc w:val="center"/>
    </w:pPr>
    <w:rPr>
      <w:i/>
      <w:iCs/>
      <w:color w:val="404040" w:themeColor="text1" w:themeTint="BF"/>
    </w:rPr>
  </w:style>
  <w:style w:type="character" w:customStyle="1" w:styleId="QuoteChar">
    <w:name w:val="Quote Char"/>
    <w:basedOn w:val="DefaultParagraphFont"/>
    <w:link w:val="Quote"/>
    <w:uiPriority w:val="29"/>
    <w:rsid w:val="005D0FBE"/>
    <w:rPr>
      <w:i/>
      <w:iCs/>
      <w:color w:val="404040" w:themeColor="text1" w:themeTint="BF"/>
    </w:rPr>
  </w:style>
  <w:style w:type="paragraph" w:styleId="ListParagraph">
    <w:name w:val="List Paragraph"/>
    <w:basedOn w:val="Normal"/>
    <w:uiPriority w:val="34"/>
    <w:qFormat/>
    <w:rsid w:val="005D0FBE"/>
    <w:pPr>
      <w:ind w:left="720"/>
      <w:contextualSpacing/>
    </w:pPr>
  </w:style>
  <w:style w:type="character" w:styleId="IntenseEmphasis">
    <w:name w:val="Intense Emphasis"/>
    <w:basedOn w:val="DefaultParagraphFont"/>
    <w:uiPriority w:val="21"/>
    <w:qFormat/>
    <w:rsid w:val="005D0FBE"/>
    <w:rPr>
      <w:i/>
      <w:iCs/>
      <w:color w:val="0F4761" w:themeColor="accent1" w:themeShade="BF"/>
    </w:rPr>
  </w:style>
  <w:style w:type="paragraph" w:styleId="IntenseQuote">
    <w:name w:val="Intense Quote"/>
    <w:basedOn w:val="Normal"/>
    <w:next w:val="Normal"/>
    <w:link w:val="IntenseQuoteChar"/>
    <w:uiPriority w:val="30"/>
    <w:qFormat/>
    <w:rsid w:val="005D0F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0FBE"/>
    <w:rPr>
      <w:i/>
      <w:iCs/>
      <w:color w:val="0F4761" w:themeColor="accent1" w:themeShade="BF"/>
    </w:rPr>
  </w:style>
  <w:style w:type="character" w:styleId="IntenseReference">
    <w:name w:val="Intense Reference"/>
    <w:basedOn w:val="DefaultParagraphFont"/>
    <w:uiPriority w:val="32"/>
    <w:qFormat/>
    <w:rsid w:val="005D0FB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resendislab/Modeling_Heterogeneity_Cancer_Metabolism_MICOM" TargetMode="External"/><Relationship Id="rId13" Type="http://schemas.openxmlformats.org/officeDocument/2006/relationships/hyperlink" Target="http://paperpile.com/b/gUeZ96/nTRoX"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paperpile.com/b/gUeZ96/nTRoX" TargetMode="External"/><Relationship Id="rId1" Type="http://schemas.openxmlformats.org/officeDocument/2006/relationships/numbering" Target="numbering.xml"/><Relationship Id="rId6" Type="http://schemas.openxmlformats.org/officeDocument/2006/relationships/hyperlink" Target="https://www.atcc.org/products/30-2008" TargetMode="External"/><Relationship Id="rId11" Type="http://schemas.openxmlformats.org/officeDocument/2006/relationships/image" Target="media/image4.png"/><Relationship Id="rId5" Type="http://schemas.openxmlformats.org/officeDocument/2006/relationships/image" Target="media/image1.png"/><Relationship Id="rId15" Type="http://schemas.openxmlformats.org/officeDocument/2006/relationships/hyperlink" Target="http://paperpile.com/b/gUeZ96/nTRoX"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github.com/resendislab/Modeling_Heterogeneity_Cancer_Metabolism_MICOM" TargetMode="External"/><Relationship Id="rId14" Type="http://schemas.openxmlformats.org/officeDocument/2006/relationships/hyperlink" Target="http://paperpile.com/b/gUeZ96/nTRo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768</Words>
  <Characters>4378</Characters>
  <Application>Microsoft Office Word</Application>
  <DocSecurity>0</DocSecurity>
  <Lines>36</Lines>
  <Paragraphs>10</Paragraphs>
  <ScaleCrop>false</ScaleCrop>
  <Company>Springer Nature</Company>
  <LinksUpToDate>false</LinksUpToDate>
  <CharactersWithSpaces>5136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2024-08-20T05:21:00Z</dcterms:created>
  <dcterms:modified xsi:type="dcterms:W3CDTF">2024-08-20T05:21:00Z</dcterms:modified>
</cp:coreProperties>
</file>