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204E" w:rsidRPr="00566370" w:rsidRDefault="00566370">
      <w:pPr>
        <w:rPr>
          <w:rFonts w:ascii="Arial" w:hAnsi="Arial" w:cs="Arial"/>
          <w:b/>
          <w:sz w:val="24"/>
          <w:szCs w:val="24"/>
        </w:rPr>
      </w:pPr>
      <w:r w:rsidRPr="00566370">
        <w:rPr>
          <w:rFonts w:ascii="Arial" w:hAnsi="Arial" w:cs="Arial"/>
          <w:b/>
          <w:sz w:val="24"/>
          <w:szCs w:val="24"/>
        </w:rPr>
        <w:t xml:space="preserve">Tahaney </w:t>
      </w:r>
      <w:r w:rsidRPr="00566370">
        <w:rPr>
          <w:rFonts w:ascii="Arial" w:hAnsi="Arial" w:cs="Arial"/>
          <w:b/>
          <w:i/>
          <w:sz w:val="24"/>
          <w:szCs w:val="24"/>
        </w:rPr>
        <w:t xml:space="preserve">et al. </w:t>
      </w:r>
      <w:r w:rsidR="00C744F1" w:rsidRPr="00566370">
        <w:rPr>
          <w:rFonts w:ascii="Arial" w:hAnsi="Arial" w:cs="Arial"/>
          <w:b/>
          <w:sz w:val="24"/>
          <w:szCs w:val="24"/>
        </w:rPr>
        <w:t>Supplementary Metho</w:t>
      </w:r>
      <w:bookmarkStart w:id="0" w:name="_GoBack"/>
      <w:bookmarkEnd w:id="0"/>
      <w:r w:rsidR="00C744F1" w:rsidRPr="00566370">
        <w:rPr>
          <w:rFonts w:ascii="Arial" w:hAnsi="Arial" w:cs="Arial"/>
          <w:b/>
          <w:sz w:val="24"/>
          <w:szCs w:val="24"/>
        </w:rPr>
        <w:t>ds:</w:t>
      </w:r>
    </w:p>
    <w:p w:rsidR="00C744F1" w:rsidRPr="00453ABA" w:rsidRDefault="00C744F1">
      <w:pPr>
        <w:rPr>
          <w:rFonts w:ascii="Arial" w:hAnsi="Arial" w:cs="Arial"/>
          <w:b/>
          <w:szCs w:val="24"/>
        </w:rPr>
      </w:pPr>
    </w:p>
    <w:p w:rsidR="00453ABA" w:rsidRDefault="00453ABA">
      <w:pPr>
        <w:rPr>
          <w:rFonts w:ascii="Arial" w:hAnsi="Arial" w:cs="Arial"/>
          <w:b/>
          <w:i/>
          <w:szCs w:val="24"/>
        </w:rPr>
      </w:pPr>
    </w:p>
    <w:p w:rsidR="00C744F1" w:rsidRPr="00453ABA" w:rsidRDefault="00C744F1">
      <w:pPr>
        <w:rPr>
          <w:rFonts w:ascii="Arial" w:hAnsi="Arial" w:cs="Arial"/>
          <w:b/>
          <w:szCs w:val="24"/>
        </w:rPr>
      </w:pPr>
      <w:r w:rsidRPr="00453ABA">
        <w:rPr>
          <w:rFonts w:ascii="Arial" w:hAnsi="Arial" w:cs="Arial"/>
          <w:b/>
          <w:i/>
          <w:szCs w:val="24"/>
        </w:rPr>
        <w:t xml:space="preserve">In Vitro </w:t>
      </w:r>
      <w:r w:rsidRPr="00453ABA">
        <w:rPr>
          <w:rFonts w:ascii="Arial" w:hAnsi="Arial" w:cs="Arial"/>
          <w:b/>
          <w:szCs w:val="24"/>
        </w:rPr>
        <w:t>Drug Screen Data Processing</w:t>
      </w:r>
    </w:p>
    <w:p w:rsidR="001565C7" w:rsidRPr="00453ABA" w:rsidRDefault="001565C7">
      <w:pPr>
        <w:rPr>
          <w:rFonts w:ascii="Arial" w:hAnsi="Arial" w:cs="Arial"/>
          <w:szCs w:val="24"/>
        </w:rPr>
      </w:pPr>
    </w:p>
    <w:p w:rsidR="006630A5" w:rsidRPr="00453ABA" w:rsidRDefault="006630A5" w:rsidP="006630A5">
      <w:pPr>
        <w:spacing w:line="480" w:lineRule="auto"/>
        <w:ind w:firstLine="720"/>
        <w:jc w:val="both"/>
        <w:rPr>
          <w:rFonts w:ascii="Arial" w:hAnsi="Arial" w:cs="Arial"/>
          <w:szCs w:val="24"/>
        </w:rPr>
      </w:pPr>
      <w:r w:rsidRPr="00453ABA">
        <w:rPr>
          <w:rFonts w:ascii="Arial" w:hAnsi="Arial" w:cs="Arial"/>
          <w:szCs w:val="24"/>
        </w:rPr>
        <w:t>After obtaining luminescence values, data organization and analysis was performed using Pipeline Pilot (</w:t>
      </w:r>
      <w:proofErr w:type="spellStart"/>
      <w:r w:rsidRPr="00453ABA">
        <w:rPr>
          <w:rFonts w:ascii="Arial" w:hAnsi="Arial" w:cs="Arial"/>
          <w:szCs w:val="24"/>
        </w:rPr>
        <w:t>Biovia</w:t>
      </w:r>
      <w:proofErr w:type="spellEnd"/>
      <w:r w:rsidRPr="00453ABA">
        <w:rPr>
          <w:rFonts w:ascii="Arial" w:hAnsi="Arial" w:cs="Arial"/>
          <w:szCs w:val="24"/>
        </w:rPr>
        <w:t xml:space="preserve">, 2018 Server edition) integrated with R. Raw cell counts were first normalized as the growth rate index (GR), purposed by Hafner </w:t>
      </w:r>
      <w:r w:rsidRPr="00453ABA">
        <w:rPr>
          <w:rFonts w:ascii="Arial" w:hAnsi="Arial" w:cs="Arial"/>
          <w:i/>
          <w:szCs w:val="24"/>
        </w:rPr>
        <w:t>et al.</w:t>
      </w:r>
      <w:r w:rsidRPr="00453ABA">
        <w:rPr>
          <w:rFonts w:ascii="Arial" w:hAnsi="Arial" w:cs="Arial"/>
          <w:szCs w:val="24"/>
        </w:rPr>
        <w:t>, using the following equation:</w:t>
      </w:r>
    </w:p>
    <w:p w:rsidR="006630A5" w:rsidRPr="00453ABA" w:rsidRDefault="006630A5" w:rsidP="006630A5">
      <w:pPr>
        <w:pStyle w:val="NormalWeb"/>
        <w:spacing w:before="0" w:beforeAutospacing="0" w:after="0" w:afterAutospacing="0" w:line="480" w:lineRule="auto"/>
        <w:jc w:val="both"/>
        <w:rPr>
          <w:rFonts w:ascii="Arial" w:hAnsi="Arial" w:cs="Arial"/>
          <w:color w:val="000000" w:themeColor="text1"/>
          <w:kern w:val="24"/>
          <w:sz w:val="22"/>
        </w:rPr>
      </w:pPr>
      <w:r w:rsidRPr="00453ABA">
        <w:rPr>
          <w:rFonts w:ascii="Arial" w:hAnsi="Arial" w:cs="Arial"/>
          <w:color w:val="000000" w:themeColor="text1"/>
          <w:kern w:val="24"/>
          <w:sz w:val="22"/>
        </w:rPr>
        <w:tab/>
      </w:r>
      <w:bookmarkStart w:id="1" w:name="_Hlk81761964"/>
      <w:bookmarkStart w:id="2" w:name="_Hlk81761936"/>
      <m:oMath>
        <m:r>
          <w:rPr>
            <w:rFonts w:ascii="Cambria Math" w:hAnsi="Cambria Math" w:cs="Arial"/>
            <w:color w:val="000000" w:themeColor="text1"/>
            <w:kern w:val="24"/>
            <w:sz w:val="22"/>
          </w:rPr>
          <m:t>GR</m:t>
        </m:r>
        <m:r>
          <m:rPr>
            <m:sty m:val="p"/>
          </m:rPr>
          <w:rPr>
            <w:rFonts w:ascii="Cambria Math" w:hAnsi="Cambria Math" w:cs="Arial"/>
            <w:color w:val="000000" w:themeColor="text1"/>
            <w:kern w:val="24"/>
            <w:sz w:val="22"/>
          </w:rPr>
          <m:t>=</m:t>
        </m:r>
        <m:sSup>
          <m:sSupPr>
            <m:ctrlPr>
              <w:rPr>
                <w:rFonts w:ascii="Cambria Math" w:hAnsi="Cambria Math" w:cs="Arial"/>
                <w:i/>
                <w:iCs/>
                <w:color w:val="000000" w:themeColor="text1"/>
                <w:kern w:val="24"/>
                <w:sz w:val="22"/>
              </w:rPr>
            </m:ctrlPr>
          </m:sSupPr>
          <m:e>
            <m:r>
              <m:rPr>
                <m:sty m:val="p"/>
              </m:rPr>
              <w:rPr>
                <w:rFonts w:ascii="Cambria Math" w:hAnsi="Cambria Math" w:cs="Arial"/>
                <w:color w:val="000000" w:themeColor="text1"/>
                <w:kern w:val="24"/>
                <w:sz w:val="22"/>
              </w:rPr>
              <m:t>2</m:t>
            </m:r>
          </m:e>
          <m:sup>
            <m:d>
              <m:dPr>
                <m:ctrlPr>
                  <w:rPr>
                    <w:rFonts w:ascii="Cambria Math" w:hAnsi="Cambria Math" w:cs="Arial"/>
                    <w:i/>
                    <w:iCs/>
                    <w:color w:val="000000" w:themeColor="text1"/>
                    <w:kern w:val="24"/>
                    <w:sz w:val="22"/>
                  </w:rPr>
                </m:ctrlPr>
              </m:dPr>
              <m:e>
                <m:f>
                  <m:fPr>
                    <m:ctrlPr>
                      <w:rPr>
                        <w:rFonts w:ascii="Cambria Math" w:hAnsi="Cambria Math" w:cs="Arial"/>
                        <w:i/>
                        <w:iCs/>
                        <w:color w:val="000000" w:themeColor="text1"/>
                        <w:kern w:val="24"/>
                        <w:sz w:val="22"/>
                      </w:rPr>
                    </m:ctrlPr>
                  </m:fPr>
                  <m:num>
                    <m:r>
                      <w:rPr>
                        <w:rFonts w:ascii="Cambria Math" w:hAnsi="Cambria Math" w:cs="Arial"/>
                        <w:color w:val="000000" w:themeColor="text1"/>
                        <w:kern w:val="24"/>
                        <w:sz w:val="22"/>
                      </w:rPr>
                      <m:t>x</m:t>
                    </m:r>
                  </m:num>
                  <m:den>
                    <m:sSub>
                      <m:sSubPr>
                        <m:ctrlPr>
                          <w:rPr>
                            <w:rFonts w:ascii="Cambria Math" w:hAnsi="Cambria Math" w:cs="Arial"/>
                            <w:i/>
                            <w:iCs/>
                            <w:color w:val="000000" w:themeColor="text1"/>
                            <w:kern w:val="24"/>
                            <w:sz w:val="22"/>
                          </w:rPr>
                        </m:ctrlPr>
                      </m:sSubPr>
                      <m:e>
                        <m:r>
                          <w:rPr>
                            <w:rFonts w:ascii="Cambria Math" w:hAnsi="Cambria Math" w:cs="Arial"/>
                            <w:color w:val="000000" w:themeColor="text1"/>
                            <w:kern w:val="24"/>
                            <w:sz w:val="22"/>
                          </w:rPr>
                          <m:t>x</m:t>
                        </m:r>
                      </m:e>
                      <m:sub>
                        <m:r>
                          <w:rPr>
                            <w:rFonts w:ascii="Cambria Math" w:hAnsi="Cambria Math" w:cs="Arial"/>
                            <w:color w:val="000000" w:themeColor="text1"/>
                            <w:kern w:val="24"/>
                            <w:sz w:val="22"/>
                          </w:rPr>
                          <m:t>o</m:t>
                        </m:r>
                      </m:sub>
                    </m:sSub>
                  </m:den>
                </m:f>
              </m:e>
            </m:d>
          </m:sup>
        </m:sSup>
        <m:r>
          <m:rPr>
            <m:sty m:val="p"/>
          </m:rPr>
          <w:rPr>
            <w:rFonts w:ascii="Cambria Math" w:hAnsi="Cambria Math" w:cs="Arial"/>
            <w:color w:val="000000" w:themeColor="text1"/>
            <w:kern w:val="24"/>
            <w:sz w:val="22"/>
          </w:rPr>
          <m:t>-1</m:t>
        </m:r>
      </m:oMath>
      <w:bookmarkEnd w:id="1"/>
      <w:r w:rsidRPr="00453ABA">
        <w:rPr>
          <w:rFonts w:ascii="Arial" w:hAnsi="Arial" w:cs="Arial"/>
          <w:color w:val="000000" w:themeColor="text1"/>
          <w:kern w:val="24"/>
          <w:sz w:val="22"/>
        </w:rPr>
        <w:t>, where</w:t>
      </w:r>
      <m:oMath>
        <m:r>
          <w:rPr>
            <w:rFonts w:ascii="Cambria Math" w:eastAsia="Times New Roman" w:hAnsi="Cambria Math" w:cs="Arial"/>
            <w:color w:val="000000" w:themeColor="text1"/>
            <w:kern w:val="24"/>
            <w:sz w:val="22"/>
          </w:rPr>
          <m:t xml:space="preserve"> x= </m:t>
        </m:r>
        <m:func>
          <m:funcPr>
            <m:ctrlPr>
              <w:rPr>
                <w:rFonts w:ascii="Cambria Math" w:hAnsi="Cambria Math" w:cs="Arial"/>
                <w:i/>
                <w:iCs/>
                <w:color w:val="000000" w:themeColor="text1"/>
                <w:kern w:val="24"/>
                <w:sz w:val="22"/>
              </w:rPr>
            </m:ctrlPr>
          </m:funcPr>
          <m:fName>
            <m:sSub>
              <m:sSubPr>
                <m:ctrlPr>
                  <w:rPr>
                    <w:rFonts w:ascii="Cambria Math" w:hAnsi="Cambria Math" w:cs="Arial"/>
                    <w:i/>
                    <w:iCs/>
                    <w:color w:val="000000" w:themeColor="text1"/>
                    <w:kern w:val="24"/>
                    <w:sz w:val="22"/>
                  </w:rPr>
                </m:ctrlPr>
              </m:sSubPr>
              <m:e>
                <m:r>
                  <m:rPr>
                    <m:sty m:val="p"/>
                  </m:rPr>
                  <w:rPr>
                    <w:rFonts w:ascii="Cambria Math" w:eastAsia="Calibri" w:hAnsi="Cambria Math" w:cs="Arial"/>
                    <w:color w:val="000000" w:themeColor="text1"/>
                    <w:kern w:val="24"/>
                    <w:sz w:val="22"/>
                  </w:rPr>
                  <m:t>log</m:t>
                </m:r>
              </m:e>
              <m:sub>
                <m:r>
                  <w:rPr>
                    <w:rFonts w:ascii="Cambria Math" w:eastAsia="Times New Roman" w:hAnsi="Cambria Math" w:cs="Arial"/>
                    <w:color w:val="000000" w:themeColor="text1"/>
                    <w:kern w:val="24"/>
                    <w:sz w:val="22"/>
                  </w:rPr>
                  <m:t>2</m:t>
                </m:r>
              </m:sub>
            </m:sSub>
          </m:fName>
          <m:e>
            <m:d>
              <m:dPr>
                <m:ctrlPr>
                  <w:rPr>
                    <w:rFonts w:ascii="Cambria Math" w:hAnsi="Cambria Math" w:cs="Arial"/>
                    <w:i/>
                    <w:iCs/>
                    <w:color w:val="000000" w:themeColor="text1"/>
                    <w:kern w:val="24"/>
                    <w:sz w:val="22"/>
                  </w:rPr>
                </m:ctrlPr>
              </m:dPr>
              <m:e>
                <m:f>
                  <m:fPr>
                    <m:ctrlPr>
                      <w:rPr>
                        <w:rFonts w:ascii="Cambria Math" w:hAnsi="Cambria Math" w:cs="Arial"/>
                        <w:i/>
                        <w:iCs/>
                        <w:color w:val="000000" w:themeColor="text1"/>
                        <w:kern w:val="24"/>
                        <w:sz w:val="22"/>
                      </w:rPr>
                    </m:ctrlPr>
                  </m:fPr>
                  <m:num>
                    <m:sSub>
                      <m:sSubPr>
                        <m:ctrlPr>
                          <w:rPr>
                            <w:rFonts w:ascii="Cambria Math" w:hAnsi="Cambria Math" w:cs="Arial"/>
                            <w:i/>
                            <w:iCs/>
                            <w:color w:val="000000" w:themeColor="text1"/>
                            <w:kern w:val="24"/>
                            <w:sz w:val="22"/>
                          </w:rPr>
                        </m:ctrlPr>
                      </m:sSubPr>
                      <m:e>
                        <m:r>
                          <w:rPr>
                            <w:rFonts w:ascii="Cambria Math" w:eastAsia="Times New Roman" w:hAnsi="Cambria Math" w:cs="Arial"/>
                            <w:color w:val="000000" w:themeColor="text1"/>
                            <w:kern w:val="24"/>
                            <w:sz w:val="22"/>
                          </w:rPr>
                          <m:t>Drug</m:t>
                        </m:r>
                      </m:e>
                      <m:sub>
                        <m:sSub>
                          <m:sSubPr>
                            <m:ctrlPr>
                              <w:rPr>
                                <w:rFonts w:ascii="Cambria Math" w:hAnsi="Cambria Math" w:cs="Arial"/>
                                <w:i/>
                                <w:iCs/>
                                <w:color w:val="000000" w:themeColor="text1"/>
                                <w:kern w:val="24"/>
                                <w:sz w:val="22"/>
                              </w:rPr>
                            </m:ctrlPr>
                          </m:sSubPr>
                          <m:e>
                            <m:r>
                              <w:rPr>
                                <w:rFonts w:ascii="Cambria Math" w:eastAsia="Times New Roman" w:hAnsi="Cambria Math" w:cs="Arial"/>
                                <w:color w:val="000000" w:themeColor="text1"/>
                                <w:kern w:val="24"/>
                                <w:sz w:val="22"/>
                              </w:rPr>
                              <m:t>D</m:t>
                            </m:r>
                          </m:e>
                          <m:sub>
                            <m:r>
                              <w:rPr>
                                <w:rFonts w:ascii="Cambria Math" w:eastAsia="Times New Roman" w:hAnsi="Cambria Math" w:cs="Arial"/>
                                <w:color w:val="000000" w:themeColor="text1"/>
                                <w:kern w:val="24"/>
                                <w:sz w:val="22"/>
                              </w:rPr>
                              <m:t>3</m:t>
                            </m:r>
                          </m:sub>
                        </m:sSub>
                      </m:sub>
                    </m:sSub>
                  </m:num>
                  <m:den>
                    <m:sSub>
                      <m:sSubPr>
                        <m:ctrlPr>
                          <w:rPr>
                            <w:rFonts w:ascii="Cambria Math" w:hAnsi="Cambria Math" w:cs="Arial"/>
                            <w:i/>
                            <w:iCs/>
                            <w:color w:val="000000" w:themeColor="text1"/>
                            <w:kern w:val="24"/>
                            <w:sz w:val="22"/>
                          </w:rPr>
                        </m:ctrlPr>
                      </m:sSubPr>
                      <m:e>
                        <m:r>
                          <w:rPr>
                            <w:rFonts w:ascii="Cambria Math" w:eastAsia="Times New Roman" w:hAnsi="Cambria Math" w:cs="Arial"/>
                            <w:color w:val="000000" w:themeColor="text1"/>
                            <w:kern w:val="24"/>
                            <w:sz w:val="22"/>
                          </w:rPr>
                          <m:t>Control</m:t>
                        </m:r>
                      </m:e>
                      <m:sub>
                        <m:sSub>
                          <m:sSubPr>
                            <m:ctrlPr>
                              <w:rPr>
                                <w:rFonts w:ascii="Cambria Math" w:hAnsi="Cambria Math" w:cs="Arial"/>
                                <w:i/>
                                <w:iCs/>
                                <w:color w:val="000000" w:themeColor="text1"/>
                                <w:kern w:val="24"/>
                                <w:sz w:val="22"/>
                              </w:rPr>
                            </m:ctrlPr>
                          </m:sSubPr>
                          <m:e>
                            <m:r>
                              <w:rPr>
                                <w:rFonts w:ascii="Cambria Math" w:eastAsia="Times New Roman" w:hAnsi="Cambria Math" w:cs="Arial"/>
                                <w:color w:val="000000" w:themeColor="text1"/>
                                <w:kern w:val="24"/>
                                <w:sz w:val="22"/>
                              </w:rPr>
                              <m:t>D</m:t>
                            </m:r>
                          </m:e>
                          <m:sub>
                            <m:r>
                              <w:rPr>
                                <w:rFonts w:ascii="Cambria Math" w:eastAsia="Times New Roman" w:hAnsi="Cambria Math" w:cs="Arial"/>
                                <w:color w:val="000000" w:themeColor="text1"/>
                                <w:kern w:val="24"/>
                                <w:sz w:val="22"/>
                              </w:rPr>
                              <m:t>0</m:t>
                            </m:r>
                          </m:sub>
                        </m:sSub>
                      </m:sub>
                    </m:sSub>
                  </m:den>
                </m:f>
              </m:e>
            </m:d>
          </m:e>
        </m:func>
        <m:r>
          <w:rPr>
            <w:rFonts w:ascii="Cambria Math" w:hAnsi="Cambria Math" w:cs="Arial"/>
            <w:color w:val="000000" w:themeColor="text1"/>
            <w:kern w:val="24"/>
            <w:sz w:val="22"/>
          </w:rPr>
          <m:t xml:space="preserve"> </m:t>
        </m:r>
      </m:oMath>
      <w:r w:rsidRPr="00453ABA">
        <w:rPr>
          <w:rFonts w:ascii="Arial" w:hAnsi="Arial" w:cs="Arial"/>
          <w:iCs/>
          <w:color w:val="000000" w:themeColor="text1"/>
          <w:kern w:val="24"/>
          <w:sz w:val="22"/>
        </w:rPr>
        <w:t xml:space="preserve">and </w:t>
      </w:r>
      <m:oMath>
        <m:sSub>
          <m:sSubPr>
            <m:ctrlPr>
              <w:rPr>
                <w:rFonts w:ascii="Cambria Math" w:hAnsi="Cambria Math" w:cs="Arial"/>
                <w:i/>
                <w:iCs/>
                <w:color w:val="000000" w:themeColor="text1"/>
                <w:kern w:val="24"/>
                <w:sz w:val="22"/>
              </w:rPr>
            </m:ctrlPr>
          </m:sSubPr>
          <m:e>
            <m:r>
              <w:rPr>
                <w:rFonts w:ascii="Cambria Math" w:hAnsi="Cambria Math" w:cs="Arial"/>
                <w:color w:val="000000" w:themeColor="text1"/>
                <w:kern w:val="24"/>
                <w:sz w:val="22"/>
              </w:rPr>
              <m:t>x</m:t>
            </m:r>
          </m:e>
          <m:sub>
            <m:r>
              <w:rPr>
                <w:rFonts w:ascii="Cambria Math" w:hAnsi="Cambria Math" w:cs="Arial"/>
                <w:color w:val="000000" w:themeColor="text1"/>
                <w:kern w:val="24"/>
                <w:sz w:val="22"/>
              </w:rPr>
              <m:t>0</m:t>
            </m:r>
          </m:sub>
        </m:sSub>
        <m:r>
          <w:rPr>
            <w:rFonts w:ascii="Cambria Math" w:eastAsia="Times New Roman" w:hAnsi="Cambria Math" w:cs="Arial"/>
            <w:color w:val="000000" w:themeColor="text1"/>
            <w:kern w:val="24"/>
            <w:sz w:val="22"/>
          </w:rPr>
          <m:t>= </m:t>
        </m:r>
        <m:func>
          <m:funcPr>
            <m:ctrlPr>
              <w:rPr>
                <w:rFonts w:ascii="Cambria Math" w:hAnsi="Cambria Math" w:cs="Arial"/>
                <w:i/>
                <w:iCs/>
                <w:color w:val="000000" w:themeColor="text1"/>
                <w:kern w:val="24"/>
                <w:sz w:val="22"/>
              </w:rPr>
            </m:ctrlPr>
          </m:funcPr>
          <m:fName>
            <m:sSub>
              <m:sSubPr>
                <m:ctrlPr>
                  <w:rPr>
                    <w:rFonts w:ascii="Cambria Math" w:hAnsi="Cambria Math" w:cs="Arial"/>
                    <w:i/>
                    <w:iCs/>
                    <w:color w:val="000000" w:themeColor="text1"/>
                    <w:kern w:val="24"/>
                    <w:sz w:val="22"/>
                  </w:rPr>
                </m:ctrlPr>
              </m:sSubPr>
              <m:e>
                <m:r>
                  <m:rPr>
                    <m:sty m:val="p"/>
                  </m:rPr>
                  <w:rPr>
                    <w:rFonts w:ascii="Cambria Math" w:eastAsia="Calibri" w:hAnsi="Cambria Math" w:cs="Arial"/>
                    <w:color w:val="000000" w:themeColor="text1"/>
                    <w:kern w:val="24"/>
                    <w:sz w:val="22"/>
                  </w:rPr>
                  <m:t>log</m:t>
                </m:r>
              </m:e>
              <m:sub>
                <m:r>
                  <w:rPr>
                    <w:rFonts w:ascii="Cambria Math" w:eastAsia="Times New Roman" w:hAnsi="Cambria Math" w:cs="Arial"/>
                    <w:color w:val="000000" w:themeColor="text1"/>
                    <w:kern w:val="24"/>
                    <w:sz w:val="22"/>
                  </w:rPr>
                  <m:t>2</m:t>
                </m:r>
              </m:sub>
            </m:sSub>
          </m:fName>
          <m:e>
            <m:d>
              <m:dPr>
                <m:ctrlPr>
                  <w:rPr>
                    <w:rFonts w:ascii="Cambria Math" w:hAnsi="Cambria Math" w:cs="Arial"/>
                    <w:i/>
                    <w:iCs/>
                    <w:color w:val="000000" w:themeColor="text1"/>
                    <w:kern w:val="24"/>
                    <w:sz w:val="22"/>
                  </w:rPr>
                </m:ctrlPr>
              </m:dPr>
              <m:e>
                <m:f>
                  <m:fPr>
                    <m:ctrlPr>
                      <w:rPr>
                        <w:rFonts w:ascii="Cambria Math" w:hAnsi="Cambria Math" w:cs="Arial"/>
                        <w:i/>
                        <w:iCs/>
                        <w:color w:val="000000" w:themeColor="text1"/>
                        <w:kern w:val="24"/>
                        <w:sz w:val="22"/>
                      </w:rPr>
                    </m:ctrlPr>
                  </m:fPr>
                  <m:num>
                    <m:sSub>
                      <m:sSubPr>
                        <m:ctrlPr>
                          <w:rPr>
                            <w:rFonts w:ascii="Cambria Math" w:hAnsi="Cambria Math" w:cs="Arial"/>
                            <w:i/>
                            <w:iCs/>
                            <w:color w:val="000000" w:themeColor="text1"/>
                            <w:kern w:val="24"/>
                            <w:sz w:val="22"/>
                          </w:rPr>
                        </m:ctrlPr>
                      </m:sSubPr>
                      <m:e>
                        <m:r>
                          <w:rPr>
                            <w:rFonts w:ascii="Cambria Math" w:eastAsia="Times New Roman" w:hAnsi="Cambria Math" w:cs="Arial"/>
                            <w:color w:val="000000" w:themeColor="text1"/>
                            <w:kern w:val="24"/>
                            <w:sz w:val="22"/>
                          </w:rPr>
                          <m:t>Control</m:t>
                        </m:r>
                      </m:e>
                      <m:sub>
                        <m:sSub>
                          <m:sSubPr>
                            <m:ctrlPr>
                              <w:rPr>
                                <w:rFonts w:ascii="Cambria Math" w:hAnsi="Cambria Math" w:cs="Arial"/>
                                <w:i/>
                                <w:iCs/>
                                <w:color w:val="000000" w:themeColor="text1"/>
                                <w:kern w:val="24"/>
                                <w:sz w:val="22"/>
                              </w:rPr>
                            </m:ctrlPr>
                          </m:sSubPr>
                          <m:e>
                            <m:r>
                              <w:rPr>
                                <w:rFonts w:ascii="Cambria Math" w:eastAsia="Times New Roman" w:hAnsi="Cambria Math" w:cs="Arial"/>
                                <w:color w:val="000000" w:themeColor="text1"/>
                                <w:kern w:val="24"/>
                                <w:sz w:val="22"/>
                              </w:rPr>
                              <m:t>D</m:t>
                            </m:r>
                          </m:e>
                          <m:sub>
                            <m:r>
                              <w:rPr>
                                <w:rFonts w:ascii="Cambria Math" w:eastAsia="Times New Roman" w:hAnsi="Cambria Math" w:cs="Arial"/>
                                <w:color w:val="000000" w:themeColor="text1"/>
                                <w:kern w:val="24"/>
                                <w:sz w:val="22"/>
                              </w:rPr>
                              <m:t>3</m:t>
                            </m:r>
                          </m:sub>
                        </m:sSub>
                      </m:sub>
                    </m:sSub>
                  </m:num>
                  <m:den>
                    <m:sSub>
                      <m:sSubPr>
                        <m:ctrlPr>
                          <w:rPr>
                            <w:rFonts w:ascii="Cambria Math" w:hAnsi="Cambria Math" w:cs="Arial"/>
                            <w:i/>
                            <w:iCs/>
                            <w:color w:val="000000" w:themeColor="text1"/>
                            <w:kern w:val="24"/>
                            <w:sz w:val="22"/>
                          </w:rPr>
                        </m:ctrlPr>
                      </m:sSubPr>
                      <m:e>
                        <m:r>
                          <w:rPr>
                            <w:rFonts w:ascii="Cambria Math" w:eastAsia="Times New Roman" w:hAnsi="Cambria Math" w:cs="Arial"/>
                            <w:color w:val="000000" w:themeColor="text1"/>
                            <w:kern w:val="24"/>
                            <w:sz w:val="22"/>
                          </w:rPr>
                          <m:t>Control</m:t>
                        </m:r>
                      </m:e>
                      <m:sub>
                        <m:sSub>
                          <m:sSubPr>
                            <m:ctrlPr>
                              <w:rPr>
                                <w:rFonts w:ascii="Cambria Math" w:hAnsi="Cambria Math" w:cs="Arial"/>
                                <w:i/>
                                <w:iCs/>
                                <w:color w:val="000000" w:themeColor="text1"/>
                                <w:kern w:val="24"/>
                                <w:sz w:val="22"/>
                              </w:rPr>
                            </m:ctrlPr>
                          </m:sSubPr>
                          <m:e>
                            <m:r>
                              <w:rPr>
                                <w:rFonts w:ascii="Cambria Math" w:eastAsia="Times New Roman" w:hAnsi="Cambria Math" w:cs="Arial"/>
                                <w:color w:val="000000" w:themeColor="text1"/>
                                <w:kern w:val="24"/>
                                <w:sz w:val="22"/>
                              </w:rPr>
                              <m:t>D</m:t>
                            </m:r>
                          </m:e>
                          <m:sub>
                            <m:r>
                              <w:rPr>
                                <w:rFonts w:ascii="Cambria Math" w:eastAsia="Times New Roman" w:hAnsi="Cambria Math" w:cs="Arial"/>
                                <w:color w:val="000000" w:themeColor="text1"/>
                                <w:kern w:val="24"/>
                                <w:sz w:val="22"/>
                              </w:rPr>
                              <m:t>0</m:t>
                            </m:r>
                          </m:sub>
                        </m:sSub>
                      </m:sub>
                    </m:sSub>
                  </m:den>
                </m:f>
              </m:e>
            </m:d>
          </m:e>
        </m:func>
      </m:oMath>
    </w:p>
    <w:p w:rsidR="001565C7" w:rsidRPr="00453ABA" w:rsidRDefault="006630A5" w:rsidP="006630A5">
      <w:pPr>
        <w:spacing w:line="480" w:lineRule="auto"/>
        <w:jc w:val="both"/>
        <w:rPr>
          <w:rFonts w:ascii="Arial" w:hAnsi="Arial" w:cs="Arial"/>
          <w:szCs w:val="24"/>
        </w:rPr>
      </w:pPr>
      <w:r w:rsidRPr="00453ABA">
        <w:rPr>
          <w:rFonts w:ascii="Arial" w:hAnsi="Arial" w:cs="Arial"/>
          <w:szCs w:val="24"/>
        </w:rPr>
        <w:t>wherein Drug D</w:t>
      </w:r>
      <w:r w:rsidRPr="00453ABA">
        <w:rPr>
          <w:rFonts w:ascii="Arial" w:hAnsi="Arial" w:cs="Arial"/>
          <w:szCs w:val="24"/>
          <w:vertAlign w:val="subscript"/>
        </w:rPr>
        <w:t xml:space="preserve">3 </w:t>
      </w:r>
      <w:r w:rsidRPr="00453ABA">
        <w:rPr>
          <w:rFonts w:ascii="Arial" w:hAnsi="Arial" w:cs="Arial"/>
          <w:szCs w:val="24"/>
        </w:rPr>
        <w:t>is the value of drug treatment values, Control D</w:t>
      </w:r>
      <w:r w:rsidRPr="00453ABA">
        <w:rPr>
          <w:rFonts w:ascii="Arial" w:hAnsi="Arial" w:cs="Arial"/>
          <w:szCs w:val="24"/>
          <w:vertAlign w:val="subscript"/>
        </w:rPr>
        <w:t>0</w:t>
      </w:r>
      <w:r w:rsidRPr="00453ABA">
        <w:rPr>
          <w:rFonts w:ascii="Arial" w:hAnsi="Arial" w:cs="Arial"/>
          <w:szCs w:val="24"/>
        </w:rPr>
        <w:t xml:space="preserve"> is the cell count values from a separate plate fixed on the day of drug addition, and Control D</w:t>
      </w:r>
      <w:r w:rsidRPr="00453ABA">
        <w:rPr>
          <w:rFonts w:ascii="Arial" w:hAnsi="Arial" w:cs="Arial"/>
          <w:szCs w:val="24"/>
          <w:vertAlign w:val="subscript"/>
        </w:rPr>
        <w:t>3</w:t>
      </w:r>
      <w:r w:rsidRPr="00453ABA">
        <w:rPr>
          <w:rFonts w:ascii="Arial" w:hAnsi="Arial" w:cs="Arial"/>
          <w:szCs w:val="24"/>
        </w:rPr>
        <w:t xml:space="preserve"> is the on-plate negative control. </w:t>
      </w:r>
      <w:bookmarkEnd w:id="2"/>
      <w:r w:rsidRPr="00453ABA">
        <w:rPr>
          <w:rFonts w:ascii="Arial" w:hAnsi="Arial" w:cs="Arial"/>
          <w:szCs w:val="24"/>
        </w:rPr>
        <w:t>The normalized growth rate versus concentration was then fit using a cascade of 6 different models to provide an optimal fit to a broad range of curve shapes. The first model tested attempted to fit normalized data to a hill slope (4-parameter logistic regression) using iteratively reweighted least squared method found in the robust R package (https://cran.r-project.org/web/packages/robust/robust.pdf). A failure to converge, as defined by a threshold of 0.00001, results in the data being passed to a series of constrained logistic regression or linear models. The constrained models used are: a 3PL which either fixes the max and fits the minimum, slope, and EC</w:t>
      </w:r>
      <w:r w:rsidRPr="00453ABA">
        <w:rPr>
          <w:rFonts w:ascii="Arial" w:hAnsi="Arial" w:cs="Arial"/>
          <w:szCs w:val="24"/>
          <w:vertAlign w:val="subscript"/>
        </w:rPr>
        <w:t>50</w:t>
      </w:r>
      <w:r w:rsidRPr="00453ABA">
        <w:rPr>
          <w:rFonts w:ascii="Arial" w:hAnsi="Arial" w:cs="Arial"/>
          <w:szCs w:val="24"/>
        </w:rPr>
        <w:t xml:space="preserve"> or fixes the minimum and fits the max, slope, and EC</w:t>
      </w:r>
      <w:r w:rsidRPr="00453ABA">
        <w:rPr>
          <w:rFonts w:ascii="Arial" w:hAnsi="Arial" w:cs="Arial"/>
          <w:szCs w:val="24"/>
          <w:vertAlign w:val="subscript"/>
        </w:rPr>
        <w:t>50</w:t>
      </w:r>
      <w:r w:rsidRPr="00453ABA">
        <w:rPr>
          <w:rFonts w:ascii="Arial" w:hAnsi="Arial" w:cs="Arial"/>
          <w:szCs w:val="24"/>
        </w:rPr>
        <w:t>; a 2PL that fixes the top and bottom to either the 2</w:t>
      </w:r>
      <w:r w:rsidRPr="00453ABA">
        <w:rPr>
          <w:rFonts w:ascii="Arial" w:hAnsi="Arial" w:cs="Arial"/>
          <w:szCs w:val="24"/>
          <w:vertAlign w:val="superscript"/>
        </w:rPr>
        <w:t>nd</w:t>
      </w:r>
      <w:r w:rsidRPr="00453ABA">
        <w:rPr>
          <w:rFonts w:ascii="Arial" w:hAnsi="Arial" w:cs="Arial"/>
          <w:szCs w:val="24"/>
        </w:rPr>
        <w:t xml:space="preserve"> and 98</w:t>
      </w:r>
      <w:r w:rsidRPr="00453ABA">
        <w:rPr>
          <w:rFonts w:ascii="Arial" w:hAnsi="Arial" w:cs="Arial"/>
          <w:szCs w:val="24"/>
          <w:vertAlign w:val="superscript"/>
        </w:rPr>
        <w:t>th</w:t>
      </w:r>
      <w:r w:rsidRPr="00453ABA">
        <w:rPr>
          <w:rFonts w:ascii="Arial" w:hAnsi="Arial" w:cs="Arial"/>
          <w:szCs w:val="24"/>
        </w:rPr>
        <w:t xml:space="preserve"> percentile or min and max of the dataset, respectively, and fits the slope and EC</w:t>
      </w:r>
      <w:r w:rsidRPr="00453ABA">
        <w:rPr>
          <w:rFonts w:ascii="Arial" w:hAnsi="Arial" w:cs="Arial"/>
          <w:szCs w:val="24"/>
          <w:vertAlign w:val="subscript"/>
        </w:rPr>
        <w:t>50</w:t>
      </w:r>
      <w:r w:rsidRPr="00453ABA">
        <w:rPr>
          <w:rFonts w:ascii="Arial" w:hAnsi="Arial" w:cs="Arial"/>
          <w:szCs w:val="24"/>
        </w:rPr>
        <w:t xml:space="preserve">; or a linear model if all other models fail. After curves were fit, the area under the curve (AUC) was calculated using numerical integration and subsequently normalized to the maximum theoretical value, which results in values between 0 (Full active) and 1 (in-active). </w:t>
      </w:r>
    </w:p>
    <w:p w:rsidR="00453ABA" w:rsidRDefault="00453ABA" w:rsidP="00453ABA">
      <w:pPr>
        <w:spacing w:line="480" w:lineRule="auto"/>
        <w:contextualSpacing/>
        <w:jc w:val="both"/>
        <w:rPr>
          <w:rFonts w:ascii="Arial" w:hAnsi="Arial" w:cs="Arial"/>
          <w:b/>
          <w:bCs/>
          <w:szCs w:val="24"/>
        </w:rPr>
      </w:pPr>
    </w:p>
    <w:p w:rsidR="00453ABA" w:rsidRPr="00453ABA" w:rsidRDefault="00453ABA" w:rsidP="00453ABA">
      <w:pPr>
        <w:spacing w:line="480" w:lineRule="auto"/>
        <w:contextualSpacing/>
        <w:jc w:val="both"/>
        <w:rPr>
          <w:rFonts w:ascii="Arial" w:hAnsi="Arial" w:cs="Arial"/>
          <w:b/>
          <w:bCs/>
          <w:szCs w:val="24"/>
        </w:rPr>
      </w:pPr>
      <w:r w:rsidRPr="00453ABA">
        <w:rPr>
          <w:rFonts w:ascii="Arial" w:hAnsi="Arial" w:cs="Arial"/>
          <w:b/>
          <w:bCs/>
          <w:szCs w:val="24"/>
        </w:rPr>
        <w:t xml:space="preserve">Generation of </w:t>
      </w:r>
      <w:r w:rsidR="00566370">
        <w:rPr>
          <w:rFonts w:ascii="Arial" w:hAnsi="Arial" w:cs="Arial"/>
          <w:b/>
          <w:bCs/>
          <w:szCs w:val="24"/>
        </w:rPr>
        <w:t>Dox-I</w:t>
      </w:r>
      <w:r w:rsidRPr="00453ABA">
        <w:rPr>
          <w:rFonts w:ascii="Arial" w:hAnsi="Arial" w:cs="Arial"/>
          <w:b/>
          <w:bCs/>
          <w:szCs w:val="24"/>
        </w:rPr>
        <w:t xml:space="preserve">nducible sgGPX4 </w:t>
      </w:r>
      <w:r w:rsidR="00566370">
        <w:rPr>
          <w:rFonts w:ascii="Arial" w:hAnsi="Arial" w:cs="Arial"/>
          <w:b/>
          <w:bCs/>
          <w:szCs w:val="24"/>
        </w:rPr>
        <w:t>C</w:t>
      </w:r>
      <w:r w:rsidRPr="00453ABA">
        <w:rPr>
          <w:rFonts w:ascii="Arial" w:hAnsi="Arial" w:cs="Arial"/>
          <w:b/>
          <w:bCs/>
          <w:szCs w:val="24"/>
        </w:rPr>
        <w:t xml:space="preserve">ell </w:t>
      </w:r>
      <w:r w:rsidR="00566370">
        <w:rPr>
          <w:rFonts w:ascii="Arial" w:hAnsi="Arial" w:cs="Arial"/>
          <w:b/>
          <w:bCs/>
          <w:szCs w:val="24"/>
        </w:rPr>
        <w:t>L</w:t>
      </w:r>
      <w:r w:rsidRPr="00453ABA">
        <w:rPr>
          <w:rFonts w:ascii="Arial" w:hAnsi="Arial" w:cs="Arial"/>
          <w:b/>
          <w:bCs/>
          <w:szCs w:val="24"/>
        </w:rPr>
        <w:t>ines</w:t>
      </w:r>
    </w:p>
    <w:p w:rsidR="00453ABA" w:rsidRPr="00453ABA" w:rsidRDefault="00453ABA" w:rsidP="00453ABA">
      <w:pPr>
        <w:spacing w:line="480" w:lineRule="auto"/>
        <w:contextualSpacing/>
        <w:jc w:val="both"/>
        <w:rPr>
          <w:rFonts w:ascii="Arial" w:hAnsi="Arial" w:cs="Arial"/>
          <w:szCs w:val="24"/>
        </w:rPr>
      </w:pPr>
      <w:r w:rsidRPr="00453ABA">
        <w:rPr>
          <w:rFonts w:ascii="Arial" w:hAnsi="Arial" w:cs="Arial"/>
          <w:szCs w:val="24"/>
        </w:rPr>
        <w:tab/>
        <w:t xml:space="preserve">MDA-MB-468 iCas9 clones were generated previously by infection with Dox-inducible Lenti-Cas9 (Tet-on pCW-Cas9, </w:t>
      </w:r>
      <w:proofErr w:type="spellStart"/>
      <w:r w:rsidRPr="00453ABA">
        <w:rPr>
          <w:rFonts w:ascii="Arial" w:hAnsi="Arial" w:cs="Arial"/>
          <w:szCs w:val="24"/>
        </w:rPr>
        <w:t>Addgene</w:t>
      </w:r>
      <w:proofErr w:type="spellEnd"/>
      <w:r w:rsidRPr="00453ABA">
        <w:rPr>
          <w:rFonts w:ascii="Arial" w:hAnsi="Arial" w:cs="Arial"/>
          <w:szCs w:val="24"/>
        </w:rPr>
        <w:t xml:space="preserve"> plasmid #50661) </w:t>
      </w:r>
      <w:r w:rsidRPr="00453ABA">
        <w:rPr>
          <w:rFonts w:ascii="Arial" w:hAnsi="Arial" w:cs="Arial"/>
          <w:szCs w:val="24"/>
        </w:rPr>
        <w:fldChar w:fldCharType="begin" w:fldLock="1"/>
      </w:r>
      <w:r w:rsidRPr="00453ABA">
        <w:rPr>
          <w:rFonts w:ascii="Arial" w:hAnsi="Arial" w:cs="Arial"/>
          <w:szCs w:val="24"/>
        </w:rPr>
        <w:instrText>ADDIN CSL_CITATION {"citationItems":[{"id":"ITEM-1","itemData":{"DOI":"10.1158/1541-7786.MCR-19-0311","ISSN":"15573125","abstract":"© 2020 American Association for Cancer Research. Triple-negative breast cancer (TNBC) has the worst prognosis of all breast cancers, and lacks effective targeted treatment strategies. Previously, we identified 33 transcription factors highly expressed in TNBC. Here, we focused on six sex determining region Y-related HMG-box (SOX) transcription factors (SOX4, 6, 8, 9, 10, and 11) highly expressed in TNBCs. Our siRNA screening assay demonstrated that SOX9 knockdown suppressed TNBC cell growth and invasion in vitro. Thus, we hypothesized that SOX9 is an important regulator of breast cancer survival and metastasis, and demonstrated that knockout of SOX9 reduced breast tumor growth and lung metastasis in vivo. In addition, we found that loss of SOX9 induced profound apoptosis, with only a slight impairment of G1 to S progression within the cell cycle, and that SOX9 directly regulates genes controlling apoptosis. On the basis of published CHIP-seq data, we demonstrated that SOX9 binds to the promoter of apoptosis-regulating genes (tnfrsf1b, fadd, tnfrsf10a, tnfrsf10b, and ripk1), and represses their expression. SOX9 knockdown upregulates these genes, consistent with the induction of apoptosis. Analysis of available CHIP-seq data showed that SOX9 binds to the promoters of several epithelial-mesenchymal transition (EMT)- and metastasis-regulating genes. Using CHIP assays, we demonstrated that SOX9 directly binds the promoters of genes involved in EMT (vim, cldn1, ctnnb1, and zeb1) and that SOX9 knockdown suppresses the expression of these genes. Implications: Our studies identified the SOX9 protein as a “master regulator” of breast cancer cell survival and metastasis, and provide preclinical rationale to develop SOX9 inhibitors for the treatment of women with metastatic triple-negative breast cancer.","author":[{"dropping-particle":"","family":"Ma","given":"Y.","non-dropping-particle":"","parse-names":false,"suffix":""},{"dropping-particle":"","family":"Shepherd","given":"J.","non-dropping-particle":"","parse-names":false,"suffix":""},{"dropping-particle":"","family":"Zhao","given":"D.","non-dropping-particle":"","parse-names":false,"suffix":""},{"dropping-particle":"","family":"Bollu","given":"L.R.","non-dropping-particle":"","parse-names":false,"suffix":""},{"dropping-particle":"","family":"Tahaney","given":"W.M.","non-dropping-particle":"","parse-names":false,"suffix":""},{"dropping-particle":"","family":"Hill","given":"J.","non-dropping-particle":"","parse-names":false,"suffix":""},{"dropping-particle":"","family":"Zhang","given":"Y.","non-dropping-particle":"","parse-names":false,"suffix":""},{"dropping-particle":"","family":"Mazumdar","given":"A.","non-dropping-particle":"","parse-names":false,"suffix":""},{"dropping-particle":"","family":"Brown","given":"P.H.","non-dropping-particle":"","parse-names":false,"suffix":""}],"container-title":"Molecular Cancer Research","id":"ITEM-1","issue":"12","issued":{"date-parts":[["2020"]]},"title":"SOX9 is essential for triple-negative breast cancer cell survival and metastasis","type":"article-journal","volume":"18"},"uris":["http://www.mendeley.com/documents/?uuid=f0126117-870b-3392-9078-a047d98964c5"]}],"mendeley":{"formattedCitation":"(22)","plainTextFormattedCitation":"(22)","previouslyFormattedCitation":"(22)"},"properties":{"noteIndex":0},"schema":"https://github.com/citation-style-language/schema/raw/master/csl-citation.json"}</w:instrText>
      </w:r>
      <w:r w:rsidRPr="00453ABA">
        <w:rPr>
          <w:rFonts w:ascii="Arial" w:hAnsi="Arial" w:cs="Arial"/>
          <w:szCs w:val="24"/>
        </w:rPr>
        <w:fldChar w:fldCharType="separate"/>
      </w:r>
      <w:r w:rsidRPr="00453ABA">
        <w:rPr>
          <w:rFonts w:ascii="Arial" w:hAnsi="Arial" w:cs="Arial"/>
          <w:noProof/>
          <w:szCs w:val="24"/>
        </w:rPr>
        <w:t>(22)</w:t>
      </w:r>
      <w:r w:rsidRPr="00453ABA">
        <w:rPr>
          <w:rFonts w:ascii="Arial" w:hAnsi="Arial" w:cs="Arial"/>
          <w:szCs w:val="24"/>
        </w:rPr>
        <w:fldChar w:fldCharType="end"/>
      </w:r>
      <w:r w:rsidRPr="00453ABA">
        <w:rPr>
          <w:rFonts w:ascii="Arial" w:hAnsi="Arial" w:cs="Arial"/>
          <w:szCs w:val="24"/>
        </w:rPr>
        <w:t xml:space="preserve">. sgGPX4 and control constructs in the </w:t>
      </w:r>
      <w:proofErr w:type="spellStart"/>
      <w:r w:rsidRPr="00453ABA">
        <w:rPr>
          <w:rFonts w:ascii="Arial" w:hAnsi="Arial" w:cs="Arial"/>
          <w:szCs w:val="24"/>
        </w:rPr>
        <w:t>pCRISPR</w:t>
      </w:r>
      <w:proofErr w:type="spellEnd"/>
      <w:r w:rsidRPr="00453ABA">
        <w:rPr>
          <w:rFonts w:ascii="Arial" w:hAnsi="Arial" w:cs="Arial"/>
          <w:szCs w:val="24"/>
        </w:rPr>
        <w:t xml:space="preserve"> backbone were purchased from </w:t>
      </w:r>
      <w:proofErr w:type="spellStart"/>
      <w:r w:rsidRPr="00453ABA">
        <w:rPr>
          <w:rFonts w:ascii="Arial" w:hAnsi="Arial" w:cs="Arial"/>
          <w:szCs w:val="24"/>
        </w:rPr>
        <w:t>GeneCopoeia</w:t>
      </w:r>
      <w:proofErr w:type="spellEnd"/>
      <w:r>
        <w:rPr>
          <w:rFonts w:ascii="Arial" w:hAnsi="Arial" w:cs="Arial"/>
          <w:szCs w:val="24"/>
        </w:rPr>
        <w:t xml:space="preserve"> (HCC299543-SG01 and </w:t>
      </w:r>
      <w:r>
        <w:rPr>
          <w:rFonts w:ascii="Arial" w:hAnsi="Arial" w:cs="Arial"/>
          <w:szCs w:val="24"/>
        </w:rPr>
        <w:lastRenderedPageBreak/>
        <w:t>CCPCTR01, respectively)</w:t>
      </w:r>
      <w:r w:rsidRPr="00453ABA">
        <w:rPr>
          <w:rFonts w:ascii="Arial" w:hAnsi="Arial" w:cs="Arial"/>
          <w:szCs w:val="24"/>
        </w:rPr>
        <w:t xml:space="preserve">. Cells were seeded in 60mm plates, then transfected with 2ug plasmid DNA and 6uL </w:t>
      </w:r>
      <w:proofErr w:type="spellStart"/>
      <w:r w:rsidRPr="00453ABA">
        <w:rPr>
          <w:rFonts w:ascii="Arial" w:hAnsi="Arial" w:cs="Arial"/>
          <w:szCs w:val="24"/>
        </w:rPr>
        <w:t>XtremeGENE</w:t>
      </w:r>
      <w:proofErr w:type="spellEnd"/>
      <w:r w:rsidRPr="00453ABA">
        <w:rPr>
          <w:rFonts w:ascii="Arial" w:hAnsi="Arial" w:cs="Arial"/>
          <w:szCs w:val="24"/>
        </w:rPr>
        <w:t xml:space="preserve"> 9 (Roche) in Opti-MEM (Invitrogen). Cells were selected with hygromycin for 7 days</w:t>
      </w:r>
      <w:r>
        <w:rPr>
          <w:rFonts w:ascii="Arial" w:hAnsi="Arial" w:cs="Arial"/>
          <w:szCs w:val="24"/>
        </w:rPr>
        <w:t>, after which all non-transfected cells had died</w:t>
      </w:r>
      <w:r w:rsidRPr="00453ABA">
        <w:rPr>
          <w:rFonts w:ascii="Arial" w:hAnsi="Arial" w:cs="Arial"/>
          <w:szCs w:val="24"/>
        </w:rPr>
        <w:t xml:space="preserve">. </w:t>
      </w:r>
      <w:r>
        <w:rPr>
          <w:rFonts w:ascii="Arial" w:hAnsi="Arial" w:cs="Arial"/>
          <w:szCs w:val="24"/>
        </w:rPr>
        <w:t>Resulting cells were screened for GPX4 knockout using western blot, and Cas9 expression</w:t>
      </w:r>
      <w:r w:rsidRPr="00453ABA">
        <w:rPr>
          <w:rFonts w:ascii="Arial" w:hAnsi="Arial" w:cs="Arial"/>
          <w:szCs w:val="24"/>
        </w:rPr>
        <w:t xml:space="preserve"> was induced with doxycycline</w:t>
      </w:r>
      <w:r>
        <w:rPr>
          <w:rFonts w:ascii="Arial" w:hAnsi="Arial" w:cs="Arial"/>
          <w:szCs w:val="24"/>
        </w:rPr>
        <w:t>.</w:t>
      </w:r>
    </w:p>
    <w:p w:rsidR="00453ABA" w:rsidRPr="00453ABA" w:rsidRDefault="00453ABA" w:rsidP="00453ABA">
      <w:pPr>
        <w:spacing w:line="480" w:lineRule="auto"/>
        <w:jc w:val="both"/>
        <w:rPr>
          <w:rFonts w:ascii="Arial" w:hAnsi="Arial" w:cs="Arial"/>
          <w:szCs w:val="24"/>
        </w:rPr>
      </w:pPr>
    </w:p>
    <w:p w:rsidR="00453ABA" w:rsidRPr="00453ABA" w:rsidRDefault="00453ABA" w:rsidP="00453ABA">
      <w:pPr>
        <w:spacing w:line="480" w:lineRule="auto"/>
        <w:jc w:val="both"/>
        <w:rPr>
          <w:rFonts w:ascii="Arial" w:hAnsi="Arial" w:cs="Arial"/>
          <w:b/>
          <w:bCs/>
          <w:szCs w:val="24"/>
        </w:rPr>
      </w:pPr>
      <w:r w:rsidRPr="00453ABA">
        <w:rPr>
          <w:rFonts w:ascii="Arial" w:hAnsi="Arial" w:cs="Arial"/>
          <w:b/>
          <w:bCs/>
          <w:szCs w:val="24"/>
        </w:rPr>
        <w:t xml:space="preserve">Generation of </w:t>
      </w:r>
      <w:r w:rsidR="00566370">
        <w:rPr>
          <w:rFonts w:ascii="Arial" w:hAnsi="Arial" w:cs="Arial"/>
          <w:b/>
          <w:bCs/>
          <w:szCs w:val="24"/>
        </w:rPr>
        <w:t xml:space="preserve">Dox-\Inducible </w:t>
      </w:r>
      <w:r w:rsidR="00566370">
        <w:rPr>
          <w:rFonts w:ascii="Arial" w:hAnsi="Arial" w:cs="Arial"/>
          <w:b/>
          <w:bCs/>
          <w:i/>
          <w:szCs w:val="24"/>
        </w:rPr>
        <w:t>TP53</w:t>
      </w:r>
      <w:r w:rsidR="00566370">
        <w:rPr>
          <w:rFonts w:ascii="Arial" w:hAnsi="Arial" w:cs="Arial"/>
          <w:b/>
          <w:bCs/>
          <w:szCs w:val="24"/>
        </w:rPr>
        <w:t>-Mutant</w:t>
      </w:r>
      <w:r w:rsidRPr="00453ABA">
        <w:rPr>
          <w:rFonts w:ascii="Arial" w:hAnsi="Arial" w:cs="Arial"/>
          <w:b/>
          <w:bCs/>
          <w:szCs w:val="24"/>
        </w:rPr>
        <w:t xml:space="preserve"> Cell Lines</w:t>
      </w:r>
    </w:p>
    <w:p w:rsidR="00453ABA" w:rsidRPr="00453ABA" w:rsidRDefault="00453ABA" w:rsidP="00453ABA">
      <w:pPr>
        <w:spacing w:line="480" w:lineRule="auto"/>
        <w:ind w:firstLine="720"/>
        <w:contextualSpacing/>
        <w:jc w:val="both"/>
        <w:rPr>
          <w:rFonts w:ascii="Arial" w:hAnsi="Arial" w:cs="Arial"/>
          <w:szCs w:val="24"/>
        </w:rPr>
      </w:pPr>
      <w:r w:rsidRPr="00453ABA">
        <w:rPr>
          <w:rFonts w:ascii="Arial" w:hAnsi="Arial" w:cs="Arial"/>
          <w:i/>
          <w:szCs w:val="24"/>
        </w:rPr>
        <w:t>TP53</w:t>
      </w:r>
      <w:r w:rsidRPr="00453ABA">
        <w:rPr>
          <w:rFonts w:ascii="Arial" w:hAnsi="Arial" w:cs="Arial"/>
          <w:szCs w:val="24"/>
        </w:rPr>
        <w:t xml:space="preserve"> cDNA was inserted into the pCR8/GW/TOPO vector (Invitrogen), then point mutagenized using the </w:t>
      </w:r>
      <w:proofErr w:type="spellStart"/>
      <w:r w:rsidRPr="00453ABA">
        <w:rPr>
          <w:rFonts w:ascii="Arial" w:hAnsi="Arial" w:cs="Arial"/>
          <w:szCs w:val="24"/>
        </w:rPr>
        <w:t>QuikChange</w:t>
      </w:r>
      <w:proofErr w:type="spellEnd"/>
      <w:r w:rsidRPr="00453ABA">
        <w:rPr>
          <w:rFonts w:ascii="Arial" w:hAnsi="Arial" w:cs="Arial"/>
          <w:szCs w:val="24"/>
        </w:rPr>
        <w:t xml:space="preserve"> Lightning II kit (Agilent)</w:t>
      </w:r>
      <w:r>
        <w:rPr>
          <w:rFonts w:ascii="Arial" w:hAnsi="Arial" w:cs="Arial"/>
          <w:szCs w:val="24"/>
        </w:rPr>
        <w:t xml:space="preserve"> following the manufacturer’s protocol</w:t>
      </w:r>
      <w:r w:rsidRPr="00453ABA">
        <w:rPr>
          <w:rFonts w:ascii="Arial" w:hAnsi="Arial" w:cs="Arial"/>
          <w:szCs w:val="24"/>
        </w:rPr>
        <w:t xml:space="preserve">. Primers were designed using </w:t>
      </w:r>
      <w:proofErr w:type="spellStart"/>
      <w:r w:rsidRPr="00453ABA">
        <w:rPr>
          <w:rFonts w:ascii="Arial" w:hAnsi="Arial" w:cs="Arial"/>
          <w:szCs w:val="24"/>
        </w:rPr>
        <w:t>QuikChange</w:t>
      </w:r>
      <w:proofErr w:type="spellEnd"/>
      <w:r w:rsidRPr="00453ABA">
        <w:rPr>
          <w:rFonts w:ascii="Arial" w:hAnsi="Arial" w:cs="Arial"/>
          <w:szCs w:val="24"/>
        </w:rPr>
        <w:t xml:space="preserve"> Primer Design Software (Agilent)</w:t>
      </w:r>
      <w:r>
        <w:rPr>
          <w:rFonts w:ascii="Arial" w:hAnsi="Arial" w:cs="Arial"/>
          <w:szCs w:val="24"/>
        </w:rPr>
        <w:t>, and underlined amino acids represent the amino acid changed from wild type.</w:t>
      </w:r>
      <w:r w:rsidRPr="00453ABA">
        <w:rPr>
          <w:rFonts w:ascii="Arial" w:hAnsi="Arial" w:cs="Arial"/>
          <w:szCs w:val="24"/>
        </w:rPr>
        <w:t xml:space="preserve"> </w:t>
      </w:r>
    </w:p>
    <w:p w:rsidR="00453ABA" w:rsidRPr="00453ABA" w:rsidRDefault="00453ABA" w:rsidP="00453ABA">
      <w:pPr>
        <w:spacing w:line="480" w:lineRule="auto"/>
        <w:ind w:firstLine="720"/>
        <w:contextualSpacing/>
        <w:jc w:val="both"/>
        <w:rPr>
          <w:rFonts w:ascii="Arial" w:hAnsi="Arial" w:cs="Arial"/>
          <w:szCs w:val="24"/>
        </w:rPr>
      </w:pPr>
      <w:r w:rsidRPr="00453ABA">
        <w:rPr>
          <w:rFonts w:ascii="Arial" w:hAnsi="Arial" w:cs="Arial"/>
          <w:szCs w:val="24"/>
        </w:rPr>
        <w:t>R248Q-F</w:t>
      </w:r>
      <w:r w:rsidRPr="00453ABA">
        <w:rPr>
          <w:rFonts w:ascii="Arial" w:hAnsi="Arial" w:cs="Arial"/>
          <w:szCs w:val="24"/>
        </w:rPr>
        <w:tab/>
        <w:t>5'-GAGGATGGGCCTC</w:t>
      </w:r>
      <w:r w:rsidRPr="00453ABA">
        <w:rPr>
          <w:rFonts w:ascii="Arial" w:hAnsi="Arial" w:cs="Arial"/>
          <w:szCs w:val="24"/>
          <w:u w:val="single"/>
        </w:rPr>
        <w:t>T</w:t>
      </w:r>
      <w:r w:rsidRPr="00453ABA">
        <w:rPr>
          <w:rFonts w:ascii="Arial" w:hAnsi="Arial" w:cs="Arial"/>
          <w:szCs w:val="24"/>
        </w:rPr>
        <w:t>GGTTCATGCCGCC-3'</w:t>
      </w:r>
    </w:p>
    <w:p w:rsidR="00453ABA" w:rsidRPr="00453ABA" w:rsidRDefault="00453ABA" w:rsidP="00453ABA">
      <w:pPr>
        <w:spacing w:line="480" w:lineRule="auto"/>
        <w:ind w:firstLine="720"/>
        <w:contextualSpacing/>
        <w:jc w:val="both"/>
        <w:rPr>
          <w:rFonts w:ascii="Arial" w:hAnsi="Arial" w:cs="Arial"/>
          <w:szCs w:val="24"/>
        </w:rPr>
      </w:pPr>
      <w:r w:rsidRPr="00453ABA">
        <w:rPr>
          <w:rFonts w:ascii="Arial" w:hAnsi="Arial" w:cs="Arial"/>
          <w:szCs w:val="24"/>
        </w:rPr>
        <w:t>R248Q-R</w:t>
      </w:r>
      <w:r w:rsidRPr="00453ABA">
        <w:rPr>
          <w:rFonts w:ascii="Arial" w:hAnsi="Arial" w:cs="Arial"/>
          <w:szCs w:val="24"/>
        </w:rPr>
        <w:tab/>
        <w:t>5'-GGCGGCATGAACC</w:t>
      </w:r>
      <w:r w:rsidRPr="00453ABA">
        <w:rPr>
          <w:rFonts w:ascii="Arial" w:hAnsi="Arial" w:cs="Arial"/>
          <w:szCs w:val="24"/>
          <w:u w:val="single"/>
        </w:rPr>
        <w:t>A</w:t>
      </w:r>
      <w:r w:rsidRPr="00453ABA">
        <w:rPr>
          <w:rFonts w:ascii="Arial" w:hAnsi="Arial" w:cs="Arial"/>
          <w:szCs w:val="24"/>
        </w:rPr>
        <w:t>GAGGCCCATCCTC-3'</w:t>
      </w:r>
    </w:p>
    <w:p w:rsidR="00453ABA" w:rsidRPr="00453ABA" w:rsidRDefault="00453ABA" w:rsidP="00453ABA">
      <w:pPr>
        <w:spacing w:line="480" w:lineRule="auto"/>
        <w:ind w:left="720"/>
        <w:contextualSpacing/>
        <w:jc w:val="both"/>
        <w:rPr>
          <w:rFonts w:ascii="Arial" w:hAnsi="Arial" w:cs="Arial"/>
          <w:szCs w:val="24"/>
        </w:rPr>
      </w:pPr>
      <w:r w:rsidRPr="00453ABA">
        <w:rPr>
          <w:rFonts w:ascii="Arial" w:hAnsi="Arial" w:cs="Arial"/>
          <w:szCs w:val="24"/>
        </w:rPr>
        <w:t>R273H-F</w:t>
      </w:r>
      <w:r w:rsidRPr="00453ABA">
        <w:rPr>
          <w:rFonts w:ascii="Arial" w:hAnsi="Arial" w:cs="Arial"/>
          <w:szCs w:val="24"/>
        </w:rPr>
        <w:tab/>
        <w:t>5'-CAGGACAGGCACAAACA</w:t>
      </w:r>
      <w:r w:rsidRPr="00453ABA">
        <w:rPr>
          <w:rFonts w:ascii="Arial" w:hAnsi="Arial" w:cs="Arial"/>
          <w:szCs w:val="24"/>
          <w:u w:val="single"/>
        </w:rPr>
        <w:t>T</w:t>
      </w:r>
      <w:r w:rsidRPr="00453ABA">
        <w:rPr>
          <w:rFonts w:ascii="Arial" w:hAnsi="Arial" w:cs="Arial"/>
          <w:szCs w:val="24"/>
        </w:rPr>
        <w:t>GCACCTCAAAGCTGTTC-3'</w:t>
      </w:r>
    </w:p>
    <w:p w:rsidR="00453ABA" w:rsidRPr="00453ABA" w:rsidRDefault="00453ABA" w:rsidP="00453ABA">
      <w:pPr>
        <w:spacing w:line="480" w:lineRule="auto"/>
        <w:ind w:firstLine="720"/>
        <w:contextualSpacing/>
        <w:jc w:val="both"/>
        <w:rPr>
          <w:rFonts w:ascii="Arial" w:hAnsi="Arial" w:cs="Arial"/>
          <w:szCs w:val="24"/>
        </w:rPr>
      </w:pPr>
      <w:r w:rsidRPr="00453ABA">
        <w:rPr>
          <w:rFonts w:ascii="Arial" w:hAnsi="Arial" w:cs="Arial"/>
          <w:szCs w:val="24"/>
        </w:rPr>
        <w:t>R273H-R</w:t>
      </w:r>
      <w:r w:rsidRPr="00453ABA">
        <w:rPr>
          <w:rFonts w:ascii="Arial" w:hAnsi="Arial" w:cs="Arial"/>
          <w:szCs w:val="24"/>
        </w:rPr>
        <w:tab/>
        <w:t>5'-GAACAGCTTTGAGGTGC</w:t>
      </w:r>
      <w:r w:rsidRPr="00453ABA">
        <w:rPr>
          <w:rFonts w:ascii="Arial" w:hAnsi="Arial" w:cs="Arial"/>
          <w:szCs w:val="24"/>
          <w:u w:val="single"/>
        </w:rPr>
        <w:t>A</w:t>
      </w:r>
      <w:r w:rsidRPr="00453ABA">
        <w:rPr>
          <w:rFonts w:ascii="Arial" w:hAnsi="Arial" w:cs="Arial"/>
          <w:szCs w:val="24"/>
        </w:rPr>
        <w:t>TGTTTGTGCCTGTCCTG-3'</w:t>
      </w:r>
    </w:p>
    <w:p w:rsidR="00453ABA" w:rsidRPr="00453ABA" w:rsidRDefault="00453ABA" w:rsidP="00453ABA">
      <w:pPr>
        <w:spacing w:line="480" w:lineRule="auto"/>
        <w:contextualSpacing/>
        <w:jc w:val="both"/>
        <w:rPr>
          <w:rFonts w:ascii="Arial" w:hAnsi="Arial" w:cs="Arial"/>
          <w:szCs w:val="24"/>
        </w:rPr>
      </w:pPr>
      <w:r w:rsidRPr="00453ABA">
        <w:rPr>
          <w:rFonts w:ascii="Arial" w:hAnsi="Arial" w:cs="Arial"/>
          <w:szCs w:val="24"/>
        </w:rPr>
        <w:t xml:space="preserve">Resulting constructs were Gateway cloned into the pInducer20 vector, using LR </w:t>
      </w:r>
      <w:proofErr w:type="spellStart"/>
      <w:r w:rsidRPr="00453ABA">
        <w:rPr>
          <w:rFonts w:ascii="Arial" w:hAnsi="Arial" w:cs="Arial"/>
          <w:szCs w:val="24"/>
        </w:rPr>
        <w:t>Cloanse</w:t>
      </w:r>
      <w:proofErr w:type="spellEnd"/>
      <w:r w:rsidRPr="00453ABA">
        <w:rPr>
          <w:rFonts w:ascii="Arial" w:hAnsi="Arial" w:cs="Arial"/>
          <w:szCs w:val="24"/>
        </w:rPr>
        <w:t xml:space="preserve"> II (Invitrogen). Insertion of </w:t>
      </w:r>
      <w:r>
        <w:rPr>
          <w:rFonts w:ascii="Arial" w:hAnsi="Arial" w:cs="Arial"/>
          <w:szCs w:val="24"/>
        </w:rPr>
        <w:t xml:space="preserve">mutant </w:t>
      </w:r>
      <w:r w:rsidRPr="00453ABA">
        <w:rPr>
          <w:rFonts w:ascii="Arial" w:hAnsi="Arial" w:cs="Arial"/>
          <w:i/>
          <w:szCs w:val="24"/>
        </w:rPr>
        <w:t>TP53</w:t>
      </w:r>
      <w:r w:rsidRPr="00453ABA">
        <w:rPr>
          <w:rFonts w:ascii="Arial" w:hAnsi="Arial" w:cs="Arial"/>
          <w:szCs w:val="24"/>
        </w:rPr>
        <w:t xml:space="preserve"> into pInducer20 was confirmed with restriction digest mapping and DNA sequencing. Lentiviral vectors were prepared with co-transfection of viral helper plasmids </w:t>
      </w:r>
      <w:proofErr w:type="spellStart"/>
      <w:r w:rsidRPr="00453ABA">
        <w:rPr>
          <w:rFonts w:ascii="Arial" w:hAnsi="Arial" w:cs="Arial"/>
          <w:szCs w:val="24"/>
        </w:rPr>
        <w:t>pCMV</w:t>
      </w:r>
      <w:proofErr w:type="spellEnd"/>
      <w:r w:rsidRPr="00453ABA">
        <w:rPr>
          <w:rFonts w:ascii="Arial" w:hAnsi="Arial" w:cs="Arial"/>
          <w:szCs w:val="24"/>
        </w:rPr>
        <w:t xml:space="preserve">-VSV-G and pCMV-dr8.2 </w:t>
      </w:r>
      <w:proofErr w:type="spellStart"/>
      <w:r w:rsidRPr="00453ABA">
        <w:rPr>
          <w:rFonts w:ascii="Arial" w:hAnsi="Arial" w:cs="Arial"/>
          <w:szCs w:val="24"/>
        </w:rPr>
        <w:t>dvpr</w:t>
      </w:r>
      <w:proofErr w:type="spellEnd"/>
      <w:r w:rsidRPr="00453ABA">
        <w:rPr>
          <w:rFonts w:ascii="Arial" w:hAnsi="Arial" w:cs="Arial"/>
          <w:szCs w:val="24"/>
        </w:rPr>
        <w:t xml:space="preserve"> </w:t>
      </w:r>
      <w:r>
        <w:rPr>
          <w:rFonts w:ascii="Arial" w:hAnsi="Arial" w:cs="Arial"/>
          <w:szCs w:val="24"/>
        </w:rPr>
        <w:t>(</w:t>
      </w:r>
      <w:proofErr w:type="spellStart"/>
      <w:r>
        <w:rPr>
          <w:rFonts w:ascii="Arial" w:hAnsi="Arial" w:cs="Arial"/>
          <w:szCs w:val="24"/>
        </w:rPr>
        <w:t>Addgene</w:t>
      </w:r>
      <w:proofErr w:type="spellEnd"/>
      <w:r>
        <w:rPr>
          <w:rFonts w:ascii="Arial" w:hAnsi="Arial" w:cs="Arial"/>
          <w:szCs w:val="24"/>
        </w:rPr>
        <w:t xml:space="preserve"> plasmids #8454 and #8455, respectively) </w:t>
      </w:r>
      <w:r w:rsidRPr="00453ABA">
        <w:rPr>
          <w:rFonts w:ascii="Arial" w:hAnsi="Arial" w:cs="Arial"/>
          <w:szCs w:val="24"/>
        </w:rPr>
        <w:t>and transfected into HEK293T cells using X-</w:t>
      </w:r>
      <w:proofErr w:type="spellStart"/>
      <w:r w:rsidRPr="00453ABA">
        <w:rPr>
          <w:rFonts w:ascii="Arial" w:hAnsi="Arial" w:cs="Arial"/>
          <w:szCs w:val="24"/>
        </w:rPr>
        <w:t>tremeGENE</w:t>
      </w:r>
      <w:proofErr w:type="spellEnd"/>
      <w:r w:rsidRPr="00453ABA">
        <w:rPr>
          <w:rFonts w:ascii="Arial" w:hAnsi="Arial" w:cs="Arial"/>
          <w:szCs w:val="24"/>
        </w:rPr>
        <w:t xml:space="preserve"> (Roche). MDA-MB-436 cells were stably infected with viral media supplemented with polybrene for 48 hours, then selected with G418. </w:t>
      </w:r>
    </w:p>
    <w:p w:rsidR="00453ABA" w:rsidRPr="006630A5" w:rsidRDefault="00453ABA" w:rsidP="006630A5">
      <w:pPr>
        <w:spacing w:line="480" w:lineRule="auto"/>
        <w:jc w:val="both"/>
        <w:rPr>
          <w:rFonts w:cstheme="minorHAnsi"/>
          <w:sz w:val="24"/>
          <w:szCs w:val="24"/>
        </w:rPr>
      </w:pPr>
    </w:p>
    <w:sectPr w:rsidR="00453ABA" w:rsidRPr="006630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9"/>
  </w:num>
  <w:num w:numId="2">
    <w:abstractNumId w:val="12"/>
  </w:num>
  <w:num w:numId="3">
    <w:abstractNumId w:val="10"/>
  </w:num>
  <w:num w:numId="4">
    <w:abstractNumId w:val="21"/>
  </w:num>
  <w:num w:numId="5">
    <w:abstractNumId w:val="13"/>
  </w:num>
  <w:num w:numId="6">
    <w:abstractNumId w:val="16"/>
  </w:num>
  <w:num w:numId="7">
    <w:abstractNumId w:val="18"/>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0"/>
  </w:num>
  <w:num w:numId="21">
    <w:abstractNumId w:val="17"/>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4F1"/>
    <w:rsid w:val="00060B3A"/>
    <w:rsid w:val="001312BB"/>
    <w:rsid w:val="001565C7"/>
    <w:rsid w:val="00453ABA"/>
    <w:rsid w:val="00566370"/>
    <w:rsid w:val="00645252"/>
    <w:rsid w:val="006630A5"/>
    <w:rsid w:val="006D3D74"/>
    <w:rsid w:val="0083569A"/>
    <w:rsid w:val="00A9204E"/>
    <w:rsid w:val="00C74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15C11"/>
  <w15:chartTrackingRefBased/>
  <w15:docId w15:val="{EB4AC323-5D8A-452F-BAAC-A768F17D9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NormalWeb">
    <w:name w:val="Normal (Web)"/>
    <w:basedOn w:val="Normal"/>
    <w:uiPriority w:val="99"/>
    <w:unhideWhenUsed/>
    <w:rsid w:val="006630A5"/>
    <w:pPr>
      <w:spacing w:before="100" w:beforeAutospacing="1" w:after="100" w:afterAutospacing="1"/>
    </w:pPr>
    <w:rPr>
      <w:rFonts w:ascii="Times New Roman" w:eastAsiaTheme="minorEastAsia" w:hAnsi="Times New Roman" w:cs="Times New Roman"/>
      <w:sz w:val="24"/>
      <w:szCs w:val="24"/>
    </w:rPr>
  </w:style>
  <w:style w:type="character" w:styleId="UnresolvedMention">
    <w:name w:val="Unresolved Mention"/>
    <w:basedOn w:val="DefaultParagraphFont"/>
    <w:uiPriority w:val="99"/>
    <w:semiHidden/>
    <w:unhideWhenUsed/>
    <w:rsid w:val="00453A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mtahaney\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7FBDB1CC-CEFB-4E46-8174-1F0AA0D30B24}">
  <ds:schemaRefs>
    <ds:schemaRef ds:uri="http://schemas.microsoft.com/office/infopath/2007/PartnerControls"/>
    <ds:schemaRef ds:uri="http://purl.org/dc/elements/1.1/"/>
    <ds:schemaRef ds:uri="http://purl.org/dc/dcmitype/"/>
    <ds:schemaRef ds:uri="http://schemas.microsoft.com/office/2006/documentManagement/types"/>
    <ds:schemaRef ds:uri="http://www.w3.org/XML/1998/namespace"/>
    <ds:schemaRef ds:uri="4873beb7-5857-4685-be1f-d57550cc96cc"/>
    <ds:schemaRef ds:uri="http://schemas.microsoft.com/office/2006/metadata/properties"/>
    <ds:schemaRef ds:uri="http://schemas.openxmlformats.org/package/2006/metadata/core-properties"/>
    <ds:schemaRef ds:uri="http://purl.org/dc/terms/"/>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E00FF6-8270-473D-AA56-5C36D6657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14</TotalTime>
  <Pages>2</Pages>
  <Words>1076</Words>
  <Characters>6135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Tahaney,William Miska</dc:creator>
  <cp:keywords/>
  <dc:description/>
  <cp:lastModifiedBy>Tahaney,William Miska</cp:lastModifiedBy>
  <cp:revision>3</cp:revision>
  <dcterms:created xsi:type="dcterms:W3CDTF">2021-10-07T18:02:00Z</dcterms:created>
  <dcterms:modified xsi:type="dcterms:W3CDTF">2021-10-26T18:52:00Z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y fmtid="{D5CDD505-2E9C-101B-9397-08002B2CF9AE}" pid="8" name="Mendeley Recent Style Id 0_1">
    <vt:lpwstr>http://www.zotero.org/styles/american-association-for-cancer-research</vt:lpwstr>
  </property>
  <property fmtid="{D5CDD505-2E9C-101B-9397-08002B2CF9AE}" pid="9" name="Mendeley Recent Style Name 0_1">
    <vt:lpwstr>American Association for Cancer Research</vt:lpwstr>
  </property>
  <property fmtid="{D5CDD505-2E9C-101B-9397-08002B2CF9AE}" pid="10" name="Mendeley Recent Style Id 1_1">
    <vt:lpwstr>http://www.zotero.org/styles/american-medical-association</vt:lpwstr>
  </property>
  <property fmtid="{D5CDD505-2E9C-101B-9397-08002B2CF9AE}" pid="11" name="Mendeley Recent Style Name 1_1">
    <vt:lpwstr>American Medical Association 11th edition</vt:lpwstr>
  </property>
  <property fmtid="{D5CDD505-2E9C-101B-9397-08002B2CF9AE}" pid="12" name="Mendeley Recent Style Id 2_1">
    <vt:lpwstr>http://www.zotero.org/styles/american-political-science-association</vt:lpwstr>
  </property>
  <property fmtid="{D5CDD505-2E9C-101B-9397-08002B2CF9AE}" pid="13" name="Mendeley Recent Style Name 2_1">
    <vt:lpwstr>American Political Science Association</vt:lpwstr>
  </property>
  <property fmtid="{D5CDD505-2E9C-101B-9397-08002B2CF9AE}" pid="14" name="Mendeley Recent Style Id 3_1">
    <vt:lpwstr>http://www.zotero.org/styles/american-sociological-association</vt:lpwstr>
  </property>
  <property fmtid="{D5CDD505-2E9C-101B-9397-08002B2CF9AE}" pid="15" name="Mendeley Recent Style Name 3_1">
    <vt:lpwstr>American Sociological Association 6th edition</vt:lpwstr>
  </property>
  <property fmtid="{D5CDD505-2E9C-101B-9397-08002B2CF9AE}" pid="16" name="Mendeley Recent Style Id 4_1">
    <vt:lpwstr>http://www.zotero.org/styles/chicago-author-date</vt:lpwstr>
  </property>
  <property fmtid="{D5CDD505-2E9C-101B-9397-08002B2CF9AE}" pid="17" name="Mendeley Recent Style Name 4_1">
    <vt:lpwstr>Chicago Manual of Style 17th edition (author-date)</vt:lpwstr>
  </property>
  <property fmtid="{D5CDD505-2E9C-101B-9397-08002B2CF9AE}" pid="18" name="Mendeley Recent Style Id 5_1">
    <vt:lpwstr>http://www.zotero.org/styles/harvard-cite-them-right</vt:lpwstr>
  </property>
  <property fmtid="{D5CDD505-2E9C-101B-9397-08002B2CF9AE}" pid="19" name="Mendeley Recent Style Name 5_1">
    <vt:lpwstr>Cite Them Right 10th edition - Harvard</vt:lpwstr>
  </property>
  <property fmtid="{D5CDD505-2E9C-101B-9397-08002B2CF9AE}" pid="20" name="Mendeley Recent Style Id 6_1">
    <vt:lpwstr>http://www.zotero.org/styles/ieee</vt:lpwstr>
  </property>
  <property fmtid="{D5CDD505-2E9C-101B-9397-08002B2CF9AE}" pid="21" name="Mendeley Recent Style Name 6_1">
    <vt:lpwstr>IEEE</vt:lpwstr>
  </property>
  <property fmtid="{D5CDD505-2E9C-101B-9397-08002B2CF9AE}" pid="22" name="Mendeley Recent Style Id 7_1">
    <vt:lpwstr>http://www.zotero.org/styles/nature</vt:lpwstr>
  </property>
  <property fmtid="{D5CDD505-2E9C-101B-9397-08002B2CF9AE}" pid="23" name="Mendeley Recent Style Name 7_1">
    <vt:lpwstr>Nature</vt:lpwstr>
  </property>
  <property fmtid="{D5CDD505-2E9C-101B-9397-08002B2CF9AE}" pid="24" name="Mendeley Recent Style Id 8_1">
    <vt:lpwstr>http://www.zotero.org/styles/pnas</vt:lpwstr>
  </property>
  <property fmtid="{D5CDD505-2E9C-101B-9397-08002B2CF9AE}" pid="25" name="Mendeley Recent Style Name 8_1">
    <vt:lpwstr>Proceedings of the National Academy of Sciences of the United States of America</vt:lpwstr>
  </property>
  <property fmtid="{D5CDD505-2E9C-101B-9397-08002B2CF9AE}" pid="26" name="Mendeley Recent Style Id 9_1">
    <vt:lpwstr>http://www.zotero.org/styles/science</vt:lpwstr>
  </property>
  <property fmtid="{D5CDD505-2E9C-101B-9397-08002B2CF9AE}" pid="27" name="Mendeley Recent Style Name 9_1">
    <vt:lpwstr>Science</vt:lpwstr>
  </property>
</Properties>
</file>