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1F8E8" w14:textId="774D67A9" w:rsidR="002F0EB4" w:rsidRPr="003802F3" w:rsidRDefault="003802F3" w:rsidP="003802F3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E</w:t>
      </w:r>
      <w:r w:rsidRPr="003802F3">
        <w:rPr>
          <w:rFonts w:ascii="Arial" w:hAnsi="Arial" w:cs="Arial"/>
          <w:color w:val="000000" w:themeColor="text1"/>
          <w:lang w:val="en-US"/>
        </w:rPr>
        <w:t xml:space="preserve">valuate the effect of an ethyl acetate extract of </w:t>
      </w:r>
      <w:r w:rsidRPr="003802F3">
        <w:rPr>
          <w:rFonts w:ascii="Arial" w:hAnsi="Arial" w:cs="Arial"/>
          <w:i/>
          <w:iCs/>
          <w:color w:val="000000" w:themeColor="text1"/>
          <w:lang w:val="en-US"/>
        </w:rPr>
        <w:t>Artemisia ludoviciana</w:t>
      </w:r>
      <w:r w:rsidRPr="003802F3">
        <w:rPr>
          <w:rFonts w:ascii="Arial" w:hAnsi="Arial" w:cs="Arial"/>
          <w:color w:val="000000" w:themeColor="text1"/>
          <w:lang w:val="en-US"/>
        </w:rPr>
        <w:t xml:space="preserve"> on the viability of adult </w:t>
      </w:r>
      <w:r w:rsidRPr="003802F3">
        <w:rPr>
          <w:rFonts w:ascii="Arial" w:eastAsia="Calibri" w:hAnsi="Arial" w:cs="Arial"/>
          <w:i/>
          <w:iCs/>
          <w:color w:val="000000"/>
          <w:lang w:val="en-US"/>
        </w:rPr>
        <w:t>Fasciola hepatica</w:t>
      </w:r>
      <w:r w:rsidRPr="003802F3">
        <w:rPr>
          <w:rFonts w:ascii="Arial" w:eastAsia="Calibri" w:hAnsi="Arial" w:cs="Arial"/>
          <w:color w:val="000000"/>
          <w:lang w:val="en-US"/>
        </w:rPr>
        <w:t xml:space="preserve"> </w:t>
      </w:r>
      <w:r w:rsidRPr="003802F3">
        <w:rPr>
          <w:rFonts w:ascii="Arial" w:hAnsi="Arial" w:cs="Arial"/>
          <w:color w:val="000000" w:themeColor="text1"/>
          <w:lang w:val="en-US"/>
        </w:rPr>
        <w:t>parasites and eggs</w:t>
      </w:r>
      <w:r>
        <w:rPr>
          <w:rFonts w:ascii="Arial" w:hAnsi="Arial" w:cs="Arial"/>
          <w:color w:val="000000" w:themeColor="text1"/>
          <w:lang w:val="en-US"/>
        </w:rPr>
        <w:t>.</w:t>
      </w:r>
    </w:p>
    <w:p w14:paraId="6F8EA5DE" w14:textId="5DA192EE" w:rsidR="003802F3" w:rsidRPr="003802F3" w:rsidRDefault="003802F3" w:rsidP="003802F3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 w:rsidRPr="003802F3">
        <w:rPr>
          <w:rFonts w:ascii="Arial" w:hAnsi="Arial" w:cs="Arial"/>
          <w:color w:val="000000" w:themeColor="text1"/>
          <w:lang w:val="en-US"/>
        </w:rPr>
        <w:t xml:space="preserve">The ovicidal effectiveness of the </w:t>
      </w:r>
      <w:r w:rsidRPr="003802F3">
        <w:rPr>
          <w:rFonts w:ascii="Arial" w:eastAsia="Calibri" w:hAnsi="Arial" w:cs="Arial"/>
          <w:color w:val="000000"/>
          <w:lang w:val="en-US"/>
        </w:rPr>
        <w:t>extracts</w:t>
      </w:r>
      <w:r w:rsidRPr="003802F3">
        <w:rPr>
          <w:rFonts w:ascii="Arial" w:hAnsi="Arial" w:cs="Arial"/>
          <w:color w:val="000000" w:themeColor="text1"/>
          <w:lang w:val="en-US"/>
        </w:rPr>
        <w:t xml:space="preserve"> obtained after 16 </w:t>
      </w:r>
      <w:r w:rsidRPr="003802F3">
        <w:rPr>
          <w:rFonts w:ascii="Arial" w:eastAsia="Calibri" w:hAnsi="Arial" w:cs="Arial"/>
          <w:color w:val="000000"/>
          <w:lang w:val="en-US"/>
        </w:rPr>
        <w:t xml:space="preserve">h of </w:t>
      </w:r>
      <w:r w:rsidRPr="003802F3">
        <w:rPr>
          <w:rFonts w:ascii="Arial" w:hAnsi="Arial" w:cs="Arial"/>
          <w:color w:val="000000" w:themeColor="text1"/>
          <w:lang w:val="en-US"/>
        </w:rPr>
        <w:t>incubation at concentrations of 100, 200, 300, 400 and 500 mg/L was 48%, 52%, 87%, 89% and 92%</w:t>
      </w:r>
      <w:r w:rsidRPr="003802F3">
        <w:rPr>
          <w:rFonts w:ascii="Arial" w:eastAsia="Calibri" w:hAnsi="Arial" w:cs="Arial"/>
          <w:color w:val="000000"/>
          <w:lang w:val="en-US"/>
        </w:rPr>
        <w:t>, respectively</w:t>
      </w:r>
      <w:r w:rsidRPr="003802F3">
        <w:rPr>
          <w:rFonts w:ascii="Arial" w:hAnsi="Arial" w:cs="Arial"/>
          <w:color w:val="000000" w:themeColor="text1"/>
          <w:lang w:val="en-US"/>
        </w:rPr>
        <w:t xml:space="preserve"> (</w:t>
      </w:r>
      <w:r>
        <w:rPr>
          <w:rFonts w:ascii="Arial" w:hAnsi="Arial" w:cs="Arial"/>
          <w:color w:val="000000" w:themeColor="text1"/>
          <w:lang w:val="en-US"/>
        </w:rPr>
        <w:t>p</w:t>
      </w:r>
      <w:r w:rsidRPr="003802F3">
        <w:rPr>
          <w:rFonts w:ascii="Arial" w:hAnsi="Arial" w:cs="Arial"/>
          <w:color w:val="000000" w:themeColor="text1"/>
          <w:lang w:val="en-US"/>
        </w:rPr>
        <w:t>&lt;0.05)</w:t>
      </w:r>
      <w:r w:rsidRPr="003802F3">
        <w:rPr>
          <w:rFonts w:ascii="Arial" w:eastAsia="Calibri" w:hAnsi="Arial" w:cs="Arial"/>
          <w:color w:val="000000"/>
          <w:lang w:val="en-US"/>
        </w:rPr>
        <w:t>,</w:t>
      </w:r>
      <w:r w:rsidRPr="003802F3">
        <w:rPr>
          <w:rFonts w:ascii="Arial" w:hAnsi="Arial" w:cs="Arial"/>
          <w:color w:val="000000" w:themeColor="text1"/>
          <w:lang w:val="en-US"/>
        </w:rPr>
        <w:t xml:space="preserve"> and the </w:t>
      </w:r>
      <w:proofErr w:type="spellStart"/>
      <w:r w:rsidRPr="003802F3">
        <w:rPr>
          <w:rFonts w:ascii="Arial" w:hAnsi="Arial" w:cs="Arial"/>
          <w:color w:val="000000" w:themeColor="text1"/>
          <w:lang w:val="en-US"/>
        </w:rPr>
        <w:t>fasciolicidal</w:t>
      </w:r>
      <w:proofErr w:type="spellEnd"/>
      <w:r w:rsidRPr="003802F3">
        <w:rPr>
          <w:rFonts w:ascii="Arial" w:hAnsi="Arial" w:cs="Arial"/>
          <w:color w:val="000000" w:themeColor="text1"/>
          <w:lang w:val="en-US"/>
        </w:rPr>
        <w:t xml:space="preserve"> efficiencies </w:t>
      </w:r>
      <w:r w:rsidRPr="003802F3">
        <w:rPr>
          <w:rFonts w:ascii="Arial" w:eastAsia="Calibri" w:hAnsi="Arial" w:cs="Arial"/>
          <w:color w:val="000000"/>
          <w:lang w:val="en-US"/>
        </w:rPr>
        <w:t>during</w:t>
      </w:r>
      <w:r w:rsidRPr="003802F3">
        <w:rPr>
          <w:rFonts w:ascii="Arial" w:hAnsi="Arial" w:cs="Arial"/>
          <w:color w:val="000000" w:themeColor="text1"/>
          <w:lang w:val="en-US"/>
        </w:rPr>
        <w:t xml:space="preserve"> the first 24 </w:t>
      </w:r>
      <w:r w:rsidRPr="003802F3">
        <w:rPr>
          <w:rFonts w:ascii="Arial" w:eastAsia="Calibri" w:hAnsi="Arial" w:cs="Arial"/>
          <w:color w:val="000000"/>
          <w:lang w:val="en-US"/>
        </w:rPr>
        <w:t>h</w:t>
      </w:r>
      <w:r w:rsidRPr="003802F3">
        <w:rPr>
          <w:rFonts w:ascii="Arial" w:hAnsi="Arial" w:cs="Arial"/>
          <w:color w:val="000000" w:themeColor="text1"/>
          <w:lang w:val="en-US"/>
        </w:rPr>
        <w:t xml:space="preserve"> post</w:t>
      </w:r>
      <w:r>
        <w:rPr>
          <w:rFonts w:ascii="Arial" w:hAnsi="Arial" w:cs="Arial"/>
          <w:color w:val="000000" w:themeColor="text1"/>
          <w:lang w:val="en-US"/>
        </w:rPr>
        <w:t>-</w:t>
      </w:r>
      <w:r w:rsidRPr="003802F3">
        <w:rPr>
          <w:rFonts w:ascii="Arial" w:hAnsi="Arial" w:cs="Arial"/>
          <w:color w:val="000000" w:themeColor="text1"/>
          <w:lang w:val="en-US"/>
        </w:rPr>
        <w:t xml:space="preserve">treatment </w:t>
      </w:r>
      <w:r w:rsidRPr="003802F3">
        <w:rPr>
          <w:rFonts w:ascii="Arial" w:eastAsia="Calibri" w:hAnsi="Arial" w:cs="Arial"/>
          <w:color w:val="000000"/>
          <w:lang w:val="en-US"/>
        </w:rPr>
        <w:t>ranged from</w:t>
      </w:r>
      <w:r w:rsidRPr="003802F3">
        <w:rPr>
          <w:rFonts w:ascii="Arial" w:hAnsi="Arial" w:cs="Arial"/>
          <w:color w:val="000000" w:themeColor="text1"/>
          <w:lang w:val="en-US"/>
        </w:rPr>
        <w:t xml:space="preserve"> 82% to 100% (</w:t>
      </w:r>
      <w:r>
        <w:rPr>
          <w:rFonts w:ascii="Arial" w:hAnsi="Arial" w:cs="Arial"/>
          <w:color w:val="000000" w:themeColor="text1"/>
          <w:lang w:val="en-US"/>
        </w:rPr>
        <w:t>p</w:t>
      </w:r>
      <w:r w:rsidRPr="003802F3">
        <w:rPr>
          <w:rFonts w:ascii="Arial" w:hAnsi="Arial" w:cs="Arial"/>
          <w:color w:val="000000" w:themeColor="text1"/>
          <w:lang w:val="en-US"/>
        </w:rPr>
        <w:t>&lt;0.05).</w:t>
      </w:r>
    </w:p>
    <w:p w14:paraId="6C3F90C4" w14:textId="340BFB60" w:rsidR="003802F3" w:rsidRPr="003802F3" w:rsidRDefault="003802F3" w:rsidP="003802F3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S</w:t>
      </w:r>
      <w:r w:rsidRPr="003802F3">
        <w:rPr>
          <w:rFonts w:ascii="Arial" w:hAnsi="Arial" w:cs="Arial"/>
          <w:color w:val="000000" w:themeColor="text1"/>
          <w:lang w:val="en-US"/>
        </w:rPr>
        <w:t>canning electron microscopy</w:t>
      </w:r>
      <w:r w:rsidRPr="003802F3">
        <w:rPr>
          <w:rFonts w:ascii="Arial" w:eastAsia="Calibri" w:hAnsi="Arial" w:cs="Arial"/>
          <w:color w:val="000000"/>
          <w:lang w:val="en-US"/>
        </w:rPr>
        <w:t xml:space="preserve"> revealed</w:t>
      </w:r>
      <w:r w:rsidRPr="003802F3">
        <w:rPr>
          <w:rFonts w:ascii="Arial" w:hAnsi="Arial" w:cs="Arial"/>
          <w:color w:val="000000" w:themeColor="text1"/>
          <w:lang w:val="en-US"/>
        </w:rPr>
        <w:t xml:space="preserve"> damage to the shells of the eggs treated with the extract, compromising their stability.</w:t>
      </w:r>
    </w:p>
    <w:p w14:paraId="70549C28" w14:textId="470F84D0" w:rsidR="003802F3" w:rsidRDefault="003802F3" w:rsidP="003802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In parasites</w:t>
      </w:r>
      <w:r w:rsidRPr="003802F3">
        <w:rPr>
          <w:rFonts w:ascii="Arial" w:hAnsi="Arial" w:cs="Arial"/>
          <w:color w:val="000000" w:themeColor="text1"/>
          <w:lang w:val="en-US"/>
        </w:rPr>
        <w:t xml:space="preserve"> exposed to </w:t>
      </w:r>
      <w:r>
        <w:rPr>
          <w:rFonts w:ascii="Arial" w:hAnsi="Arial" w:cs="Arial"/>
          <w:color w:val="000000" w:themeColor="text1"/>
          <w:lang w:val="en-US"/>
        </w:rPr>
        <w:t>extract</w:t>
      </w:r>
      <w:r w:rsidRPr="003802F3">
        <w:rPr>
          <w:rFonts w:ascii="Arial" w:hAnsi="Arial" w:cs="Arial"/>
          <w:color w:val="000000" w:themeColor="text1"/>
          <w:lang w:val="en-US"/>
        </w:rPr>
        <w:t xml:space="preserve"> </w:t>
      </w:r>
      <w:r w:rsidRPr="003802F3">
        <w:rPr>
          <w:rFonts w:ascii="Arial" w:eastAsia="Calibri" w:hAnsi="Arial" w:cs="Arial"/>
          <w:color w:val="000000"/>
          <w:lang w:val="en-US"/>
        </w:rPr>
        <w:t>exhibited</w:t>
      </w:r>
      <w:r w:rsidRPr="003802F3">
        <w:rPr>
          <w:rFonts w:ascii="Arial" w:hAnsi="Arial" w:cs="Arial"/>
          <w:color w:val="000000" w:themeColor="text1"/>
          <w:lang w:val="en-US"/>
        </w:rPr>
        <w:t xml:space="preserve"> partial erosion of the integument in different regions, damage to the tegument that affected the integrity of the spines was seen</w:t>
      </w:r>
      <w:r>
        <w:rPr>
          <w:rFonts w:ascii="Arial" w:hAnsi="Arial" w:cs="Arial"/>
          <w:color w:val="000000" w:themeColor="text1"/>
          <w:lang w:val="en-US"/>
        </w:rPr>
        <w:t>. I</w:t>
      </w:r>
      <w:r w:rsidRPr="003802F3">
        <w:rPr>
          <w:rFonts w:ascii="Arial" w:hAnsi="Arial" w:cs="Arial"/>
          <w:color w:val="000000" w:themeColor="text1"/>
          <w:lang w:val="en-US"/>
        </w:rPr>
        <w:t>n some cases</w:t>
      </w:r>
      <w:r w:rsidRPr="003802F3">
        <w:rPr>
          <w:rFonts w:ascii="Arial" w:eastAsia="Calibri" w:hAnsi="Arial" w:cs="Arial"/>
          <w:color w:val="000000"/>
          <w:lang w:val="en-US"/>
        </w:rPr>
        <w:t>,</w:t>
      </w:r>
      <w:r w:rsidRPr="003802F3">
        <w:rPr>
          <w:rFonts w:ascii="Arial" w:hAnsi="Arial" w:cs="Arial"/>
          <w:color w:val="000000" w:themeColor="text1"/>
          <w:lang w:val="en-US"/>
        </w:rPr>
        <w:t xml:space="preserve"> severe damage to the muscles was observed. </w:t>
      </w:r>
    </w:p>
    <w:p w14:paraId="758B2F03" w14:textId="25E0718F" w:rsidR="003802F3" w:rsidRPr="003802F3" w:rsidRDefault="003802F3" w:rsidP="003802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802F3">
        <w:rPr>
          <w:rFonts w:ascii="Arial" w:hAnsi="Arial" w:cs="Arial"/>
          <w:color w:val="000000" w:themeColor="text1"/>
          <w:lang w:val="en-US"/>
        </w:rPr>
        <w:t xml:space="preserve">Histological evaluation observe areas of advanced deterioration and regions. Alterations at this level allow substances access to deep organs, which can then be damaged. In this </w:t>
      </w:r>
      <w:r w:rsidRPr="003802F3">
        <w:rPr>
          <w:rFonts w:ascii="Arial" w:eastAsia="Calibri" w:hAnsi="Arial" w:cs="Arial"/>
          <w:color w:val="000000"/>
          <w:lang w:val="en-US"/>
        </w:rPr>
        <w:t>study,</w:t>
      </w:r>
      <w:r w:rsidRPr="003802F3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extract</w:t>
      </w:r>
      <w:r w:rsidRPr="003802F3">
        <w:rPr>
          <w:rFonts w:ascii="Arial" w:hAnsi="Arial" w:cs="Arial"/>
          <w:color w:val="000000" w:themeColor="text1"/>
          <w:lang w:val="en-US"/>
        </w:rPr>
        <w:t xml:space="preserve"> </w:t>
      </w:r>
      <w:r w:rsidRPr="003802F3">
        <w:rPr>
          <w:rFonts w:ascii="Arial" w:eastAsia="Calibri" w:hAnsi="Arial" w:cs="Arial"/>
          <w:color w:val="000000"/>
          <w:lang w:val="en-US"/>
        </w:rPr>
        <w:t>affected</w:t>
      </w:r>
      <w:r w:rsidRPr="003802F3">
        <w:rPr>
          <w:rFonts w:ascii="Arial" w:hAnsi="Arial" w:cs="Arial"/>
          <w:color w:val="000000" w:themeColor="text1"/>
          <w:lang w:val="en-US"/>
        </w:rPr>
        <w:t xml:space="preserve"> virtually the entire interior of the organism, including the digestive tract, the gonads, the internal parenchyma, and the subepidermal cells.</w:t>
      </w:r>
    </w:p>
    <w:p w14:paraId="3966E758" w14:textId="77777777" w:rsidR="003802F3" w:rsidRDefault="003802F3" w:rsidP="003802F3">
      <w:pPr>
        <w:pStyle w:val="Prrafodelista"/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4AB77468" w14:textId="77777777" w:rsidR="003802F3" w:rsidRPr="003802F3" w:rsidRDefault="003802F3" w:rsidP="003802F3">
      <w:pPr>
        <w:spacing w:line="360" w:lineRule="auto"/>
        <w:ind w:left="360"/>
        <w:jc w:val="both"/>
        <w:rPr>
          <w:lang w:val="en-US"/>
        </w:rPr>
      </w:pPr>
    </w:p>
    <w:sectPr w:rsidR="003802F3" w:rsidRPr="003802F3" w:rsidSect="000120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7AB5"/>
    <w:multiLevelType w:val="hybridMultilevel"/>
    <w:tmpl w:val="A6663ACE"/>
    <w:lvl w:ilvl="0" w:tplc="5B486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F3"/>
    <w:rsid w:val="0001200D"/>
    <w:rsid w:val="002F0EB4"/>
    <w:rsid w:val="003802F3"/>
    <w:rsid w:val="006A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2BB83"/>
  <w15:chartTrackingRefBased/>
  <w15:docId w15:val="{B0A6A723-FE2D-B94E-97D3-E9326616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02F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3802F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3802F3"/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qFormat/>
    <w:rsid w:val="003802F3"/>
    <w:rPr>
      <w:rFonts w:ascii="Tahoma" w:hAnsi="Tahoma" w:cs="Tahoma"/>
      <w:sz w:val="16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02F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2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Ezeta Miranda</dc:creator>
  <cp:keywords/>
  <dc:description/>
  <cp:lastModifiedBy>Alonso Ezeta Miranda</cp:lastModifiedBy>
  <cp:revision>1</cp:revision>
  <dcterms:created xsi:type="dcterms:W3CDTF">2024-06-19T23:49:00Z</dcterms:created>
  <dcterms:modified xsi:type="dcterms:W3CDTF">2024-06-20T00:00:00Z</dcterms:modified>
</cp:coreProperties>
</file>