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21202FE4" w14:textId="77777777" w:rsidR="008A0CAB" w:rsidRPr="002C4E30" w:rsidRDefault="008A0CAB" w:rsidP="008A0CAB">
      <w:pPr>
        <w:spacing w:after="0pt" w:line="12pt" w:lineRule="auto"/>
        <w:rPr>
          <w:rFonts w:ascii="Times New Roman" w:hAnsi="Times New Roman" w:cs="Times New Roman"/>
          <w:b/>
          <w:i/>
          <w:sz w:val="24"/>
          <w:szCs w:val="24"/>
        </w:rPr>
      </w:pPr>
      <w:bookmarkStart w:id="0" w:name="_Hlk89601180"/>
      <w:r w:rsidRPr="002C4E30">
        <w:rPr>
          <w:rFonts w:ascii="Times New Roman" w:hAnsi="Times New Roman" w:cs="Times New Roman"/>
          <w:b/>
          <w:i/>
          <w:sz w:val="24"/>
          <w:szCs w:val="24"/>
        </w:rPr>
        <w:t xml:space="preserve">Table </w:t>
      </w:r>
      <w:r>
        <w:rPr>
          <w:rFonts w:ascii="Times New Roman" w:hAnsi="Times New Roman" w:cs="Times New Roman"/>
          <w:b/>
          <w:i/>
          <w:sz w:val="24"/>
          <w:szCs w:val="24"/>
        </w:rPr>
        <w:t>4</w:t>
      </w:r>
      <w:r w:rsidRPr="002C4E30">
        <w:rPr>
          <w:rFonts w:ascii="Times New Roman" w:hAnsi="Times New Roman" w:cs="Times New Roman"/>
          <w:b/>
          <w:i/>
          <w:sz w:val="24"/>
          <w:szCs w:val="24"/>
        </w:rPr>
        <w:t xml:space="preserve">: Comparison of the results with other studies </w:t>
      </w:r>
    </w:p>
    <w:tbl>
      <w:tblPr>
        <w:tblStyle w:val="TableGrid"/>
        <w:tblW w:w="454.30pt" w:type="dxa"/>
        <w:tblBorders>
          <w:top w:val="none" w:sz="0" w:space="0" w:color="auto"/>
          <w:start w:val="none" w:sz="0" w:space="0" w:color="auto"/>
          <w:bottom w:val="none" w:sz="0" w:space="0" w:color="auto"/>
          <w:end w:val="none" w:sz="0" w:space="0" w:color="auto"/>
          <w:insideH w:val="none" w:sz="0" w:space="0" w:color="auto"/>
          <w:insideV w:val="none" w:sz="0" w:space="0" w:color="auto"/>
        </w:tblBorders>
        <w:tblLook w:firstRow="1" w:lastRow="0" w:firstColumn="1" w:lastColumn="0" w:noHBand="0" w:noVBand="1"/>
      </w:tblPr>
      <w:tblGrid>
        <w:gridCol w:w="1848"/>
        <w:gridCol w:w="313"/>
        <w:gridCol w:w="422"/>
        <w:gridCol w:w="216"/>
        <w:gridCol w:w="556"/>
        <w:gridCol w:w="216"/>
        <w:gridCol w:w="928"/>
        <w:gridCol w:w="2521"/>
        <w:gridCol w:w="216"/>
        <w:gridCol w:w="708"/>
        <w:gridCol w:w="450"/>
        <w:gridCol w:w="713"/>
        <w:gridCol w:w="253"/>
      </w:tblGrid>
      <w:tr w:rsidR="008A0CAB" w:rsidRPr="00A13472" w14:paraId="18EC641A" w14:textId="77777777" w:rsidTr="00960D8B">
        <w:trPr>
          <w:gridAfter w:val="1"/>
          <w:wAfter w:w="18.95pt" w:type="dxa"/>
          <w:trHeight w:val="291"/>
        </w:trPr>
        <w:tc>
          <w:tcPr>
            <w:tcW w:w="94.60pt" w:type="dxa"/>
            <w:tcBorders>
              <w:top w:val="single" w:sz="4" w:space="0" w:color="auto"/>
              <w:start w:val="nil"/>
              <w:bottom w:val="single" w:sz="4" w:space="0" w:color="auto"/>
              <w:end w:val="single" w:sz="4" w:space="0" w:color="auto"/>
            </w:tcBorders>
            <w:noWrap/>
            <w:hideMark/>
          </w:tcPr>
          <w:p w14:paraId="6ADA0AB4" w14:textId="77777777" w:rsidR="008A0CAB" w:rsidRPr="00A13472" w:rsidRDefault="008A0CAB" w:rsidP="00960D8B">
            <w:pPr>
              <w:rPr>
                <w:rFonts w:ascii="Times New Roman" w:hAnsi="Times New Roman" w:cs="Times New Roman"/>
                <w:sz w:val="20"/>
                <w:szCs w:val="20"/>
              </w:rPr>
            </w:pPr>
          </w:p>
        </w:tc>
        <w:tc>
          <w:tcPr>
            <w:tcW w:w="34.55pt" w:type="dxa"/>
            <w:gridSpan w:val="2"/>
            <w:tcBorders>
              <w:top w:val="single" w:sz="4" w:space="0" w:color="auto"/>
              <w:start w:val="single" w:sz="4" w:space="0" w:color="auto"/>
              <w:bottom w:val="single" w:sz="4" w:space="0" w:color="auto"/>
              <w:end w:val="nil"/>
            </w:tcBorders>
            <w:hideMark/>
          </w:tcPr>
          <w:p w14:paraId="49D9832B" w14:textId="77777777" w:rsidR="008A0CAB" w:rsidRPr="00A13472" w:rsidRDefault="008A0CAB" w:rsidP="00960D8B">
            <w:pPr>
              <w:rPr>
                <w:rFonts w:ascii="Times New Roman" w:hAnsi="Times New Roman" w:cs="Times New Roman"/>
                <w:sz w:val="20"/>
                <w:szCs w:val="20"/>
                <w:vertAlign w:val="superscript"/>
              </w:rPr>
            </w:pPr>
            <w:r w:rsidRPr="00A13472">
              <w:rPr>
                <w:rFonts w:ascii="Times New Roman" w:hAnsi="Times New Roman" w:cs="Times New Roman"/>
                <w:sz w:val="20"/>
                <w:szCs w:val="20"/>
              </w:rPr>
              <w:t>This study</w:t>
            </w:r>
          </w:p>
        </w:tc>
        <w:tc>
          <w:tcPr>
            <w:tcW w:w="43.40pt" w:type="dxa"/>
            <w:gridSpan w:val="3"/>
            <w:tcBorders>
              <w:top w:val="single" w:sz="4" w:space="0" w:color="auto"/>
              <w:start w:val="nil"/>
              <w:bottom w:val="single" w:sz="4" w:space="0" w:color="auto"/>
              <w:end w:val="nil"/>
            </w:tcBorders>
            <w:noWrap/>
            <w:hideMark/>
          </w:tcPr>
          <w:p w14:paraId="3889D220" w14:textId="77777777" w:rsidR="008A0CAB" w:rsidRPr="00A13472" w:rsidRDefault="008A0CAB" w:rsidP="00960D8B">
            <w:pPr>
              <w:rPr>
                <w:rFonts w:ascii="Times New Roman" w:hAnsi="Times New Roman" w:cs="Times New Roman"/>
                <w:sz w:val="20"/>
                <w:szCs w:val="20"/>
                <w:vertAlign w:val="superscript"/>
              </w:rPr>
            </w:pPr>
            <w:r w:rsidRPr="00A13472">
              <w:rPr>
                <w:rFonts w:ascii="Times New Roman" w:hAnsi="Times New Roman" w:cs="Times New Roman"/>
                <w:sz w:val="20"/>
                <w:szCs w:val="20"/>
              </w:rPr>
              <w:t>Central Uganda (cattle corridor)</w:t>
            </w:r>
          </w:p>
        </w:tc>
        <w:tc>
          <w:tcPr>
            <w:tcW w:w="45.15pt" w:type="dxa"/>
            <w:tcBorders>
              <w:top w:val="single" w:sz="4" w:space="0" w:color="auto"/>
              <w:start w:val="nil"/>
              <w:bottom w:val="single" w:sz="4" w:space="0" w:color="auto"/>
              <w:end w:val="nil"/>
            </w:tcBorders>
            <w:noWrap/>
            <w:hideMark/>
          </w:tcPr>
          <w:p w14:paraId="1A4EF6BC" w14:textId="77777777" w:rsidR="008A0CAB" w:rsidRPr="00A13472" w:rsidRDefault="008A0CAB" w:rsidP="00960D8B">
            <w:pPr>
              <w:rPr>
                <w:rFonts w:ascii="Times New Roman" w:hAnsi="Times New Roman" w:cs="Times New Roman"/>
                <w:sz w:val="20"/>
                <w:szCs w:val="20"/>
              </w:rPr>
            </w:pPr>
            <w:r w:rsidRPr="00A13472">
              <w:rPr>
                <w:rFonts w:ascii="Times New Roman" w:hAnsi="Times New Roman" w:cs="Times New Roman"/>
                <w:sz w:val="20"/>
                <w:szCs w:val="20"/>
              </w:rPr>
              <w:t>Karamoja</w:t>
            </w:r>
          </w:p>
          <w:p w14:paraId="625C4D5B" w14:textId="77777777" w:rsidR="008A0CAB" w:rsidRPr="00A13472" w:rsidRDefault="008A0CAB" w:rsidP="00960D8B">
            <w:pPr>
              <w:rPr>
                <w:rFonts w:ascii="Times New Roman" w:hAnsi="Times New Roman" w:cs="Times New Roman"/>
                <w:sz w:val="20"/>
                <w:szCs w:val="20"/>
              </w:rPr>
            </w:pPr>
            <w:r w:rsidRPr="00A13472">
              <w:rPr>
                <w:rFonts w:ascii="Times New Roman" w:hAnsi="Times New Roman" w:cs="Times New Roman"/>
                <w:sz w:val="20"/>
                <w:szCs w:val="20"/>
              </w:rPr>
              <w:t xml:space="preserve">(cattle corridor) </w:t>
            </w:r>
          </w:p>
        </w:tc>
        <w:tc>
          <w:tcPr>
            <w:tcW w:w="129.20pt" w:type="dxa"/>
            <w:tcBorders>
              <w:top w:val="single" w:sz="4" w:space="0" w:color="auto"/>
              <w:start w:val="nil"/>
              <w:bottom w:val="single" w:sz="4" w:space="0" w:color="auto"/>
              <w:end w:val="nil"/>
            </w:tcBorders>
            <w:noWrap/>
            <w:hideMark/>
          </w:tcPr>
          <w:p w14:paraId="0A108BB5" w14:textId="77777777" w:rsidR="008A0CAB" w:rsidRPr="00A13472" w:rsidRDefault="008A0CAB" w:rsidP="00960D8B">
            <w:pPr>
              <w:rPr>
                <w:rFonts w:ascii="Times New Roman" w:hAnsi="Times New Roman" w:cs="Times New Roman"/>
                <w:sz w:val="20"/>
                <w:szCs w:val="20"/>
              </w:rPr>
            </w:pPr>
            <w:r w:rsidRPr="00A13472">
              <w:rPr>
                <w:rFonts w:ascii="Times New Roman" w:hAnsi="Times New Roman" w:cs="Times New Roman"/>
                <w:sz w:val="20"/>
                <w:szCs w:val="20"/>
              </w:rPr>
              <w:t>South Western Uganda</w:t>
            </w:r>
          </w:p>
        </w:tc>
        <w:tc>
          <w:tcPr>
            <w:tcW w:w="39.10pt" w:type="dxa"/>
            <w:gridSpan w:val="2"/>
            <w:tcBorders>
              <w:top w:val="single" w:sz="4" w:space="0" w:color="auto"/>
              <w:start w:val="nil"/>
              <w:bottom w:val="single" w:sz="4" w:space="0" w:color="auto"/>
              <w:end w:val="nil"/>
            </w:tcBorders>
            <w:hideMark/>
          </w:tcPr>
          <w:p w14:paraId="37CC4498" w14:textId="77777777" w:rsidR="008A0CAB" w:rsidRPr="00A13472" w:rsidRDefault="008A0CAB" w:rsidP="00960D8B">
            <w:pPr>
              <w:rPr>
                <w:rFonts w:ascii="Times New Roman" w:hAnsi="Times New Roman" w:cs="Times New Roman"/>
                <w:sz w:val="20"/>
                <w:szCs w:val="20"/>
                <w:vertAlign w:val="superscript"/>
              </w:rPr>
            </w:pPr>
            <w:r w:rsidRPr="00A13472">
              <w:rPr>
                <w:rFonts w:ascii="Times New Roman" w:hAnsi="Times New Roman" w:cs="Times New Roman"/>
                <w:sz w:val="20"/>
                <w:szCs w:val="20"/>
              </w:rPr>
              <w:t>Northern Uganda</w:t>
            </w:r>
          </w:p>
        </w:tc>
        <w:tc>
          <w:tcPr>
            <w:tcW w:w="49.35pt" w:type="dxa"/>
            <w:gridSpan w:val="2"/>
            <w:tcBorders>
              <w:top w:val="single" w:sz="4" w:space="0" w:color="auto"/>
              <w:start w:val="nil"/>
              <w:bottom w:val="single" w:sz="4" w:space="0" w:color="auto"/>
              <w:end w:val="nil"/>
            </w:tcBorders>
            <w:noWrap/>
            <w:hideMark/>
          </w:tcPr>
          <w:p w14:paraId="32704AA5" w14:textId="77777777" w:rsidR="008A0CAB" w:rsidRPr="00A13472" w:rsidRDefault="008A0CAB" w:rsidP="00960D8B">
            <w:pPr>
              <w:rPr>
                <w:rFonts w:ascii="Times New Roman" w:hAnsi="Times New Roman" w:cs="Times New Roman"/>
                <w:sz w:val="20"/>
                <w:szCs w:val="20"/>
              </w:rPr>
            </w:pPr>
            <w:r w:rsidRPr="00A13472">
              <w:rPr>
                <w:rFonts w:ascii="Times New Roman" w:hAnsi="Times New Roman" w:cs="Times New Roman"/>
                <w:sz w:val="20"/>
                <w:szCs w:val="20"/>
              </w:rPr>
              <w:t>Northern Kenya (mountains)</w:t>
            </w:r>
          </w:p>
        </w:tc>
      </w:tr>
      <w:tr w:rsidR="008A0CAB" w:rsidRPr="00251717" w14:paraId="56520F1F" w14:textId="77777777" w:rsidTr="00960D8B">
        <w:trPr>
          <w:gridAfter w:val="1"/>
          <w:wAfter w:w="18.95pt" w:type="dxa"/>
          <w:trHeight w:val="291"/>
        </w:trPr>
        <w:tc>
          <w:tcPr>
            <w:tcW w:w="94.60pt" w:type="dxa"/>
            <w:tcBorders>
              <w:top w:val="single" w:sz="4" w:space="0" w:color="auto"/>
              <w:start w:val="nil"/>
              <w:bottom w:val="nil"/>
              <w:end w:val="single" w:sz="4" w:space="0" w:color="auto"/>
            </w:tcBorders>
            <w:noWrap/>
            <w:hideMark/>
          </w:tcPr>
          <w:p w14:paraId="3FC8E9D9" w14:textId="77777777" w:rsidR="008A0CAB" w:rsidRPr="00251717" w:rsidRDefault="008A0CAB" w:rsidP="00960D8B">
            <w:pPr>
              <w:rPr>
                <w:rFonts w:ascii="Times New Roman" w:hAnsi="Times New Roman" w:cs="Times New Roman"/>
                <w:b/>
                <w:bCs/>
                <w:sz w:val="20"/>
                <w:szCs w:val="20"/>
              </w:rPr>
            </w:pPr>
            <w:r w:rsidRPr="00251717">
              <w:rPr>
                <w:rFonts w:ascii="Times New Roman" w:hAnsi="Times New Roman" w:cs="Times New Roman"/>
                <w:b/>
                <w:bCs/>
                <w:sz w:val="20"/>
                <w:szCs w:val="20"/>
              </w:rPr>
              <w:t>LIVESTOCK</w:t>
            </w:r>
          </w:p>
        </w:tc>
        <w:tc>
          <w:tcPr>
            <w:tcW w:w="34.55pt" w:type="dxa"/>
            <w:gridSpan w:val="2"/>
            <w:tcBorders>
              <w:top w:val="single" w:sz="4" w:space="0" w:color="auto"/>
              <w:start w:val="single" w:sz="4" w:space="0" w:color="auto"/>
              <w:bottom w:val="nil"/>
              <w:end w:val="nil"/>
            </w:tcBorders>
          </w:tcPr>
          <w:p w14:paraId="19C010B6" w14:textId="77777777" w:rsidR="008A0CAB" w:rsidRPr="00251717" w:rsidRDefault="008A0CAB" w:rsidP="00960D8B">
            <w:pPr>
              <w:rPr>
                <w:rFonts w:ascii="Times New Roman" w:hAnsi="Times New Roman" w:cs="Times New Roman"/>
                <w:sz w:val="20"/>
                <w:szCs w:val="20"/>
              </w:rPr>
            </w:pPr>
          </w:p>
        </w:tc>
        <w:tc>
          <w:tcPr>
            <w:tcW w:w="43.40pt" w:type="dxa"/>
            <w:gridSpan w:val="3"/>
            <w:tcBorders>
              <w:top w:val="single" w:sz="4" w:space="0" w:color="auto"/>
              <w:start w:val="nil"/>
              <w:bottom w:val="nil"/>
              <w:end w:val="nil"/>
            </w:tcBorders>
            <w:noWrap/>
          </w:tcPr>
          <w:p w14:paraId="784DD8A7" w14:textId="77777777" w:rsidR="008A0CAB" w:rsidRPr="00251717" w:rsidRDefault="008A0CAB" w:rsidP="00960D8B">
            <w:pPr>
              <w:rPr>
                <w:rFonts w:ascii="Times New Roman" w:hAnsi="Times New Roman" w:cs="Times New Roman"/>
                <w:sz w:val="20"/>
                <w:szCs w:val="20"/>
              </w:rPr>
            </w:pPr>
          </w:p>
        </w:tc>
        <w:tc>
          <w:tcPr>
            <w:tcW w:w="45.15pt" w:type="dxa"/>
            <w:tcBorders>
              <w:top w:val="single" w:sz="4" w:space="0" w:color="auto"/>
              <w:start w:val="nil"/>
              <w:bottom w:val="nil"/>
              <w:end w:val="nil"/>
            </w:tcBorders>
            <w:noWrap/>
          </w:tcPr>
          <w:p w14:paraId="5D7D63E5" w14:textId="77777777" w:rsidR="008A0CAB" w:rsidRPr="00251717" w:rsidRDefault="008A0CAB" w:rsidP="00960D8B">
            <w:pPr>
              <w:rPr>
                <w:rFonts w:ascii="Times New Roman" w:hAnsi="Times New Roman" w:cs="Times New Roman"/>
                <w:sz w:val="20"/>
                <w:szCs w:val="20"/>
              </w:rPr>
            </w:pPr>
          </w:p>
        </w:tc>
        <w:tc>
          <w:tcPr>
            <w:tcW w:w="129.20pt" w:type="dxa"/>
            <w:tcBorders>
              <w:top w:val="single" w:sz="4" w:space="0" w:color="auto"/>
              <w:start w:val="nil"/>
              <w:bottom w:val="nil"/>
              <w:end w:val="nil"/>
            </w:tcBorders>
            <w:noWrap/>
          </w:tcPr>
          <w:p w14:paraId="2E6E3151" w14:textId="77777777" w:rsidR="008A0CAB" w:rsidRPr="00251717" w:rsidRDefault="008A0CAB" w:rsidP="00960D8B">
            <w:pPr>
              <w:rPr>
                <w:rFonts w:ascii="Times New Roman" w:hAnsi="Times New Roman" w:cs="Times New Roman"/>
                <w:sz w:val="20"/>
                <w:szCs w:val="20"/>
              </w:rPr>
            </w:pPr>
          </w:p>
        </w:tc>
        <w:tc>
          <w:tcPr>
            <w:tcW w:w="39.10pt" w:type="dxa"/>
            <w:gridSpan w:val="2"/>
            <w:tcBorders>
              <w:top w:val="single" w:sz="4" w:space="0" w:color="auto"/>
              <w:start w:val="nil"/>
              <w:bottom w:val="nil"/>
              <w:end w:val="nil"/>
            </w:tcBorders>
          </w:tcPr>
          <w:p w14:paraId="5466C432" w14:textId="77777777" w:rsidR="008A0CAB" w:rsidRPr="00251717" w:rsidRDefault="008A0CAB" w:rsidP="00960D8B">
            <w:pPr>
              <w:rPr>
                <w:rFonts w:ascii="Times New Roman" w:hAnsi="Times New Roman" w:cs="Times New Roman"/>
                <w:sz w:val="20"/>
                <w:szCs w:val="20"/>
              </w:rPr>
            </w:pPr>
          </w:p>
        </w:tc>
        <w:tc>
          <w:tcPr>
            <w:tcW w:w="49.35pt" w:type="dxa"/>
            <w:gridSpan w:val="2"/>
            <w:tcBorders>
              <w:top w:val="single" w:sz="4" w:space="0" w:color="auto"/>
              <w:start w:val="nil"/>
              <w:bottom w:val="nil"/>
              <w:end w:val="nil"/>
            </w:tcBorders>
            <w:noWrap/>
          </w:tcPr>
          <w:p w14:paraId="05818EDB" w14:textId="77777777" w:rsidR="008A0CAB" w:rsidRPr="00251717" w:rsidRDefault="008A0CAB" w:rsidP="00960D8B">
            <w:pPr>
              <w:rPr>
                <w:rFonts w:ascii="Times New Roman" w:hAnsi="Times New Roman" w:cs="Times New Roman"/>
                <w:sz w:val="20"/>
                <w:szCs w:val="20"/>
              </w:rPr>
            </w:pPr>
          </w:p>
        </w:tc>
      </w:tr>
      <w:tr w:rsidR="008A0CAB" w:rsidRPr="00251717" w14:paraId="59EBA33A"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251AEE82"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 xml:space="preserve">Migration with animals </w:t>
            </w:r>
          </w:p>
        </w:tc>
        <w:tc>
          <w:tcPr>
            <w:tcW w:w="34.55pt" w:type="dxa"/>
            <w:gridSpan w:val="2"/>
            <w:tcBorders>
              <w:top w:val="nil"/>
              <w:start w:val="single" w:sz="4" w:space="0" w:color="auto"/>
              <w:bottom w:val="nil"/>
              <w:end w:val="nil"/>
            </w:tcBorders>
            <w:hideMark/>
          </w:tcPr>
          <w:p w14:paraId="153CA754"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52EBFA89" w14:textId="77777777" w:rsidR="008A0CAB" w:rsidRPr="00251717" w:rsidRDefault="008A0CAB" w:rsidP="00960D8B">
            <w:pPr>
              <w:rPr>
                <w:rFonts w:ascii="Times New Roman" w:hAnsi="Times New Roman" w:cs="Times New Roman"/>
                <w:sz w:val="20"/>
                <w:szCs w:val="20"/>
                <w:vertAlign w:val="superscript"/>
              </w:rPr>
            </w:pPr>
          </w:p>
        </w:tc>
        <w:tc>
          <w:tcPr>
            <w:tcW w:w="45.15pt" w:type="dxa"/>
            <w:noWrap/>
            <w:hideMark/>
          </w:tcPr>
          <w:p w14:paraId="41F73C60"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noWrap/>
            <w:hideMark/>
          </w:tcPr>
          <w:p w14:paraId="44D40A36"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hideMark/>
          </w:tcPr>
          <w:p w14:paraId="1598A392"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1BC7C560"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170DFF0A"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3FE1E07B"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Reduced number and variety of animals</w:t>
            </w:r>
          </w:p>
        </w:tc>
        <w:tc>
          <w:tcPr>
            <w:tcW w:w="34.55pt" w:type="dxa"/>
            <w:gridSpan w:val="2"/>
            <w:tcBorders>
              <w:top w:val="nil"/>
              <w:start w:val="single" w:sz="4" w:space="0" w:color="auto"/>
              <w:bottom w:val="nil"/>
              <w:end w:val="nil"/>
            </w:tcBorders>
            <w:hideMark/>
          </w:tcPr>
          <w:p w14:paraId="576DA48D"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244E9535"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2</w:t>
            </w:r>
          </w:p>
        </w:tc>
        <w:tc>
          <w:tcPr>
            <w:tcW w:w="45.15pt" w:type="dxa"/>
            <w:noWrap/>
            <w:hideMark/>
          </w:tcPr>
          <w:p w14:paraId="75BEDFE0" w14:textId="77777777" w:rsidR="008A0CAB" w:rsidRPr="00251717" w:rsidRDefault="008A0CAB" w:rsidP="00960D8B">
            <w:pPr>
              <w:rPr>
                <w:rFonts w:ascii="Times New Roman" w:hAnsi="Times New Roman" w:cs="Times New Roman"/>
                <w:sz w:val="20"/>
                <w:szCs w:val="20"/>
                <w:vertAlign w:val="superscript"/>
              </w:rPr>
            </w:pPr>
          </w:p>
        </w:tc>
        <w:tc>
          <w:tcPr>
            <w:tcW w:w="129.20pt" w:type="dxa"/>
            <w:noWrap/>
            <w:hideMark/>
          </w:tcPr>
          <w:p w14:paraId="369F9B79"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Pr>
          <w:p w14:paraId="241C379E"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noWrap/>
            <w:hideMark/>
          </w:tcPr>
          <w:p w14:paraId="698E66E3"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11049AF0" w14:textId="77777777" w:rsidTr="00960D8B">
        <w:trPr>
          <w:trHeight w:val="291"/>
        </w:trPr>
        <w:tc>
          <w:tcPr>
            <w:tcW w:w="94.60pt" w:type="dxa"/>
            <w:tcBorders>
              <w:top w:val="nil"/>
              <w:start w:val="nil"/>
              <w:bottom w:val="nil"/>
              <w:end w:val="single" w:sz="4" w:space="0" w:color="auto"/>
            </w:tcBorders>
            <w:noWrap/>
          </w:tcPr>
          <w:p w14:paraId="0EFDDDAE"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 xml:space="preserve">Use of banana suckers during dry season </w:t>
            </w:r>
          </w:p>
        </w:tc>
        <w:tc>
          <w:tcPr>
            <w:tcW w:w="13.15pt" w:type="dxa"/>
            <w:tcBorders>
              <w:top w:val="nil"/>
              <w:start w:val="single" w:sz="4" w:space="0" w:color="auto"/>
              <w:bottom w:val="nil"/>
              <w:end w:val="nil"/>
            </w:tcBorders>
          </w:tcPr>
          <w:p w14:paraId="3C2E14C8"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23.50pt" w:type="dxa"/>
            <w:gridSpan w:val="2"/>
            <w:noWrap/>
          </w:tcPr>
          <w:p w14:paraId="4EE01BD1" w14:textId="77777777" w:rsidR="008A0CAB" w:rsidRPr="00251717" w:rsidRDefault="008A0CAB" w:rsidP="00960D8B">
            <w:pPr>
              <w:rPr>
                <w:rFonts w:ascii="Times New Roman" w:hAnsi="Times New Roman" w:cs="Times New Roman"/>
                <w:sz w:val="20"/>
                <w:szCs w:val="20"/>
                <w:highlight w:val="green"/>
                <w:vertAlign w:val="superscript"/>
              </w:rPr>
            </w:pPr>
          </w:p>
        </w:tc>
        <w:tc>
          <w:tcPr>
            <w:tcW w:w="29.10pt" w:type="dxa"/>
            <w:noWrap/>
          </w:tcPr>
          <w:p w14:paraId="0697EEA1" w14:textId="77777777" w:rsidR="008A0CAB" w:rsidRPr="00251717" w:rsidRDefault="008A0CAB" w:rsidP="00960D8B">
            <w:pPr>
              <w:rPr>
                <w:rFonts w:ascii="Times New Roman" w:hAnsi="Times New Roman" w:cs="Times New Roman"/>
                <w:sz w:val="20"/>
                <w:szCs w:val="20"/>
                <w:vertAlign w:val="superscript"/>
              </w:rPr>
            </w:pPr>
          </w:p>
        </w:tc>
        <w:tc>
          <w:tcPr>
            <w:tcW w:w="193.60pt" w:type="dxa"/>
            <w:gridSpan w:val="4"/>
            <w:noWrap/>
          </w:tcPr>
          <w:p w14:paraId="0DAA57D4" w14:textId="77777777" w:rsidR="008A0CAB" w:rsidRPr="00251717" w:rsidRDefault="008A0CAB" w:rsidP="00960D8B">
            <w:pPr>
              <w:rPr>
                <w:rFonts w:ascii="Times New Roman" w:hAnsi="Times New Roman" w:cs="Times New Roman"/>
                <w:sz w:val="20"/>
                <w:szCs w:val="20"/>
                <w:vertAlign w:val="superscript"/>
              </w:rPr>
            </w:pPr>
          </w:p>
        </w:tc>
        <w:tc>
          <w:tcPr>
            <w:tcW w:w="51pt" w:type="dxa"/>
            <w:gridSpan w:val="2"/>
          </w:tcPr>
          <w:p w14:paraId="5AF8227A"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noWrap/>
          </w:tcPr>
          <w:p w14:paraId="7C4F8094"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3D7F79D1" w14:textId="77777777" w:rsidTr="00960D8B">
        <w:trPr>
          <w:trHeight w:val="291"/>
        </w:trPr>
        <w:tc>
          <w:tcPr>
            <w:tcW w:w="94.60pt" w:type="dxa"/>
            <w:tcBorders>
              <w:top w:val="nil"/>
              <w:start w:val="nil"/>
              <w:bottom w:val="nil"/>
              <w:end w:val="single" w:sz="4" w:space="0" w:color="auto"/>
            </w:tcBorders>
            <w:noWrap/>
          </w:tcPr>
          <w:p w14:paraId="78B8B5B0"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Use of maize and bean husks (crop residues) during dry season</w:t>
            </w:r>
          </w:p>
        </w:tc>
        <w:tc>
          <w:tcPr>
            <w:tcW w:w="13.15pt" w:type="dxa"/>
            <w:tcBorders>
              <w:top w:val="nil"/>
              <w:start w:val="single" w:sz="4" w:space="0" w:color="auto"/>
              <w:bottom w:val="nil"/>
              <w:end w:val="nil"/>
            </w:tcBorders>
          </w:tcPr>
          <w:p w14:paraId="611F0C3C"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23.50pt" w:type="dxa"/>
            <w:gridSpan w:val="2"/>
            <w:noWrap/>
          </w:tcPr>
          <w:p w14:paraId="7F2537D4" w14:textId="77777777" w:rsidR="008A0CAB" w:rsidRPr="00251717" w:rsidRDefault="008A0CAB" w:rsidP="00960D8B">
            <w:pPr>
              <w:rPr>
                <w:rFonts w:ascii="Times New Roman" w:hAnsi="Times New Roman" w:cs="Times New Roman"/>
                <w:sz w:val="20"/>
                <w:szCs w:val="20"/>
                <w:highlight w:val="green"/>
                <w:vertAlign w:val="superscript"/>
              </w:rPr>
            </w:pPr>
          </w:p>
        </w:tc>
        <w:tc>
          <w:tcPr>
            <w:tcW w:w="29.10pt" w:type="dxa"/>
            <w:noWrap/>
          </w:tcPr>
          <w:p w14:paraId="51DBBEA5" w14:textId="77777777" w:rsidR="008A0CAB" w:rsidRPr="00251717" w:rsidRDefault="008A0CAB" w:rsidP="00960D8B">
            <w:pPr>
              <w:rPr>
                <w:rFonts w:ascii="Times New Roman" w:hAnsi="Times New Roman" w:cs="Times New Roman"/>
                <w:sz w:val="20"/>
                <w:szCs w:val="20"/>
                <w:vertAlign w:val="superscript"/>
              </w:rPr>
            </w:pPr>
          </w:p>
        </w:tc>
        <w:tc>
          <w:tcPr>
            <w:tcW w:w="193.60pt" w:type="dxa"/>
            <w:gridSpan w:val="4"/>
            <w:noWrap/>
          </w:tcPr>
          <w:p w14:paraId="762D98E1" w14:textId="77777777" w:rsidR="008A0CAB" w:rsidRPr="00251717" w:rsidRDefault="008A0CAB" w:rsidP="00960D8B">
            <w:pPr>
              <w:rPr>
                <w:rFonts w:ascii="Times New Roman" w:hAnsi="Times New Roman" w:cs="Times New Roman"/>
                <w:sz w:val="20"/>
                <w:szCs w:val="20"/>
                <w:vertAlign w:val="superscript"/>
              </w:rPr>
            </w:pPr>
          </w:p>
        </w:tc>
        <w:tc>
          <w:tcPr>
            <w:tcW w:w="51pt" w:type="dxa"/>
            <w:gridSpan w:val="2"/>
          </w:tcPr>
          <w:p w14:paraId="4E4EE0E1"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noWrap/>
          </w:tcPr>
          <w:p w14:paraId="4315FC5E"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7DB4ED6C"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5E710E55"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color w:val="000000" w:themeColor="text1"/>
                <w:sz w:val="20"/>
                <w:szCs w:val="20"/>
              </w:rPr>
              <w:t>Harvesting/storing wild grass</w:t>
            </w:r>
          </w:p>
        </w:tc>
        <w:tc>
          <w:tcPr>
            <w:tcW w:w="34.55pt" w:type="dxa"/>
            <w:gridSpan w:val="2"/>
            <w:tcBorders>
              <w:top w:val="nil"/>
              <w:start w:val="single" w:sz="4" w:space="0" w:color="auto"/>
              <w:bottom w:val="nil"/>
              <w:end w:val="nil"/>
            </w:tcBorders>
            <w:hideMark/>
          </w:tcPr>
          <w:p w14:paraId="323FB0B1"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506A39A9"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1</w:t>
            </w:r>
          </w:p>
        </w:tc>
        <w:tc>
          <w:tcPr>
            <w:tcW w:w="45.15pt" w:type="dxa"/>
            <w:noWrap/>
            <w:hideMark/>
          </w:tcPr>
          <w:p w14:paraId="1632ED8D"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noWrap/>
            <w:hideMark/>
          </w:tcPr>
          <w:p w14:paraId="3ACFF5F1"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571AEF79"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hideMark/>
          </w:tcPr>
          <w:p w14:paraId="3F61D564"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27442E67"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4C0C0ED4"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2105376E"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Stock sales before drought</w:t>
            </w:r>
          </w:p>
        </w:tc>
        <w:tc>
          <w:tcPr>
            <w:tcW w:w="34.55pt" w:type="dxa"/>
            <w:gridSpan w:val="2"/>
            <w:tcBorders>
              <w:top w:val="nil"/>
              <w:start w:val="single" w:sz="4" w:space="0" w:color="auto"/>
              <w:bottom w:val="nil"/>
              <w:end w:val="nil"/>
            </w:tcBorders>
            <w:hideMark/>
          </w:tcPr>
          <w:p w14:paraId="602C3FB7"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1C9537A2" w14:textId="77777777" w:rsidR="008A0CAB" w:rsidRPr="00251717" w:rsidRDefault="008A0CAB" w:rsidP="00960D8B">
            <w:pPr>
              <w:rPr>
                <w:rFonts w:ascii="Times New Roman" w:hAnsi="Times New Roman" w:cs="Times New Roman"/>
                <w:sz w:val="20"/>
                <w:szCs w:val="20"/>
                <w:vertAlign w:val="superscript"/>
              </w:rPr>
            </w:pPr>
          </w:p>
        </w:tc>
        <w:tc>
          <w:tcPr>
            <w:tcW w:w="45.15pt" w:type="dxa"/>
            <w:noWrap/>
            <w:hideMark/>
          </w:tcPr>
          <w:p w14:paraId="238407C3"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noWrap/>
            <w:hideMark/>
          </w:tcPr>
          <w:p w14:paraId="1B2A8960"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49E4F0EE"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Pr>
          <w:p w14:paraId="6EFBB81E"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49D3590C"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33264060"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05A1C352"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Increase in consumption of veterinary services and products</w:t>
            </w:r>
          </w:p>
        </w:tc>
        <w:tc>
          <w:tcPr>
            <w:tcW w:w="34.55pt" w:type="dxa"/>
            <w:gridSpan w:val="2"/>
            <w:tcBorders>
              <w:top w:val="nil"/>
              <w:start w:val="single" w:sz="4" w:space="0" w:color="auto"/>
              <w:bottom w:val="nil"/>
              <w:end w:val="nil"/>
            </w:tcBorders>
            <w:hideMark/>
          </w:tcPr>
          <w:p w14:paraId="29CECE46"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7DCC10B8"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1</w:t>
            </w:r>
          </w:p>
        </w:tc>
        <w:tc>
          <w:tcPr>
            <w:tcW w:w="45.15pt" w:type="dxa"/>
            <w:noWrap/>
            <w:hideMark/>
          </w:tcPr>
          <w:p w14:paraId="18AA5304"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noWrap/>
            <w:hideMark/>
          </w:tcPr>
          <w:p w14:paraId="593F70C8"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71D68890"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Pr>
          <w:p w14:paraId="4E41E955"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51A146CE"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55029FF7"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5D808029" w14:textId="77777777" w:rsidR="008A0CAB" w:rsidRPr="00251717" w:rsidRDefault="008A0CAB" w:rsidP="00960D8B">
            <w:pPr>
              <w:rPr>
                <w:rFonts w:ascii="Times New Roman" w:hAnsi="Times New Roman" w:cs="Times New Roman"/>
                <w:b/>
                <w:bCs/>
                <w:sz w:val="20"/>
                <w:szCs w:val="20"/>
              </w:rPr>
            </w:pPr>
            <w:r w:rsidRPr="00251717">
              <w:rPr>
                <w:rFonts w:ascii="Times New Roman" w:hAnsi="Times New Roman" w:cs="Times New Roman"/>
                <w:b/>
                <w:bCs/>
                <w:sz w:val="20"/>
                <w:szCs w:val="20"/>
              </w:rPr>
              <w:t xml:space="preserve">CROPS </w:t>
            </w:r>
          </w:p>
        </w:tc>
        <w:tc>
          <w:tcPr>
            <w:tcW w:w="34.55pt" w:type="dxa"/>
            <w:gridSpan w:val="2"/>
            <w:tcBorders>
              <w:top w:val="nil"/>
              <w:start w:val="single" w:sz="4" w:space="0" w:color="auto"/>
              <w:bottom w:val="nil"/>
              <w:end w:val="nil"/>
            </w:tcBorders>
          </w:tcPr>
          <w:p w14:paraId="25C18435" w14:textId="77777777" w:rsidR="008A0CAB" w:rsidRPr="00251717" w:rsidRDefault="008A0CAB" w:rsidP="00960D8B">
            <w:pPr>
              <w:rPr>
                <w:rFonts w:ascii="Times New Roman" w:hAnsi="Times New Roman" w:cs="Times New Roman"/>
                <w:sz w:val="20"/>
                <w:szCs w:val="20"/>
              </w:rPr>
            </w:pPr>
          </w:p>
        </w:tc>
        <w:tc>
          <w:tcPr>
            <w:tcW w:w="43.40pt" w:type="dxa"/>
            <w:gridSpan w:val="3"/>
            <w:noWrap/>
            <w:hideMark/>
          </w:tcPr>
          <w:p w14:paraId="0BF99A88" w14:textId="77777777" w:rsidR="008A0CAB" w:rsidRPr="00251717" w:rsidRDefault="008A0CAB" w:rsidP="00960D8B">
            <w:pPr>
              <w:rPr>
                <w:rFonts w:ascii="Times New Roman" w:hAnsi="Times New Roman" w:cs="Times New Roman"/>
                <w:sz w:val="20"/>
                <w:szCs w:val="20"/>
                <w:vertAlign w:val="superscript"/>
              </w:rPr>
            </w:pPr>
          </w:p>
        </w:tc>
        <w:tc>
          <w:tcPr>
            <w:tcW w:w="45.15pt" w:type="dxa"/>
            <w:noWrap/>
            <w:hideMark/>
          </w:tcPr>
          <w:p w14:paraId="01AA0C81" w14:textId="77777777" w:rsidR="008A0CAB" w:rsidRPr="00251717" w:rsidRDefault="008A0CAB" w:rsidP="00960D8B">
            <w:pPr>
              <w:rPr>
                <w:rFonts w:ascii="Times New Roman" w:hAnsi="Times New Roman" w:cs="Times New Roman"/>
                <w:sz w:val="20"/>
                <w:szCs w:val="20"/>
                <w:vertAlign w:val="superscript"/>
              </w:rPr>
            </w:pPr>
          </w:p>
        </w:tc>
        <w:tc>
          <w:tcPr>
            <w:tcW w:w="129.20pt" w:type="dxa"/>
            <w:noWrap/>
            <w:hideMark/>
          </w:tcPr>
          <w:p w14:paraId="73AE7412"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Pr>
          <w:p w14:paraId="06A7D420"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noWrap/>
            <w:hideMark/>
          </w:tcPr>
          <w:p w14:paraId="6F8178C2"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53F5C3A7"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60BF9960"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 xml:space="preserve">Use of improved crop varieties </w:t>
            </w:r>
          </w:p>
        </w:tc>
        <w:tc>
          <w:tcPr>
            <w:tcW w:w="34.55pt" w:type="dxa"/>
            <w:gridSpan w:val="2"/>
            <w:tcBorders>
              <w:top w:val="nil"/>
              <w:start w:val="single" w:sz="4" w:space="0" w:color="auto"/>
              <w:bottom w:val="nil"/>
              <w:end w:val="nil"/>
            </w:tcBorders>
            <w:hideMark/>
          </w:tcPr>
          <w:p w14:paraId="316BDF21"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125BB402"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2</w:t>
            </w:r>
          </w:p>
        </w:tc>
        <w:tc>
          <w:tcPr>
            <w:tcW w:w="45.15pt" w:type="dxa"/>
            <w:noWrap/>
            <w:hideMark/>
          </w:tcPr>
          <w:p w14:paraId="63155AFC"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4, 5</w:t>
            </w:r>
          </w:p>
        </w:tc>
        <w:tc>
          <w:tcPr>
            <w:tcW w:w="129.20pt" w:type="dxa"/>
            <w:noWrap/>
            <w:hideMark/>
          </w:tcPr>
          <w:p w14:paraId="45506078"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3791BD27"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hideMark/>
          </w:tcPr>
          <w:p w14:paraId="6D1247AC"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 xml:space="preserve">7 </w:t>
            </w:r>
          </w:p>
        </w:tc>
        <w:tc>
          <w:tcPr>
            <w:tcW w:w="49.35pt" w:type="dxa"/>
            <w:gridSpan w:val="2"/>
            <w:noWrap/>
            <w:hideMark/>
          </w:tcPr>
          <w:p w14:paraId="71548EC3"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570DB57D"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165FBE67"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 xml:space="preserve">Agroforestry </w:t>
            </w:r>
          </w:p>
        </w:tc>
        <w:tc>
          <w:tcPr>
            <w:tcW w:w="34.55pt" w:type="dxa"/>
            <w:gridSpan w:val="2"/>
            <w:tcBorders>
              <w:top w:val="nil"/>
              <w:start w:val="single" w:sz="4" w:space="0" w:color="auto"/>
              <w:bottom w:val="nil"/>
              <w:end w:val="nil"/>
            </w:tcBorders>
            <w:hideMark/>
          </w:tcPr>
          <w:p w14:paraId="72183BFF"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26C2A9E3"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3</w:t>
            </w:r>
          </w:p>
        </w:tc>
        <w:tc>
          <w:tcPr>
            <w:tcW w:w="45.15pt" w:type="dxa"/>
            <w:noWrap/>
            <w:hideMark/>
          </w:tcPr>
          <w:p w14:paraId="14FC33DF" w14:textId="77777777" w:rsidR="008A0CAB" w:rsidRPr="00251717" w:rsidRDefault="008A0CAB" w:rsidP="00960D8B">
            <w:pPr>
              <w:rPr>
                <w:rFonts w:ascii="Times New Roman" w:hAnsi="Times New Roman" w:cs="Times New Roman"/>
                <w:sz w:val="20"/>
                <w:szCs w:val="20"/>
                <w:vertAlign w:val="superscript"/>
              </w:rPr>
            </w:pPr>
          </w:p>
        </w:tc>
        <w:tc>
          <w:tcPr>
            <w:tcW w:w="129.20pt" w:type="dxa"/>
            <w:noWrap/>
            <w:hideMark/>
          </w:tcPr>
          <w:p w14:paraId="2A5EB3A7"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0E1EC5A5"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Pr>
          <w:p w14:paraId="4D90F25A"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noWrap/>
            <w:hideMark/>
          </w:tcPr>
          <w:p w14:paraId="4CAE555D"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097875BD"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43F85B0B"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 xml:space="preserve">Irrigation </w:t>
            </w:r>
          </w:p>
        </w:tc>
        <w:tc>
          <w:tcPr>
            <w:tcW w:w="34.55pt" w:type="dxa"/>
            <w:gridSpan w:val="2"/>
            <w:tcBorders>
              <w:top w:val="nil"/>
              <w:start w:val="single" w:sz="4" w:space="0" w:color="auto"/>
              <w:bottom w:val="nil"/>
              <w:end w:val="nil"/>
            </w:tcBorders>
            <w:hideMark/>
          </w:tcPr>
          <w:p w14:paraId="29C99EA6"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36D7FE21" w14:textId="77777777" w:rsidR="008A0CAB" w:rsidRPr="00251717" w:rsidRDefault="008A0CAB" w:rsidP="00960D8B">
            <w:pPr>
              <w:tabs>
                <w:tab w:val="center" w:pos="36.35pt"/>
              </w:tabs>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3</w:t>
            </w:r>
            <w:r w:rsidRPr="00251717">
              <w:rPr>
                <w:rFonts w:ascii="Times New Roman" w:hAnsi="Times New Roman" w:cs="Times New Roman"/>
                <w:sz w:val="20"/>
                <w:szCs w:val="20"/>
                <w:vertAlign w:val="superscript"/>
              </w:rPr>
              <w:tab/>
            </w:r>
          </w:p>
        </w:tc>
        <w:tc>
          <w:tcPr>
            <w:tcW w:w="45.15pt" w:type="dxa"/>
            <w:noWrap/>
            <w:hideMark/>
          </w:tcPr>
          <w:p w14:paraId="173CF7D4"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5</w:t>
            </w:r>
          </w:p>
        </w:tc>
        <w:tc>
          <w:tcPr>
            <w:tcW w:w="129.20pt" w:type="dxa"/>
            <w:noWrap/>
            <w:hideMark/>
          </w:tcPr>
          <w:p w14:paraId="18FC5091"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22AB8845"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Pr>
          <w:p w14:paraId="29977E62"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noWrap/>
            <w:hideMark/>
          </w:tcPr>
          <w:p w14:paraId="33D83BBC"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071A68BB" w14:textId="77777777" w:rsidTr="00960D8B">
        <w:trPr>
          <w:gridAfter w:val="1"/>
          <w:wAfter w:w="18.95pt" w:type="dxa"/>
          <w:trHeight w:val="339"/>
        </w:trPr>
        <w:tc>
          <w:tcPr>
            <w:tcW w:w="94.60pt" w:type="dxa"/>
            <w:tcBorders>
              <w:top w:val="nil"/>
              <w:start w:val="nil"/>
              <w:bottom w:val="nil"/>
              <w:end w:val="single" w:sz="4" w:space="0" w:color="auto"/>
            </w:tcBorders>
            <w:noWrap/>
            <w:hideMark/>
          </w:tcPr>
          <w:p w14:paraId="6D49905A" w14:textId="77777777" w:rsidR="008A0CAB" w:rsidRPr="00251717" w:rsidRDefault="008A0CAB" w:rsidP="00960D8B">
            <w:pPr>
              <w:rPr>
                <w:rFonts w:ascii="Times New Roman" w:hAnsi="Times New Roman" w:cs="Times New Roman"/>
                <w:sz w:val="20"/>
                <w:szCs w:val="20"/>
              </w:rPr>
            </w:pPr>
            <w:bookmarkStart w:id="1" w:name="_Hlk173768053"/>
            <w:r w:rsidRPr="00251717">
              <w:rPr>
                <w:rFonts w:ascii="Times New Roman" w:hAnsi="Times New Roman" w:cs="Times New Roman"/>
                <w:sz w:val="20"/>
                <w:szCs w:val="20"/>
              </w:rPr>
              <w:t xml:space="preserve">Early planting </w:t>
            </w:r>
          </w:p>
        </w:tc>
        <w:tc>
          <w:tcPr>
            <w:tcW w:w="34.55pt" w:type="dxa"/>
            <w:gridSpan w:val="2"/>
            <w:tcBorders>
              <w:top w:val="nil"/>
              <w:start w:val="single" w:sz="4" w:space="0" w:color="auto"/>
              <w:bottom w:val="nil"/>
              <w:end w:val="nil"/>
            </w:tcBorders>
            <w:hideMark/>
          </w:tcPr>
          <w:p w14:paraId="3A33AB7B"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6B465EFA"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1</w:t>
            </w:r>
          </w:p>
        </w:tc>
        <w:tc>
          <w:tcPr>
            <w:tcW w:w="45.15pt" w:type="dxa"/>
            <w:noWrap/>
            <w:hideMark/>
          </w:tcPr>
          <w:p w14:paraId="05B6A019" w14:textId="77777777" w:rsidR="008A0CAB" w:rsidRPr="00251717" w:rsidRDefault="008A0CAB" w:rsidP="00960D8B">
            <w:pPr>
              <w:rPr>
                <w:rFonts w:ascii="Times New Roman" w:hAnsi="Times New Roman" w:cs="Times New Roman"/>
                <w:sz w:val="20"/>
                <w:szCs w:val="20"/>
                <w:vertAlign w:val="superscript"/>
              </w:rPr>
            </w:pPr>
          </w:p>
        </w:tc>
        <w:tc>
          <w:tcPr>
            <w:tcW w:w="129.20pt" w:type="dxa"/>
            <w:noWrap/>
            <w:hideMark/>
          </w:tcPr>
          <w:p w14:paraId="4A289B8D"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6</w:t>
            </w:r>
            <w:r w:rsidRPr="00251717">
              <w:rPr>
                <w:rFonts w:ascii="Times New Roman" w:hAnsi="Times New Roman" w:cs="Times New Roman"/>
                <w:sz w:val="20"/>
                <w:szCs w:val="20"/>
                <w:vertAlign w:val="superscript"/>
              </w:rPr>
              <w:fldChar w:fldCharType="begin" w:fldLock="1"/>
            </w:r>
            <w:r>
              <w:rPr>
                <w:rFonts w:ascii="Times New Roman" w:hAnsi="Times New Roman" w:cs="Times New Roman"/>
                <w:sz w:val="20"/>
                <w:szCs w:val="20"/>
                <w:vertAlign w:val="superscript"/>
                <w:lang w:val="es-ES_tradnl"/>
              </w:rPr>
              <w:instrText>ADDIN CSL_CITATION {"citationItems":[{"id":"ITEM-1","itemData":{"DOI":"10.1016/B978-0-12-812624-0.00004-1","ISBN":"9780128126257","abstract":"The unpredictable rains and droughts in the Kigezi Highlands of Uganda have been attributed to a changing climate. This chapter presents findings of a study that explored the adaptation and coping strategies under climate change and variability in the Kigezi Highlands by rural farmers for enhanced agricultural productivity and conservation of natural resources. The chapter particularly explores perceptions of rural farmers of climate change and variability, the types of crops they grow, and planting times. A total of 199 respondents were involved from the two subcounties Muko and Bufundi in Kabale District. Household questionnaires, focus group discussions, and interviews with key informants were conducted. Data on crops grown and their calendars were collected in two successive planting seasons of the years 2012 and 2013. The findings showed that rural farmers in the area have experienced significant impacts of climate change and variability, and they practice elaborate adaptation and coping strategies in response, including planting quickly maturing, improved crop varieties; practicing small-scale irrigation; and varying planting dates.","author":[{"dropping-particle":"","family":"Twagiramaria","given":"Fortunate","non-dropping-particle":"","parse-names":false,"suffix":""},{"dropping-particle":"","family":"Tolo","given":"Casim U.","non-dropping-particle":"","parse-names":false,"suffix":""},{"dropping-particle":"","family":"Zinyengere","given":"Nkulumo","non-dropping-particle":"","parse-names":false,"suffix":""}],"container-title":"Beyond Agricultural Impacts: Multiple Perspectives on Climate Change and Agriculture in Africa","id":"ITEM-1","issued":{"date-parts":[["2018"]]},"title":"Adaptation to and Coping Strategies for Climate Change and Variability by Rural Farmers in Kigezi Highlands, Uganda","type":"chapter"},"uris":["http://www.mendeley.com/documents/?uuid=df4c59f7-da80-4ffa-9dbb-e04b62192699","http://www.mendeley.com/documents/?uuid=c84fb45f-545a-4028-af5e-b3c7da6c140b"]}],"mendeley":{"formattedCitation":"[59]","plainTextFormattedCitation":"[59]","previouslyFormattedCitation":"[59]"},"properties":{"noteIndex":0},"schema":"https://github.com/citation-style-language/schema/raw/master/csl-citation.json"}</w:instrText>
            </w:r>
            <w:r w:rsidRPr="00251717">
              <w:rPr>
                <w:rFonts w:ascii="Times New Roman" w:hAnsi="Times New Roman" w:cs="Times New Roman"/>
                <w:sz w:val="20"/>
                <w:szCs w:val="20"/>
                <w:vertAlign w:val="superscript"/>
              </w:rPr>
              <w:fldChar w:fldCharType="end"/>
            </w:r>
            <w:r>
              <w:rPr>
                <w:rFonts w:ascii="Times New Roman" w:hAnsi="Times New Roman" w:cs="Times New Roman"/>
                <w:sz w:val="20"/>
                <w:szCs w:val="20"/>
                <w:vertAlign w:val="superscript"/>
              </w:rPr>
              <w:t>[59]</w:t>
            </w:r>
          </w:p>
        </w:tc>
        <w:tc>
          <w:tcPr>
            <w:tcW w:w="39.10pt" w:type="dxa"/>
            <w:gridSpan w:val="2"/>
            <w:hideMark/>
          </w:tcPr>
          <w:p w14:paraId="12E43A1B"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5895D508"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bookmarkEnd w:id="1"/>
      <w:tr w:rsidR="008A0CAB" w:rsidRPr="00251717" w14:paraId="1A5F8CD6"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1B3072BA"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Increasing number of seeds planted per unit area</w:t>
            </w:r>
          </w:p>
        </w:tc>
        <w:tc>
          <w:tcPr>
            <w:tcW w:w="34.55pt" w:type="dxa"/>
            <w:gridSpan w:val="2"/>
            <w:tcBorders>
              <w:top w:val="nil"/>
              <w:start w:val="single" w:sz="4" w:space="0" w:color="auto"/>
              <w:bottom w:val="nil"/>
              <w:end w:val="nil"/>
            </w:tcBorders>
            <w:hideMark/>
          </w:tcPr>
          <w:p w14:paraId="2CAE042A"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2AE29ABF"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1</w:t>
            </w:r>
          </w:p>
        </w:tc>
        <w:tc>
          <w:tcPr>
            <w:tcW w:w="45.15pt" w:type="dxa"/>
            <w:noWrap/>
            <w:hideMark/>
          </w:tcPr>
          <w:p w14:paraId="525762E8" w14:textId="77777777" w:rsidR="008A0CAB" w:rsidRPr="00251717" w:rsidRDefault="008A0CAB" w:rsidP="00960D8B">
            <w:pPr>
              <w:rPr>
                <w:rFonts w:ascii="Times New Roman" w:hAnsi="Times New Roman" w:cs="Times New Roman"/>
                <w:sz w:val="20"/>
                <w:szCs w:val="20"/>
                <w:vertAlign w:val="superscript"/>
              </w:rPr>
            </w:pPr>
          </w:p>
        </w:tc>
        <w:tc>
          <w:tcPr>
            <w:tcW w:w="129.20pt" w:type="dxa"/>
            <w:noWrap/>
            <w:hideMark/>
          </w:tcPr>
          <w:p w14:paraId="7D7A5018"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Pr>
          <w:p w14:paraId="585FA58C"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noWrap/>
            <w:hideMark/>
          </w:tcPr>
          <w:p w14:paraId="685EDD60"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6916D6EE"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5EAAA2DD"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Use of soil and water conservation techniques</w:t>
            </w:r>
          </w:p>
        </w:tc>
        <w:tc>
          <w:tcPr>
            <w:tcW w:w="34.55pt" w:type="dxa"/>
            <w:gridSpan w:val="2"/>
            <w:tcBorders>
              <w:top w:val="nil"/>
              <w:start w:val="single" w:sz="4" w:space="0" w:color="auto"/>
              <w:bottom w:val="nil"/>
              <w:end w:val="nil"/>
            </w:tcBorders>
            <w:hideMark/>
          </w:tcPr>
          <w:p w14:paraId="5336F02B"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7DA8936F"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2,3</w:t>
            </w:r>
          </w:p>
        </w:tc>
        <w:tc>
          <w:tcPr>
            <w:tcW w:w="45.15pt" w:type="dxa"/>
            <w:noWrap/>
            <w:hideMark/>
          </w:tcPr>
          <w:p w14:paraId="472D0628"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5</w:t>
            </w:r>
          </w:p>
        </w:tc>
        <w:tc>
          <w:tcPr>
            <w:tcW w:w="129.20pt" w:type="dxa"/>
            <w:noWrap/>
            <w:hideMark/>
          </w:tcPr>
          <w:p w14:paraId="2551F7B0"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5497D588"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hideMark/>
          </w:tcPr>
          <w:p w14:paraId="5FE79DE4"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53A12BB6"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38C3D3D0"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2C40654B"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Increase in use of inorganic fertilizers</w:t>
            </w:r>
          </w:p>
        </w:tc>
        <w:tc>
          <w:tcPr>
            <w:tcW w:w="34.55pt" w:type="dxa"/>
            <w:gridSpan w:val="2"/>
            <w:tcBorders>
              <w:top w:val="nil"/>
              <w:start w:val="single" w:sz="4" w:space="0" w:color="auto"/>
              <w:bottom w:val="nil"/>
              <w:end w:val="nil"/>
            </w:tcBorders>
            <w:hideMark/>
          </w:tcPr>
          <w:p w14:paraId="3D7AB940"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28219F46"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2</w:t>
            </w:r>
          </w:p>
        </w:tc>
        <w:tc>
          <w:tcPr>
            <w:tcW w:w="45.15pt" w:type="dxa"/>
            <w:noWrap/>
            <w:hideMark/>
          </w:tcPr>
          <w:p w14:paraId="2CE7FDCC"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5</w:t>
            </w:r>
          </w:p>
        </w:tc>
        <w:tc>
          <w:tcPr>
            <w:tcW w:w="129.20pt" w:type="dxa"/>
            <w:noWrap/>
            <w:hideMark/>
          </w:tcPr>
          <w:p w14:paraId="5B004BE1"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 xml:space="preserve">6 </w:t>
            </w:r>
          </w:p>
        </w:tc>
        <w:tc>
          <w:tcPr>
            <w:tcW w:w="39.10pt" w:type="dxa"/>
            <w:gridSpan w:val="2"/>
            <w:hideMark/>
          </w:tcPr>
          <w:p w14:paraId="356BEF99"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08D399E6"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290E9449"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4BA1A270"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 xml:space="preserve">Use of pesticides </w:t>
            </w:r>
          </w:p>
        </w:tc>
        <w:tc>
          <w:tcPr>
            <w:tcW w:w="34.55pt" w:type="dxa"/>
            <w:gridSpan w:val="2"/>
            <w:tcBorders>
              <w:top w:val="nil"/>
              <w:start w:val="single" w:sz="4" w:space="0" w:color="auto"/>
              <w:bottom w:val="nil"/>
              <w:end w:val="nil"/>
            </w:tcBorders>
            <w:hideMark/>
          </w:tcPr>
          <w:p w14:paraId="12E16E4B"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6D50F149"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2</w:t>
            </w:r>
          </w:p>
        </w:tc>
        <w:tc>
          <w:tcPr>
            <w:tcW w:w="45.15pt" w:type="dxa"/>
            <w:noWrap/>
            <w:hideMark/>
          </w:tcPr>
          <w:p w14:paraId="554566A5" w14:textId="77777777" w:rsidR="008A0CAB" w:rsidRPr="00251717" w:rsidRDefault="008A0CAB" w:rsidP="00960D8B">
            <w:pPr>
              <w:rPr>
                <w:rFonts w:ascii="Times New Roman" w:hAnsi="Times New Roman" w:cs="Times New Roman"/>
                <w:sz w:val="20"/>
                <w:szCs w:val="20"/>
                <w:vertAlign w:val="superscript"/>
              </w:rPr>
            </w:pPr>
          </w:p>
        </w:tc>
        <w:tc>
          <w:tcPr>
            <w:tcW w:w="129.20pt" w:type="dxa"/>
            <w:noWrap/>
            <w:hideMark/>
          </w:tcPr>
          <w:p w14:paraId="627F9BC9"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 xml:space="preserve">6 </w:t>
            </w:r>
          </w:p>
        </w:tc>
        <w:tc>
          <w:tcPr>
            <w:tcW w:w="39.10pt" w:type="dxa"/>
            <w:gridSpan w:val="2"/>
            <w:hideMark/>
          </w:tcPr>
          <w:p w14:paraId="548851AC"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0CB223A8"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62A523E0"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2F5B8D76" w14:textId="77777777" w:rsidR="008A0CAB" w:rsidRPr="00251717" w:rsidRDefault="008A0CAB" w:rsidP="00960D8B">
            <w:pPr>
              <w:rPr>
                <w:rFonts w:ascii="Times New Roman" w:hAnsi="Times New Roman" w:cs="Times New Roman"/>
                <w:b/>
                <w:bCs/>
                <w:sz w:val="20"/>
                <w:szCs w:val="20"/>
              </w:rPr>
            </w:pPr>
            <w:r w:rsidRPr="00251717">
              <w:rPr>
                <w:rFonts w:ascii="Times New Roman" w:hAnsi="Times New Roman" w:cs="Times New Roman"/>
                <w:b/>
                <w:bCs/>
                <w:sz w:val="20"/>
                <w:szCs w:val="20"/>
              </w:rPr>
              <w:t>OTHERS</w:t>
            </w:r>
          </w:p>
        </w:tc>
        <w:tc>
          <w:tcPr>
            <w:tcW w:w="34.55pt" w:type="dxa"/>
            <w:gridSpan w:val="2"/>
            <w:tcBorders>
              <w:top w:val="nil"/>
              <w:start w:val="single" w:sz="4" w:space="0" w:color="auto"/>
              <w:bottom w:val="nil"/>
              <w:end w:val="nil"/>
            </w:tcBorders>
          </w:tcPr>
          <w:p w14:paraId="664EB2A5" w14:textId="77777777" w:rsidR="008A0CAB" w:rsidRPr="00251717" w:rsidRDefault="008A0CAB" w:rsidP="00960D8B">
            <w:pPr>
              <w:rPr>
                <w:rFonts w:ascii="Times New Roman" w:hAnsi="Times New Roman" w:cs="Times New Roman"/>
                <w:sz w:val="20"/>
                <w:szCs w:val="20"/>
              </w:rPr>
            </w:pPr>
          </w:p>
        </w:tc>
        <w:tc>
          <w:tcPr>
            <w:tcW w:w="43.40pt" w:type="dxa"/>
            <w:gridSpan w:val="3"/>
            <w:noWrap/>
            <w:hideMark/>
          </w:tcPr>
          <w:p w14:paraId="7428486B" w14:textId="77777777" w:rsidR="008A0CAB" w:rsidRPr="00251717" w:rsidRDefault="008A0CAB" w:rsidP="00960D8B">
            <w:pPr>
              <w:rPr>
                <w:rFonts w:ascii="Times New Roman" w:hAnsi="Times New Roman" w:cs="Times New Roman"/>
                <w:sz w:val="20"/>
                <w:szCs w:val="20"/>
                <w:vertAlign w:val="superscript"/>
              </w:rPr>
            </w:pPr>
          </w:p>
        </w:tc>
        <w:tc>
          <w:tcPr>
            <w:tcW w:w="45.15pt" w:type="dxa"/>
            <w:noWrap/>
            <w:hideMark/>
          </w:tcPr>
          <w:p w14:paraId="486F20F7" w14:textId="77777777" w:rsidR="008A0CAB" w:rsidRPr="00251717" w:rsidRDefault="008A0CAB" w:rsidP="00960D8B">
            <w:pPr>
              <w:rPr>
                <w:rFonts w:ascii="Times New Roman" w:hAnsi="Times New Roman" w:cs="Times New Roman"/>
                <w:sz w:val="20"/>
                <w:szCs w:val="20"/>
                <w:vertAlign w:val="superscript"/>
              </w:rPr>
            </w:pPr>
          </w:p>
        </w:tc>
        <w:tc>
          <w:tcPr>
            <w:tcW w:w="129.20pt" w:type="dxa"/>
            <w:noWrap/>
            <w:hideMark/>
          </w:tcPr>
          <w:p w14:paraId="6A507361"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Pr>
          <w:p w14:paraId="2B672D4D"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noWrap/>
            <w:hideMark/>
          </w:tcPr>
          <w:p w14:paraId="3041AD61"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05310232"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745E26B5"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Adoption of crop production</w:t>
            </w:r>
          </w:p>
        </w:tc>
        <w:tc>
          <w:tcPr>
            <w:tcW w:w="34.55pt" w:type="dxa"/>
            <w:gridSpan w:val="2"/>
            <w:tcBorders>
              <w:top w:val="nil"/>
              <w:start w:val="single" w:sz="4" w:space="0" w:color="auto"/>
              <w:bottom w:val="nil"/>
              <w:end w:val="nil"/>
            </w:tcBorders>
            <w:hideMark/>
          </w:tcPr>
          <w:p w14:paraId="5AFFE1E4"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2589D6A6" w14:textId="77777777" w:rsidR="008A0CAB" w:rsidRPr="00251717" w:rsidRDefault="008A0CAB" w:rsidP="00960D8B">
            <w:pPr>
              <w:rPr>
                <w:rFonts w:ascii="Times New Roman" w:hAnsi="Times New Roman" w:cs="Times New Roman"/>
                <w:sz w:val="20"/>
                <w:szCs w:val="20"/>
                <w:vertAlign w:val="superscript"/>
              </w:rPr>
            </w:pPr>
          </w:p>
        </w:tc>
        <w:tc>
          <w:tcPr>
            <w:tcW w:w="45.15pt" w:type="dxa"/>
            <w:noWrap/>
            <w:hideMark/>
          </w:tcPr>
          <w:p w14:paraId="33FC6A95"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noWrap/>
            <w:hideMark/>
          </w:tcPr>
          <w:p w14:paraId="7591AC85"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hideMark/>
          </w:tcPr>
          <w:p w14:paraId="709454B6"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0582C7A0"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2B483C18"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442DED10"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Diversification of economic activities</w:t>
            </w:r>
          </w:p>
        </w:tc>
        <w:tc>
          <w:tcPr>
            <w:tcW w:w="34.55pt" w:type="dxa"/>
            <w:gridSpan w:val="2"/>
            <w:tcBorders>
              <w:top w:val="nil"/>
              <w:start w:val="single" w:sz="4" w:space="0" w:color="auto"/>
              <w:bottom w:val="nil"/>
              <w:end w:val="nil"/>
            </w:tcBorders>
            <w:hideMark/>
          </w:tcPr>
          <w:p w14:paraId="30EC61CB"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7770808F" w14:textId="77777777" w:rsidR="008A0CAB" w:rsidRPr="00251717" w:rsidRDefault="008A0CAB" w:rsidP="00960D8B">
            <w:pPr>
              <w:rPr>
                <w:rFonts w:ascii="Times New Roman" w:hAnsi="Times New Roman" w:cs="Times New Roman"/>
                <w:sz w:val="20"/>
                <w:szCs w:val="20"/>
                <w:vertAlign w:val="superscript"/>
              </w:rPr>
            </w:pPr>
          </w:p>
        </w:tc>
        <w:tc>
          <w:tcPr>
            <w:tcW w:w="45.15pt" w:type="dxa"/>
            <w:noWrap/>
            <w:hideMark/>
          </w:tcPr>
          <w:p w14:paraId="3200E9A8"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noWrap/>
            <w:hideMark/>
          </w:tcPr>
          <w:p w14:paraId="6810A7AC"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61FD62ED"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hideMark/>
          </w:tcPr>
          <w:p w14:paraId="50C8F816"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48E2439A"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57535E28"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0D3633B2"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 xml:space="preserve">Fetching fuel wood and selling it </w:t>
            </w:r>
          </w:p>
        </w:tc>
        <w:tc>
          <w:tcPr>
            <w:tcW w:w="34.55pt" w:type="dxa"/>
            <w:gridSpan w:val="2"/>
            <w:tcBorders>
              <w:top w:val="nil"/>
              <w:start w:val="single" w:sz="4" w:space="0" w:color="auto"/>
              <w:bottom w:val="nil"/>
              <w:end w:val="nil"/>
            </w:tcBorders>
            <w:hideMark/>
          </w:tcPr>
          <w:p w14:paraId="7369F85F"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436A4401" w14:textId="77777777" w:rsidR="008A0CAB" w:rsidRPr="00251717" w:rsidRDefault="008A0CAB" w:rsidP="00960D8B">
            <w:pPr>
              <w:rPr>
                <w:rFonts w:ascii="Times New Roman" w:hAnsi="Times New Roman" w:cs="Times New Roman"/>
                <w:sz w:val="20"/>
                <w:szCs w:val="20"/>
                <w:vertAlign w:val="superscript"/>
              </w:rPr>
            </w:pPr>
          </w:p>
        </w:tc>
        <w:tc>
          <w:tcPr>
            <w:tcW w:w="45.15pt" w:type="dxa"/>
            <w:noWrap/>
            <w:hideMark/>
          </w:tcPr>
          <w:p w14:paraId="5EBFBEFE"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noWrap/>
            <w:hideMark/>
          </w:tcPr>
          <w:p w14:paraId="7D0EEDF0"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hideMark/>
          </w:tcPr>
          <w:p w14:paraId="40CAFDF5"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467D7DE4"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34DE2D0A"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34500590"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 xml:space="preserve">Selling honey and other forest products </w:t>
            </w:r>
          </w:p>
        </w:tc>
        <w:tc>
          <w:tcPr>
            <w:tcW w:w="34.55pt" w:type="dxa"/>
            <w:gridSpan w:val="2"/>
            <w:tcBorders>
              <w:top w:val="nil"/>
              <w:start w:val="single" w:sz="4" w:space="0" w:color="auto"/>
              <w:bottom w:val="nil"/>
              <w:end w:val="nil"/>
            </w:tcBorders>
            <w:hideMark/>
          </w:tcPr>
          <w:p w14:paraId="7CF247C4"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noWrap/>
            <w:hideMark/>
          </w:tcPr>
          <w:p w14:paraId="75B81DF7" w14:textId="77777777" w:rsidR="008A0CAB" w:rsidRPr="00251717" w:rsidRDefault="008A0CAB" w:rsidP="00960D8B">
            <w:pPr>
              <w:rPr>
                <w:rFonts w:ascii="Times New Roman" w:hAnsi="Times New Roman" w:cs="Times New Roman"/>
                <w:sz w:val="20"/>
                <w:szCs w:val="20"/>
                <w:vertAlign w:val="superscript"/>
              </w:rPr>
            </w:pPr>
          </w:p>
        </w:tc>
        <w:tc>
          <w:tcPr>
            <w:tcW w:w="45.15pt" w:type="dxa"/>
            <w:noWrap/>
            <w:hideMark/>
          </w:tcPr>
          <w:p w14:paraId="33627EFF"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noWrap/>
            <w:hideMark/>
          </w:tcPr>
          <w:p w14:paraId="64AED6A0"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226C97BC"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hideMark/>
          </w:tcPr>
          <w:p w14:paraId="3B05D872"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noWrap/>
            <w:hideMark/>
          </w:tcPr>
          <w:p w14:paraId="6A4D5C63"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1890D6C3" w14:textId="77777777" w:rsidTr="00960D8B">
        <w:trPr>
          <w:gridAfter w:val="1"/>
          <w:wAfter w:w="18.95pt" w:type="dxa"/>
          <w:trHeight w:val="291"/>
        </w:trPr>
        <w:tc>
          <w:tcPr>
            <w:tcW w:w="94.60pt" w:type="dxa"/>
            <w:tcBorders>
              <w:top w:val="nil"/>
              <w:start w:val="nil"/>
              <w:bottom w:val="nil"/>
              <w:end w:val="single" w:sz="4" w:space="0" w:color="auto"/>
            </w:tcBorders>
            <w:noWrap/>
            <w:hideMark/>
          </w:tcPr>
          <w:p w14:paraId="4A72A1C3"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lastRenderedPageBreak/>
              <w:t>Increase in education for job access</w:t>
            </w:r>
          </w:p>
        </w:tc>
        <w:tc>
          <w:tcPr>
            <w:tcW w:w="34.55pt" w:type="dxa"/>
            <w:gridSpan w:val="2"/>
            <w:tcBorders>
              <w:top w:val="nil"/>
              <w:start w:val="single" w:sz="4" w:space="0" w:color="auto"/>
              <w:bottom w:val="nil"/>
              <w:end w:val="nil"/>
            </w:tcBorders>
            <w:hideMark/>
          </w:tcPr>
          <w:p w14:paraId="2AB49A78"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tcBorders>
              <w:top w:val="nil"/>
              <w:start w:val="nil"/>
              <w:bottom w:val="nil"/>
              <w:end w:val="nil"/>
            </w:tcBorders>
            <w:noWrap/>
            <w:hideMark/>
          </w:tcPr>
          <w:p w14:paraId="6D96C542" w14:textId="77777777" w:rsidR="008A0CAB" w:rsidRPr="00251717" w:rsidRDefault="008A0CAB" w:rsidP="00960D8B">
            <w:pPr>
              <w:rPr>
                <w:rFonts w:ascii="Times New Roman" w:hAnsi="Times New Roman" w:cs="Times New Roman"/>
                <w:sz w:val="20"/>
                <w:szCs w:val="20"/>
                <w:vertAlign w:val="superscript"/>
              </w:rPr>
            </w:pPr>
          </w:p>
        </w:tc>
        <w:tc>
          <w:tcPr>
            <w:tcW w:w="45.15pt" w:type="dxa"/>
            <w:tcBorders>
              <w:top w:val="nil"/>
              <w:start w:val="nil"/>
              <w:bottom w:val="nil"/>
              <w:end w:val="nil"/>
            </w:tcBorders>
            <w:noWrap/>
            <w:hideMark/>
          </w:tcPr>
          <w:p w14:paraId="4C1A62BF"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4</w:t>
            </w:r>
          </w:p>
        </w:tc>
        <w:tc>
          <w:tcPr>
            <w:tcW w:w="129.20pt" w:type="dxa"/>
            <w:tcBorders>
              <w:top w:val="nil"/>
              <w:start w:val="nil"/>
              <w:bottom w:val="nil"/>
              <w:end w:val="nil"/>
            </w:tcBorders>
            <w:noWrap/>
            <w:hideMark/>
          </w:tcPr>
          <w:p w14:paraId="2B4B1746"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Borders>
              <w:top w:val="nil"/>
              <w:start w:val="nil"/>
              <w:bottom w:val="nil"/>
              <w:end w:val="nil"/>
            </w:tcBorders>
          </w:tcPr>
          <w:p w14:paraId="7AC8A2C1"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tcBorders>
              <w:top w:val="nil"/>
              <w:start w:val="nil"/>
              <w:bottom w:val="nil"/>
              <w:end w:val="nil"/>
            </w:tcBorders>
            <w:noWrap/>
            <w:hideMark/>
          </w:tcPr>
          <w:p w14:paraId="7E18CD81" w14:textId="77777777" w:rsidR="008A0CAB" w:rsidRPr="00251717" w:rsidRDefault="008A0CAB" w:rsidP="00960D8B">
            <w:pPr>
              <w:rPr>
                <w:rFonts w:ascii="Times New Roman" w:hAnsi="Times New Roman" w:cs="Times New Roman"/>
                <w:sz w:val="20"/>
                <w:szCs w:val="20"/>
                <w:vertAlign w:val="superscript"/>
              </w:rPr>
            </w:pPr>
          </w:p>
        </w:tc>
      </w:tr>
      <w:tr w:rsidR="008A0CAB" w:rsidRPr="00251717" w14:paraId="3EBC5A47" w14:textId="77777777" w:rsidTr="00960D8B">
        <w:trPr>
          <w:gridAfter w:val="1"/>
          <w:wAfter w:w="18.95pt" w:type="dxa"/>
          <w:trHeight w:val="291"/>
        </w:trPr>
        <w:tc>
          <w:tcPr>
            <w:tcW w:w="94.60pt" w:type="dxa"/>
            <w:tcBorders>
              <w:top w:val="nil"/>
              <w:start w:val="nil"/>
              <w:bottom w:val="nil"/>
              <w:end w:val="single" w:sz="4" w:space="0" w:color="auto"/>
            </w:tcBorders>
            <w:noWrap/>
          </w:tcPr>
          <w:p w14:paraId="078BA4ED"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Borrowing money/loans</w:t>
            </w:r>
          </w:p>
          <w:p w14:paraId="1342C06A" w14:textId="77777777" w:rsidR="008A0CAB" w:rsidRPr="00251717" w:rsidRDefault="008A0CAB" w:rsidP="00960D8B">
            <w:pPr>
              <w:rPr>
                <w:rFonts w:ascii="Times New Roman" w:hAnsi="Times New Roman" w:cs="Times New Roman"/>
                <w:sz w:val="20"/>
                <w:szCs w:val="20"/>
              </w:rPr>
            </w:pPr>
          </w:p>
        </w:tc>
        <w:tc>
          <w:tcPr>
            <w:tcW w:w="34.55pt" w:type="dxa"/>
            <w:gridSpan w:val="2"/>
            <w:tcBorders>
              <w:top w:val="nil"/>
              <w:start w:val="single" w:sz="4" w:space="0" w:color="auto"/>
              <w:bottom w:val="nil"/>
              <w:end w:val="nil"/>
            </w:tcBorders>
          </w:tcPr>
          <w:p w14:paraId="02DC4B59"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w:t>
            </w:r>
          </w:p>
        </w:tc>
        <w:tc>
          <w:tcPr>
            <w:tcW w:w="43.40pt" w:type="dxa"/>
            <w:gridSpan w:val="3"/>
            <w:tcBorders>
              <w:top w:val="nil"/>
              <w:start w:val="nil"/>
              <w:bottom w:val="nil"/>
              <w:end w:val="nil"/>
            </w:tcBorders>
            <w:noWrap/>
          </w:tcPr>
          <w:p w14:paraId="58434895"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1</w:t>
            </w:r>
          </w:p>
        </w:tc>
        <w:tc>
          <w:tcPr>
            <w:tcW w:w="45.15pt" w:type="dxa"/>
            <w:tcBorders>
              <w:top w:val="nil"/>
              <w:start w:val="nil"/>
              <w:bottom w:val="nil"/>
              <w:end w:val="nil"/>
            </w:tcBorders>
            <w:noWrap/>
          </w:tcPr>
          <w:p w14:paraId="28445F43" w14:textId="77777777" w:rsidR="008A0CAB" w:rsidRPr="00251717" w:rsidRDefault="008A0CAB" w:rsidP="00960D8B">
            <w:pPr>
              <w:rPr>
                <w:rFonts w:ascii="Times New Roman" w:hAnsi="Times New Roman" w:cs="Times New Roman"/>
                <w:sz w:val="20"/>
                <w:szCs w:val="20"/>
                <w:vertAlign w:val="superscript"/>
              </w:rPr>
            </w:pPr>
          </w:p>
        </w:tc>
        <w:tc>
          <w:tcPr>
            <w:tcW w:w="129.20pt" w:type="dxa"/>
            <w:tcBorders>
              <w:top w:val="nil"/>
              <w:start w:val="nil"/>
              <w:bottom w:val="nil"/>
              <w:end w:val="nil"/>
            </w:tcBorders>
            <w:noWrap/>
          </w:tcPr>
          <w:p w14:paraId="620763BB" w14:textId="77777777" w:rsidR="008A0CAB" w:rsidRPr="00251717" w:rsidRDefault="008A0CAB" w:rsidP="00960D8B">
            <w:pPr>
              <w:rPr>
                <w:rFonts w:ascii="Times New Roman" w:hAnsi="Times New Roman" w:cs="Times New Roman"/>
                <w:sz w:val="20"/>
                <w:szCs w:val="20"/>
                <w:vertAlign w:val="superscript"/>
                <w:lang w:val="es-ES_tradnl"/>
              </w:rPr>
            </w:pPr>
            <w:r w:rsidRPr="00251717">
              <w:rPr>
                <w:rFonts w:ascii="Times New Roman" w:hAnsi="Times New Roman" w:cs="Times New Roman"/>
                <w:sz w:val="20"/>
                <w:szCs w:val="20"/>
                <w:vertAlign w:val="superscript"/>
              </w:rPr>
              <w:t>6</w:t>
            </w:r>
          </w:p>
          <w:p w14:paraId="5089E755"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Borders>
              <w:top w:val="nil"/>
              <w:start w:val="nil"/>
              <w:bottom w:val="nil"/>
              <w:end w:val="nil"/>
            </w:tcBorders>
          </w:tcPr>
          <w:p w14:paraId="557C7F05"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7</w:t>
            </w:r>
          </w:p>
        </w:tc>
        <w:tc>
          <w:tcPr>
            <w:tcW w:w="49.35pt" w:type="dxa"/>
            <w:gridSpan w:val="2"/>
            <w:tcBorders>
              <w:top w:val="nil"/>
              <w:start w:val="nil"/>
              <w:bottom w:val="nil"/>
              <w:end w:val="nil"/>
            </w:tcBorders>
            <w:noWrap/>
          </w:tcPr>
          <w:p w14:paraId="2421C62C"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8</w:t>
            </w:r>
          </w:p>
        </w:tc>
      </w:tr>
      <w:tr w:rsidR="008A0CAB" w:rsidRPr="00251717" w14:paraId="25DDA316" w14:textId="77777777" w:rsidTr="00960D8B">
        <w:trPr>
          <w:gridAfter w:val="1"/>
          <w:wAfter w:w="18.95pt" w:type="dxa"/>
          <w:trHeight w:val="291"/>
        </w:trPr>
        <w:tc>
          <w:tcPr>
            <w:tcW w:w="94.60pt" w:type="dxa"/>
            <w:tcBorders>
              <w:top w:val="nil"/>
              <w:start w:val="nil"/>
              <w:bottom w:val="single" w:sz="4" w:space="0" w:color="auto"/>
              <w:end w:val="single" w:sz="4" w:space="0" w:color="auto"/>
            </w:tcBorders>
            <w:noWrap/>
          </w:tcPr>
          <w:p w14:paraId="5AE03CE5" w14:textId="77777777" w:rsidR="008A0CAB" w:rsidRPr="00251717" w:rsidRDefault="008A0CAB" w:rsidP="00960D8B">
            <w:pPr>
              <w:rPr>
                <w:rFonts w:ascii="Times New Roman" w:hAnsi="Times New Roman" w:cs="Times New Roman"/>
                <w:sz w:val="20"/>
                <w:szCs w:val="20"/>
              </w:rPr>
            </w:pPr>
            <w:r w:rsidRPr="00251717">
              <w:rPr>
                <w:rFonts w:ascii="Times New Roman" w:hAnsi="Times New Roman" w:cs="Times New Roman"/>
                <w:sz w:val="20"/>
                <w:szCs w:val="20"/>
              </w:rPr>
              <w:t>Insurance mechanisms</w:t>
            </w:r>
          </w:p>
        </w:tc>
        <w:tc>
          <w:tcPr>
            <w:tcW w:w="34.55pt" w:type="dxa"/>
            <w:gridSpan w:val="2"/>
            <w:tcBorders>
              <w:top w:val="nil"/>
              <w:start w:val="single" w:sz="4" w:space="0" w:color="auto"/>
              <w:bottom w:val="single" w:sz="4" w:space="0" w:color="auto"/>
              <w:end w:val="nil"/>
            </w:tcBorders>
          </w:tcPr>
          <w:p w14:paraId="678CF4A1" w14:textId="77777777" w:rsidR="008A0CAB" w:rsidRPr="00251717" w:rsidRDefault="008A0CAB" w:rsidP="00960D8B">
            <w:pPr>
              <w:rPr>
                <w:rFonts w:ascii="Times New Roman" w:hAnsi="Times New Roman" w:cs="Times New Roman"/>
                <w:sz w:val="20"/>
                <w:szCs w:val="20"/>
              </w:rPr>
            </w:pPr>
          </w:p>
        </w:tc>
        <w:tc>
          <w:tcPr>
            <w:tcW w:w="43.40pt" w:type="dxa"/>
            <w:gridSpan w:val="3"/>
            <w:tcBorders>
              <w:top w:val="nil"/>
              <w:start w:val="nil"/>
              <w:bottom w:val="single" w:sz="4" w:space="0" w:color="auto"/>
              <w:end w:val="nil"/>
            </w:tcBorders>
            <w:noWrap/>
          </w:tcPr>
          <w:p w14:paraId="2591C3B8" w14:textId="77777777" w:rsidR="008A0CAB" w:rsidRPr="00251717" w:rsidRDefault="008A0CAB" w:rsidP="00960D8B">
            <w:pPr>
              <w:rPr>
                <w:rFonts w:ascii="Times New Roman" w:hAnsi="Times New Roman" w:cs="Times New Roman"/>
                <w:sz w:val="20"/>
                <w:szCs w:val="20"/>
                <w:vertAlign w:val="superscript"/>
              </w:rPr>
            </w:pPr>
          </w:p>
        </w:tc>
        <w:tc>
          <w:tcPr>
            <w:tcW w:w="45.15pt" w:type="dxa"/>
            <w:tcBorders>
              <w:top w:val="nil"/>
              <w:start w:val="nil"/>
              <w:bottom w:val="single" w:sz="4" w:space="0" w:color="auto"/>
              <w:end w:val="nil"/>
            </w:tcBorders>
            <w:noWrap/>
          </w:tcPr>
          <w:p w14:paraId="640E2DA7" w14:textId="77777777" w:rsidR="008A0CAB" w:rsidRPr="00251717" w:rsidRDefault="008A0CAB" w:rsidP="00960D8B">
            <w:pPr>
              <w:rPr>
                <w:rFonts w:ascii="Times New Roman" w:hAnsi="Times New Roman" w:cs="Times New Roman"/>
                <w:sz w:val="20"/>
                <w:szCs w:val="20"/>
                <w:vertAlign w:val="superscript"/>
              </w:rPr>
            </w:pPr>
            <w:r w:rsidRPr="00251717">
              <w:rPr>
                <w:rFonts w:ascii="Times New Roman" w:hAnsi="Times New Roman" w:cs="Times New Roman"/>
                <w:sz w:val="20"/>
                <w:szCs w:val="20"/>
                <w:vertAlign w:val="superscript"/>
              </w:rPr>
              <w:t>5</w:t>
            </w:r>
          </w:p>
        </w:tc>
        <w:tc>
          <w:tcPr>
            <w:tcW w:w="129.20pt" w:type="dxa"/>
            <w:tcBorders>
              <w:top w:val="nil"/>
              <w:start w:val="nil"/>
              <w:bottom w:val="single" w:sz="4" w:space="0" w:color="auto"/>
              <w:end w:val="nil"/>
            </w:tcBorders>
            <w:noWrap/>
          </w:tcPr>
          <w:p w14:paraId="0EFA4845" w14:textId="77777777" w:rsidR="008A0CAB" w:rsidRPr="00251717" w:rsidRDefault="008A0CAB" w:rsidP="00960D8B">
            <w:pPr>
              <w:rPr>
                <w:rFonts w:ascii="Times New Roman" w:hAnsi="Times New Roman" w:cs="Times New Roman"/>
                <w:sz w:val="20"/>
                <w:szCs w:val="20"/>
                <w:vertAlign w:val="superscript"/>
              </w:rPr>
            </w:pPr>
          </w:p>
        </w:tc>
        <w:tc>
          <w:tcPr>
            <w:tcW w:w="39.10pt" w:type="dxa"/>
            <w:gridSpan w:val="2"/>
            <w:tcBorders>
              <w:top w:val="nil"/>
              <w:start w:val="nil"/>
              <w:bottom w:val="single" w:sz="4" w:space="0" w:color="auto"/>
              <w:end w:val="nil"/>
            </w:tcBorders>
          </w:tcPr>
          <w:p w14:paraId="32B3486C" w14:textId="77777777" w:rsidR="008A0CAB" w:rsidRPr="00251717" w:rsidRDefault="008A0CAB" w:rsidP="00960D8B">
            <w:pPr>
              <w:rPr>
                <w:rFonts w:ascii="Times New Roman" w:hAnsi="Times New Roman" w:cs="Times New Roman"/>
                <w:sz w:val="20"/>
                <w:szCs w:val="20"/>
                <w:vertAlign w:val="superscript"/>
              </w:rPr>
            </w:pPr>
          </w:p>
        </w:tc>
        <w:tc>
          <w:tcPr>
            <w:tcW w:w="49.35pt" w:type="dxa"/>
            <w:gridSpan w:val="2"/>
            <w:tcBorders>
              <w:top w:val="nil"/>
              <w:start w:val="nil"/>
              <w:bottom w:val="single" w:sz="4" w:space="0" w:color="auto"/>
              <w:end w:val="nil"/>
            </w:tcBorders>
            <w:noWrap/>
          </w:tcPr>
          <w:p w14:paraId="22EE2A68" w14:textId="77777777" w:rsidR="008A0CAB" w:rsidRPr="00251717" w:rsidRDefault="008A0CAB" w:rsidP="00960D8B">
            <w:pPr>
              <w:rPr>
                <w:rFonts w:ascii="Times New Roman" w:hAnsi="Times New Roman" w:cs="Times New Roman"/>
                <w:sz w:val="20"/>
                <w:szCs w:val="20"/>
                <w:vertAlign w:val="superscript"/>
              </w:rPr>
            </w:pPr>
          </w:p>
        </w:tc>
      </w:tr>
    </w:tbl>
    <w:p w14:paraId="42C64B86" w14:textId="77777777" w:rsidR="008A0CAB" w:rsidRPr="002C4E30" w:rsidRDefault="008A0CAB" w:rsidP="008A0CAB">
      <w:pPr>
        <w:spacing w:after="0pt" w:line="12pt" w:lineRule="auto"/>
        <w:rPr>
          <w:rFonts w:ascii="Times New Roman" w:hAnsi="Times New Roman" w:cs="Times New Roman"/>
          <w:i/>
          <w:iCs/>
          <w:sz w:val="24"/>
          <w:szCs w:val="24"/>
          <w:vertAlign w:val="superscript"/>
        </w:rPr>
      </w:pPr>
      <w:r w:rsidRPr="002C4E30">
        <w:rPr>
          <w:rFonts w:ascii="Times New Roman" w:hAnsi="Times New Roman" w:cs="Times New Roman"/>
          <w:sz w:val="24"/>
          <w:szCs w:val="24"/>
        </w:rPr>
        <w:t>*</w:t>
      </w:r>
      <w:r w:rsidRPr="002C4E30">
        <w:rPr>
          <w:rFonts w:ascii="Times New Roman" w:hAnsi="Times New Roman" w:cs="Times New Roman"/>
          <w:b/>
          <w:bCs/>
          <w:i/>
          <w:iCs/>
          <w:sz w:val="24"/>
          <w:szCs w:val="24"/>
        </w:rPr>
        <w:t xml:space="preserve"> </w:t>
      </w:r>
      <w:r w:rsidRPr="002C4E30">
        <w:rPr>
          <w:rFonts w:ascii="Times New Roman" w:hAnsi="Times New Roman" w:cs="Times New Roman"/>
          <w:i/>
          <w:iCs/>
          <w:sz w:val="24"/>
          <w:szCs w:val="24"/>
        </w:rPr>
        <w:t>denotes a practice/intervention used by communities to survive in the face of climate change event</w:t>
      </w:r>
    </w:p>
    <w:p w14:paraId="4C4C26ED" w14:textId="77777777" w:rsidR="008A0CAB" w:rsidRPr="002C4E30" w:rsidRDefault="008A0CAB" w:rsidP="008A0CAB">
      <w:pPr>
        <w:spacing w:after="0pt" w:line="12pt" w:lineRule="auto"/>
        <w:rPr>
          <w:rFonts w:ascii="Times New Roman" w:hAnsi="Times New Roman" w:cs="Times New Roman"/>
          <w:sz w:val="24"/>
          <w:szCs w:val="24"/>
          <w:lang w:val="es-ES"/>
        </w:rPr>
      </w:pPr>
      <w:bookmarkStart w:id="2" w:name="_Hlk150475108"/>
      <w:bookmarkEnd w:id="0"/>
      <w:r w:rsidRPr="00251717">
        <w:rPr>
          <w:rFonts w:ascii="Times New Roman" w:hAnsi="Times New Roman" w:cs="Times New Roman"/>
          <w:i/>
          <w:iCs/>
          <w:sz w:val="24"/>
          <w:szCs w:val="24"/>
        </w:rPr>
        <w:t>1</w:t>
      </w:r>
      <w:r w:rsidRPr="002C4E30">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{"citationItems":[{"id":"ITEM-1","itemData":{"abstract":"Climate change affects the ability of developing countries to achieve their poverty reduction and sustainable development strategies. Uganda was labeled among the most vulnerable countries to climate change risks. Rural farmers who depend on rain-fed agriculture are likely to bear the brunt of adverse impacts. The extent to which these impacts are felt depends largely on the extent of adaption response. This study examined farmers' perceptions and adaptation strategies to climate change and variability. Information was obtained through household survey data. Preliminary results show that many farmers (81.1%) noticed changes in climate; though 62% did nothing. The lowlands were mainly affected by climate change and variability shocks, mainly drought (89.8%). Climatic shocks led to decline in crop yields (39.2%), loss of income (35.1%) and increased incidence of malaria (60%). While most farmers did not take any remedial action against climate change, others changed livestock and crop variety, while others increased land under production or changed crop types.","author":[{"dropping-particle":"","family":"Mwerera","given":"R L","non-dropping-particle":"","parse-names":false,"suffix":""},{"dropping-particle":"","family":"Majaliwa","given":"J G M","non-dropping-particle":"","parse-names":false,"suffix":""},{"dropping-particle":"","family":"Isubikalu","given":"P","non-dropping-particle":"","parse-names":false,"suffix":""}],"container-title":"RUFORUM Working Document Series No.5","id":"ITEM-1","issued":{"date-parts":[["2010"]]},"title":"Climate change adaptation strategies among agricultural communities in Uganda: the case of Kabale and Nakasongla districts.","type":"article-journal"},"uris":["http://www.mendeley.com/documents/?uuid=9aa6532f-9402-430e-b239-921f7d10e98b"]}],"mendeley":{"formattedCitation":"[64]","plainTextFormattedCitation":"[64]","previouslyFormattedCitation":"[64]"},"properties":{"noteIndex":0},"schema":"https://github.com/citation-style-language/schema/raw/master/csl-citation.json"}</w:instrText>
      </w:r>
      <w:r>
        <w:rPr>
          <w:rFonts w:ascii="Times New Roman" w:hAnsi="Times New Roman" w:cs="Times New Roman"/>
          <w:sz w:val="24"/>
          <w:szCs w:val="24"/>
        </w:rPr>
        <w:fldChar w:fldCharType="separate"/>
      </w:r>
      <w:r w:rsidRPr="00847CDE">
        <w:rPr>
          <w:rFonts w:ascii="Times New Roman" w:hAnsi="Times New Roman" w:cs="Times New Roman"/>
          <w:noProof/>
          <w:sz w:val="24"/>
          <w:szCs w:val="24"/>
        </w:rPr>
        <w:t>[64]</w:t>
      </w:r>
      <w:r>
        <w:rPr>
          <w:rFonts w:ascii="Times New Roman" w:hAnsi="Times New Roman" w:cs="Times New Roman"/>
          <w:sz w:val="24"/>
          <w:szCs w:val="24"/>
        </w:rPr>
        <w:fldChar w:fldCharType="end"/>
      </w:r>
      <w:r w:rsidRPr="002C4E30">
        <w:rPr>
          <w:rFonts w:ascii="Times New Roman" w:hAnsi="Times New Roman" w:cs="Times New Roman"/>
          <w:sz w:val="24"/>
          <w:szCs w:val="24"/>
        </w:rPr>
        <w:t xml:space="preserve">; </w:t>
      </w:r>
      <w:r w:rsidRPr="00251717">
        <w:rPr>
          <w:rFonts w:ascii="Times New Roman" w:hAnsi="Times New Roman" w:cs="Times New Roman"/>
          <w:i/>
          <w:iCs/>
          <w:sz w:val="24"/>
          <w:szCs w:val="24"/>
        </w:rPr>
        <w:t>2</w:t>
      </w:r>
      <w:r w:rsidRPr="002C4E30">
        <w:rPr>
          <w:rFonts w:ascii="Times New Roman" w:hAnsi="Times New Roman" w:cs="Times New Roman"/>
          <w:sz w:val="24"/>
          <w:szCs w:val="24"/>
        </w:rPr>
        <w:t xml:space="preserve">- </w:t>
      </w:r>
      <w:r w:rsidRPr="002C4E30">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{"citationItems":[{"id":"ITEM-1","itemData":{"DOI":"10.1016/j.njas.2018.12.002","ISSN":"22121307","abstract":"Whereas adaptation to climate variability takes center stage in the agricultural development discourse, implementation is poorly guided through adoption of ‘one-size-fits-all’ adaptation approaches in coffee landscapes. This study empirically provides evidence of diversity of rural coffee farm-households and climate vulnerabilities in Uganda. We specifically characterized farm-household systems in the coffee-based farming systems; identified perceived climate risks; identified generalized landscape-level and specific farm-household system-level adaptation practices; and determined socio-economic drivers that impacted uptake of adaptation practices. 688 farm-households were surveyed and asked what they perceived as major climate risks, and how they adapted to experienced shocks/stresses in Eastern (Arabica) and Central (Robusta) Uganda. Principal Component and Multivariate Cluster Analyses were adopted for farm-household systems identification, and Semi-Nonparametric model for uptake of adaptation practices. Distinct farm-household systems were identified in Central (coffee-maize-beans; coffee-livestock-off-farm) and Eastern Uganda (coffee-banana-maize; coffee-banana; coffee-off-farm). They differed by land allocations to crops, livestock rearing, rainfall/altitude gradients, off-farm activities and crop income. Farm-households experienced food shortages and crop losses resulting from prolonged drought and erratic shifts in rainfall distribution. The major generalized adaptation practice was inorganic fertilizer use while the specific included herbicide use and increase in livestock numbers in Central Uganda; and pesticides use, structural technologies and off-farm activities in Eastern. Adaptation drivers include household-head's awareness of climate variability and involvement in policy-formulation process (both regions); farm-household's total land area (Eastern Uganda); and access to input/output markets (Central Uganda). We conclude that policy makers should package adaptation practices per farm-household system to enhance effective adaptation to climate risks.","author":[{"dropping-particle":"","family":"Mulinde","given":"Catherine","non-dropping-particle":"","parse-names":false,"suffix":""},{"dropping-particle":"","family":"Majaliwa","given":"J. G.M.","non-dropping-particle":"","parse-names":false,"suffix":""},{"dropping-particle":"","family":"Twinomuhangi","given":"Revocatus","non-dropping-particle":"","parse-names":false,"suffix":""},{"dropping-particle":"","family":"Mfitumukiza","given":"David","non-dropping-particle":"","parse-names":false,"suffix":""},{"dropping-particle":"","family":"Komutunga","given":"Everline","non-dropping-particle":"","parse-names":false,"suffix":""},{"dropping-particle":"","family":"Ampaire","given":"Edidah","non-dropping-particle":"","parse-names":false,"suffix":""},{"dropping-particle":"","family":"Asiimwe","given":"Judith","non-dropping-particle":"","parse-names":false,"suffix":""},{"dropping-particle":"","family":"Asten","given":"Piet","non-dropping-particle":"Van","parse-names":false,"suffix":""},{"dropping-particle":"","family":"Jassogne","given":"Laurence","non-dropping-particle":"","parse-names":false,"suffix":""}],"container-title":"NJAS - Wageningen Journal of Life Sciences","id":"ITEM-1","issued":{"date-parts":[["2019"]]},"page":"31-44","title":"Perceived climate risks and adaptation drivers in diverse coffee landscapes of Uganda","type":"article-journal","volume":"88"},"uris":["http://www.mendeley.com/documents/?uuid=70c0bca6-3a24-4933-83ea-3b943ff4a5db"]}],"mendeley":{"formattedCitation":"[65]","plainTextFormattedCitation":"[65]","previouslyFormattedCitation":"[65]"},"properties":{"noteIndex":0},"schema":"https://github.com/citation-style-language/schema/raw/master/csl-citation.json"}</w:instrText>
      </w:r>
      <w:r w:rsidRPr="002C4E30">
        <w:rPr>
          <w:rFonts w:ascii="Times New Roman" w:hAnsi="Times New Roman" w:cs="Times New Roman"/>
          <w:sz w:val="24"/>
          <w:szCs w:val="24"/>
        </w:rPr>
        <w:fldChar w:fldCharType="separate"/>
      </w:r>
      <w:r w:rsidRPr="00847CDE">
        <w:rPr>
          <w:rFonts w:ascii="Times New Roman" w:hAnsi="Times New Roman" w:cs="Times New Roman"/>
          <w:noProof/>
          <w:sz w:val="24"/>
          <w:szCs w:val="24"/>
        </w:rPr>
        <w:t>[65]</w:t>
      </w:r>
      <w:r w:rsidRPr="002C4E30">
        <w:rPr>
          <w:rFonts w:ascii="Times New Roman" w:hAnsi="Times New Roman" w:cs="Times New Roman"/>
          <w:sz w:val="24"/>
          <w:szCs w:val="24"/>
        </w:rPr>
        <w:fldChar w:fldCharType="end"/>
      </w:r>
      <w:r w:rsidRPr="002C4E30">
        <w:rPr>
          <w:rFonts w:ascii="Times New Roman" w:hAnsi="Times New Roman" w:cs="Times New Roman"/>
          <w:sz w:val="24"/>
          <w:szCs w:val="24"/>
        </w:rPr>
        <w:t>;</w:t>
      </w:r>
      <w:r w:rsidRPr="00251717">
        <w:rPr>
          <w:rFonts w:ascii="Times New Roman" w:hAnsi="Times New Roman" w:cs="Times New Roman"/>
          <w:i/>
          <w:iCs/>
          <w:sz w:val="24"/>
          <w:szCs w:val="24"/>
        </w:rPr>
        <w:t xml:space="preserve"> 3</w:t>
      </w:r>
      <w:r w:rsidRPr="002C4E30">
        <w:rPr>
          <w:rFonts w:ascii="Times New Roman" w:hAnsi="Times New Roman" w:cs="Times New Roman"/>
          <w:sz w:val="24"/>
          <w:szCs w:val="24"/>
        </w:rPr>
        <w:t xml:space="preserve"> - </w:t>
      </w:r>
      <w:r w:rsidRPr="002C4E30">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{"citationItems":[{"id":"ITEM-1","itemData":{"DOI":"10.2989/10220119.2020.1748713","ISSN":"17279380","abstract":"Ecosystems provide climate-change adaptation opportunities including ecosystem services, adaptation benefits and livelihood improvement especially for natural resource dependent communities. To contribute to the understanding of location specific adaptation processes of predominantly agro-pastoralists, a study was carried out in the central cattle corridor of Uganda to characterise ecosystem-based drought Adaptations. A cross sectional survey using semi-structured questionnaires, focus group discussions and key informant interviews were employed among 183 randomly selected households. The ecosystem-based adaptations (EbAs) to perceived drought impacts were characterised basing on ecosystem services, adaptation benefits to drought and livelihood improvement categories unveiling the different proportions of each EbA under each category. Water shortage and intense heat were the major perceived drought impacts. The use of drought resistant shade trees, water reservoirs and dams, and alternative ecosystem-based livelihoods were the majorly utilised EbAs. The alternative ecosystem-based livelihoods were the mostly used EbA dominating all the three categories. The utilisation of drought resistant shade trees dominated the ecosystem services and adaptation benefits categories, whereas the use of water reservoirs and dams were the mostly used EbA for livelihood improvement. These EbAs should be incorporated in climate-change adaptation policies and initiatives, while considering their subsequent dominating categories to enhance farmers’ resilience.","author":[{"dropping-particle":"","family":"Nanfuka","given":"Susan","non-dropping-particle":"","parse-names":false,"suffix":""},{"dropping-particle":"","family":"Mfitumukiza","given":"David","non-dropping-particle":"","parse-names":false,"suffix":""},{"dropping-particle":"","family":"Egeru","given":"Anthony","non-dropping-particle":"","parse-names":false,"suffix":""}],"container-title":"African Journal of Range and Forage Science","id":"ITEM-1","issue":"4","issued":{"date-parts":[["2020"]]},"title":"Characterisation of ecosystem-based adaptations to drought in the central cattle corridor of Uganda","type":"article-journal","volume":"37"},"uris":["http://www.mendeley.com/documents/?uuid=16b57977-853e-358a-8688-bc45ccc3a87c"]}],"mendeley":{"formattedCitation":"[21]","plainTextFormattedCitation":"[21]","previouslyFormattedCitation":"[21]"},"properties":{"noteIndex":0},"schema":"https://github.com/citation-style-language/schema/raw/master/csl-citation.json"}</w:instrText>
      </w:r>
      <w:r w:rsidRPr="002C4E30">
        <w:rPr>
          <w:rFonts w:ascii="Times New Roman" w:hAnsi="Times New Roman" w:cs="Times New Roman"/>
          <w:sz w:val="24"/>
          <w:szCs w:val="24"/>
        </w:rPr>
        <w:fldChar w:fldCharType="separate"/>
      </w:r>
      <w:r w:rsidRPr="00EC09DF">
        <w:rPr>
          <w:rFonts w:ascii="Times New Roman" w:hAnsi="Times New Roman" w:cs="Times New Roman"/>
          <w:noProof/>
          <w:sz w:val="24"/>
          <w:szCs w:val="24"/>
        </w:rPr>
        <w:t>[21]</w:t>
      </w:r>
      <w:r w:rsidRPr="002C4E30">
        <w:rPr>
          <w:rFonts w:ascii="Times New Roman" w:hAnsi="Times New Roman" w:cs="Times New Roman"/>
          <w:sz w:val="24"/>
          <w:szCs w:val="24"/>
        </w:rPr>
        <w:fldChar w:fldCharType="end"/>
      </w:r>
      <w:r w:rsidRPr="002C4E30">
        <w:rPr>
          <w:rFonts w:ascii="Times New Roman" w:hAnsi="Times New Roman" w:cs="Times New Roman"/>
          <w:noProof/>
          <w:sz w:val="24"/>
          <w:szCs w:val="24"/>
        </w:rPr>
        <w:t>;</w:t>
      </w:r>
      <w:r w:rsidRPr="00251717">
        <w:rPr>
          <w:rFonts w:ascii="Times New Roman" w:hAnsi="Times New Roman" w:cs="Times New Roman"/>
          <w:i/>
          <w:iCs/>
          <w:noProof/>
          <w:sz w:val="24"/>
          <w:szCs w:val="24"/>
        </w:rPr>
        <w:t xml:space="preserve"> 4</w:t>
      </w:r>
      <w:r w:rsidRPr="002C4E30">
        <w:rPr>
          <w:rFonts w:ascii="Times New Roman" w:hAnsi="Times New Roman" w:cs="Times New Roman"/>
          <w:noProof/>
          <w:sz w:val="24"/>
          <w:szCs w:val="24"/>
        </w:rPr>
        <w:t xml:space="preserve"> - </w:t>
      </w:r>
      <w:r w:rsidRPr="002C4E30">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{"citationItems":[{"id":"ITEM-1","itemData":{"DOI":"10.1016/j.crm.2015.12.001","ISSN":"22120963","abstract":"Pastoralists in East Africa face a range of stressors, climate variability and change being one of them. Effective climate risk management involves managing the full range of variability and balancing hazard management with efforts to capitalise on opportunity; climate risk management information is central in this process. In this study, pastoralists' perceptions of climate change, climate risk management information types, sources and attendant responses in a pastoral region in East Africa are examined. Through a multi-stage sampling process, a total of 198 heads of households in three districts were selected and interviewed using a semi-structured questionnaire. In addition, 29 focus group discussions and 10 key informant interviews were conducted to generate qualitative information to supplement survey data. Descriptive and thematic analysis were utilised in summarizing the data. Ninety-nine percent of the pastoralists noted that the climate had changed evidenced by high but erratic rainfall, occurrence of floods and variation in rainfall onset and cessation among other indicators. This change in climate had led to emergence of 'new' livestock and crop diseases, crop failure and low yields leading to frequent food shortages, water shortages, poor market access, and variation in pasture availability among other effects. Climate risk management information was received from multiple sources including; radio, diviners, community meetings, shrine elders, humanitarian agencies, and Uganda People's defence forces (UPDF). Community meetings were however perceived as most accessible, reliable and dependable sources of information. Shifting livestock to dry season grazing and watering areas, selling firewood and charcoal, seeking for military escorts to grazing areas, purchasing veterinary drugs, shifting livestock to disease 'free' areas, and performing rituals (depending on the perceived risk) constituted a set of responses undertaken in response to perceived climate risk. It is recommended that an integrated early warning system that captures the perceptions and practices of the pastoralists is implemented as this would increase the credibility of climate risk information disseminated.","author":[{"dropping-particle":"","family":"Egeru","given":"Anthony","non-dropping-particle":"","parse-names":false,"suffix":""}],"container-title":"Climate Risk Management","id":"ITEM-1","issued":{"date-parts":[["2016"]]},"page":"1-14","publisher":"Elsevier B.V.","title":"Climate risk management information, sources and responses in a pastoral region in East Africa","type":"article-journal","volume":"11"},"uris":["http://www.mendeley.com/documents/?uuid=92e31d74-4753-4a0f-89fd-7eae0451635f"]}],"mendeley":{"formattedCitation":"[15]","plainTextFormattedCitation":"[15]","previouslyFormattedCitation":"[15]"},"properties":{"noteIndex":0},"schema":"https://github.com/citation-style-language/schema/raw/master/csl-citation.json"}</w:instrText>
      </w:r>
      <w:r w:rsidRPr="002C4E30">
        <w:rPr>
          <w:rFonts w:ascii="Times New Roman" w:hAnsi="Times New Roman" w:cs="Times New Roman"/>
          <w:sz w:val="24"/>
          <w:szCs w:val="24"/>
        </w:rPr>
        <w:fldChar w:fldCharType="separate"/>
      </w:r>
      <w:r w:rsidRPr="00EC09DF">
        <w:rPr>
          <w:rFonts w:ascii="Times New Roman" w:hAnsi="Times New Roman" w:cs="Times New Roman"/>
          <w:noProof/>
          <w:sz w:val="24"/>
          <w:szCs w:val="24"/>
          <w:lang w:val="nb-NO"/>
        </w:rPr>
        <w:t>[15]</w:t>
      </w:r>
      <w:r w:rsidRPr="002C4E30">
        <w:rPr>
          <w:rFonts w:ascii="Times New Roman" w:hAnsi="Times New Roman" w:cs="Times New Roman"/>
          <w:sz w:val="24"/>
          <w:szCs w:val="24"/>
        </w:rPr>
        <w:fldChar w:fldCharType="end"/>
      </w:r>
      <w:r w:rsidRPr="002C4E30">
        <w:rPr>
          <w:rFonts w:ascii="Times New Roman" w:hAnsi="Times New Roman" w:cs="Times New Roman"/>
          <w:sz w:val="24"/>
          <w:szCs w:val="24"/>
        </w:rPr>
        <w:t xml:space="preserve">; </w:t>
      </w:r>
      <w:r w:rsidRPr="00251717">
        <w:rPr>
          <w:rFonts w:ascii="Times New Roman" w:hAnsi="Times New Roman" w:cs="Times New Roman"/>
          <w:i/>
          <w:iCs/>
          <w:sz w:val="24"/>
          <w:szCs w:val="24"/>
        </w:rPr>
        <w:t xml:space="preserve">5 </w:t>
      </w:r>
      <w:r w:rsidRPr="002C4E30">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{"citationItems":[{"id":"ITEM-1","itemData":{"DOI":"10.5539/jas.v7n10p253","ISSN":"1916-9752","abstract":"Agricultural production by small-scale farmers in Uganda is vulnerable to climate change because the agricultural regime is rainfed and subject to climatic changes and variability with significant impact on agricultural productivity, livelihoods and food security. This study analysed small-scale farmers perceptions and impacts of climate change on agricultural production and livelihoods and adaptation options to tackle the adverse effects of climatic changes in Karenga (lowland agroecology) and Kapchesombe (highland agroecology). Both study areas are adjacent to Kidepo Valley and Mount Elgon National Parks respectively. Analysed by using data obtained from 607 households, (41.5 percent males and 58.5 percent females) and were multistaged and purposively sampled. The study found out that the small-scale farmers were aware of climate change events. Meteorological data analysed confirmed the warming. The largest proportion of the respondents was affected by climate change effects with more impacts felt in Kapc esombe (highland agroecology). The major coping strategies employed include: planting different crops, different planting dates, different crop varieties, soil conservation and crop diversification. Coping strategies employed to contain extreme weather events included terracing, tree-planting, digging drainage channels, planting cover crops, and food storage and meals regulations. Other challenges associated with climate change included: food insecurity due to crop failure, soil erosion, shift in spread of diseases and land degradation. Government should provide effective and productive agronomic farm inputs and production assets and working farm-to-farm extension programme so as to build the adaptive capacity of the vulnerable and improve agricultural production. This should be intertwined with relevant traditional methods.","author":[{"dropping-particle":"","family":"Tiyo","given":"Christopher Ewaechabo","non-dropping-particle":"","parse-names":false,"suffix":""},{"dropping-particle":"","family":"Orach-Meza","given":"F. L.","non-dropping-particle":"","parse-names":false,"suffix":""},{"dropping-particle":"","family":"Edroma","given":"Eric L.","non-dropping-particle":"","parse-names":false,"suffix":""}],"container-title":"Journal of Agricultural Science","id":"ITEM-1","issue":"10","issued":{"date-parts":[["2015"]]},"title":"Understanding Small-Scale Farmers’ Perception and Adaption Strategies to Climate Change Impacts: Evidence from Two Agro-Ecological Zones Bordering National Parks of Uganda","type":"article-journal","volume":"7"},"uris":["http://www.mendeley.com/documents/?uuid=3bd5053c-9f04-3dd4-a940-f53b42bab1c4"]}],"mendeley":{"formattedCitation":"[50]","plainTextFormattedCitation":"[50]","previouslyFormattedCitation":"[50]"},"properties":{"noteIndex":0},"schema":"https://github.com/citation-style-language/schema/raw/master/csl-citation.json"}</w:instrText>
      </w:r>
      <w:r>
        <w:rPr>
          <w:rFonts w:ascii="Times New Roman" w:hAnsi="Times New Roman" w:cs="Times New Roman"/>
          <w:sz w:val="24"/>
          <w:szCs w:val="24"/>
        </w:rPr>
        <w:fldChar w:fldCharType="separate"/>
      </w:r>
      <w:r w:rsidRPr="00847CDE">
        <w:rPr>
          <w:rFonts w:ascii="Times New Roman" w:hAnsi="Times New Roman" w:cs="Times New Roman"/>
          <w:noProof/>
          <w:sz w:val="24"/>
          <w:szCs w:val="24"/>
        </w:rPr>
        <w:t>[50]</w:t>
      </w:r>
      <w:r>
        <w:rPr>
          <w:rFonts w:ascii="Times New Roman" w:hAnsi="Times New Roman" w:cs="Times New Roman"/>
          <w:sz w:val="24"/>
          <w:szCs w:val="24"/>
        </w:rPr>
        <w:fldChar w:fldCharType="end"/>
      </w:r>
      <w:r w:rsidRPr="002C4E30">
        <w:rPr>
          <w:rFonts w:ascii="Times New Roman" w:hAnsi="Times New Roman" w:cs="Times New Roman"/>
          <w:sz w:val="24"/>
          <w:szCs w:val="24"/>
          <w:lang w:val="es-ES"/>
        </w:rPr>
        <w:t xml:space="preserve">; </w:t>
      </w:r>
      <w:r w:rsidRPr="00251717">
        <w:rPr>
          <w:rFonts w:ascii="Times New Roman" w:hAnsi="Times New Roman" w:cs="Times New Roman"/>
          <w:i/>
          <w:iCs/>
          <w:sz w:val="24"/>
          <w:szCs w:val="24"/>
          <w:lang w:val="es-ES"/>
        </w:rPr>
        <w:t xml:space="preserve">6 </w:t>
      </w:r>
      <w:r w:rsidRPr="002C4E30">
        <w:rPr>
          <w:rFonts w:ascii="Times New Roman" w:hAnsi="Times New Roman" w:cs="Times New Roman"/>
          <w:sz w:val="24"/>
          <w:szCs w:val="24"/>
          <w:lang w:val="es-ES"/>
        </w:rPr>
        <w:t>-</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{"citationItems":[{"id":"ITEM-1","itemData":{"DOI":"10.1186/s40066-020-00279-1","ISSN":"20487010","abstract":"Background: Climate change poses a threat to the sustainability of food production among small-scale rural communities in Sub-Saharan Africa that are dependent on rain-fed agriculture. Understanding farmers’ adaptations and the determinants of their adaptation strategies is crucial in designing realistic strategies and policies for agricultural development and food security. The main objectives of this study were to identify the adaptation strategies used by smallholder farmers to counter the perceived negative effects of climate change in northern Uganda, and factors influencing the use of specific adaptation strategies. A cross-sectional survey research design was employed to collect data from 395 randomly selected smallholder farmers’ household heads across two districts by the administration of a semi-structured questionnaire. Binary logistic regression was used to analyze the factors influencing farmers’ adaptation to climate change. Results: The three most widely practiced adaptation strategies were planting of different crop varieties, planting drought-resistant varieties, and fallowing. Results of the binary logit regression model revealed that marital status of household head, access to credit, access to extension services, and farm income influenced farmers’ adoption of planting drought-resistant varieties as an adaptation strategy while access to credit, annual farm income, and time taken to market influenced adoption of planting improved seeds. Gender of household head and farm income had a positive influence on farmers’ adoption of fertilizer and pesticide use. Farming experience, farm income, and access to extension services and credit influenced farmers’ adoption of tree planting. Household size, farming experience, and time taken to market had positive influence on the use of fallowing, while size of land cultivated significantly influenced farmers’ planting of different crop varieties as an adaptation strategy. Conclusion: Findings of the study suggest there are several factors that work together to influence adoption of specific adaptation strategies by smallholder farmers. This therefore calls for more effort from government to strengthen the provision of agricultural extension services by improving its climate information system, providing recommended agricultural inputs and training farmers on best agronomic practices to enhance their holistic adaptation to the effect of climate change.","author":[{"dropping-particle":"","family":"Atube","given":"Francis","non-dropping-particle":"","parse-names":false,"suffix":""},{"dropping-particle":"","family":"Malinga","given":"Geoffrey M.","non-dropping-particle":"","parse-names":false,"suffix":""},{"dropping-particle":"","family":"Nyeko","given":"Martine","non-dropping-particle":"","parse-names":false,"suffix":""},{"dropping-particle":"","family":"Okello","given":"Daniel M.","non-dropping-particle":"","parse-names":false,"suffix":""},{"dropping-particle":"","family":"Alarakol","given":"Simon Peter","non-dropping-particle":"","parse-names":false,"suffix":""},{"dropping-particle":"","family":"Okello-Uma","given":"Ipolto","non-dropping-particle":"","parse-names":false,"suffix":""}],"container-title":"Agriculture and Food Security","id":"ITEM-1","issue":"1","issued":{"date-parts":[["2021"]]},"title":"Determinants of smallholder farmers’ adaptation strategies to the effects of climate change: Evidence from northern Uganda","type":"article-journal","volume":"10"},"uris":["http://www.mendeley.com/documents/?uuid=935d7370-e0ea-38de-80b1-c3e8ae89067b"]}],"mendeley":{"formattedCitation":"[66]","plainTextFormattedCitation":"[66]","previouslyFormattedCitation":"[66]"},"properties":{"noteIndex":0},"schema":"https://github.com/citation-style-language/schema/raw/master/csl-citation.json"}</w:instrText>
      </w:r>
      <w:r>
        <w:rPr>
          <w:rFonts w:ascii="Times New Roman" w:hAnsi="Times New Roman" w:cs="Times New Roman"/>
          <w:sz w:val="24"/>
          <w:szCs w:val="24"/>
        </w:rPr>
        <w:fldChar w:fldCharType="separate"/>
      </w:r>
      <w:r w:rsidRPr="00847CDE">
        <w:rPr>
          <w:rFonts w:ascii="Times New Roman" w:hAnsi="Times New Roman" w:cs="Times New Roman"/>
          <w:noProof/>
          <w:sz w:val="24"/>
          <w:szCs w:val="24"/>
        </w:rPr>
        <w:t>[66]</w:t>
      </w:r>
      <w:r>
        <w:rPr>
          <w:rFonts w:ascii="Times New Roman" w:hAnsi="Times New Roman" w:cs="Times New Roman"/>
          <w:sz w:val="24"/>
          <w:szCs w:val="24"/>
        </w:rPr>
        <w:fldChar w:fldCharType="end"/>
      </w:r>
      <w:r w:rsidRPr="002C4E30">
        <w:rPr>
          <w:rFonts w:ascii="Times New Roman" w:hAnsi="Times New Roman" w:cs="Times New Roman"/>
          <w:sz w:val="24"/>
          <w:szCs w:val="24"/>
          <w:lang w:val="es-ES"/>
        </w:rPr>
        <w:t xml:space="preserve">; </w:t>
      </w:r>
      <w:r w:rsidRPr="00251717">
        <w:rPr>
          <w:rFonts w:ascii="Times New Roman" w:hAnsi="Times New Roman" w:cs="Times New Roman"/>
          <w:i/>
          <w:iCs/>
          <w:sz w:val="24"/>
          <w:szCs w:val="24"/>
          <w:lang w:val="es-ES"/>
        </w:rPr>
        <w:t>7</w:t>
      </w:r>
      <w:r w:rsidRPr="002C4E30">
        <w:rPr>
          <w:rFonts w:ascii="Times New Roman" w:hAnsi="Times New Roman" w:cs="Times New Roman"/>
          <w:sz w:val="24"/>
          <w:szCs w:val="24"/>
          <w:lang w:val="es-ES"/>
        </w:rPr>
        <w:t xml:space="preserve"> -</w:t>
      </w:r>
      <w:r>
        <w:rPr>
          <w:rFonts w:ascii="Times New Roman" w:hAnsi="Times New Roman" w:cs="Times New Roman"/>
          <w:sz w:val="24"/>
          <w:szCs w:val="24"/>
          <w:lang w:val="es-ES"/>
        </w:rPr>
        <w:t xml:space="preserve"> </w:t>
      </w:r>
      <w:r>
        <w:rPr>
          <w:rFonts w:ascii="Times New Roman" w:hAnsi="Times New Roman" w:cs="Times New Roman"/>
          <w:sz w:val="24"/>
          <w:szCs w:val="24"/>
          <w:lang w:val="es-ES"/>
        </w:rPr>
        <w:fldChar w:fldCharType="begin" w:fldLock="1"/>
      </w:r>
      <w:r>
        <w:rPr>
          <w:rFonts w:ascii="Times New Roman" w:hAnsi="Times New Roman" w:cs="Times New Roman"/>
          <w:sz w:val="24"/>
          <w:szCs w:val="24"/>
          <w:lang w:val="es-ES"/>
        </w:rPr>
        <w:instrText>ADDIN CSL_CITATION {"citationItems":[{"id":"ITEM-1","itemData":{"DOI":"10.1186/s40066-020-00279-1","ISSN":"20487010","abstract":"Background: Climate change poses a threat to the sustainability of food production among small-scale rural communities in Sub-Saharan Africa that are dependent on rain-fed agriculture. Understanding farmers’ adaptations and the determinants of their adaptation strategies is crucial in designing realistic strategies and policies for agricultural development and food security. The main objectives of this study were to identify the adaptation strategies used by smallholder farmers to counter the perceived negative effects of climate change in northern Uganda, and factors influencing the use of specific adaptation strategies. A cross-sectional survey research design was employed to collect data from 395 randomly selected smallholder farmers’ household heads across two districts by the administration of a semi-structured questionnaire. Binary logistic regression was used to analyze the factors influencing farmers’ adaptation to climate change. Results: The three most widely practiced adaptation strategies were planting of different crop varieties, planting drought-resistant varieties, and fallowing. Results of the binary logit regression model revealed that marital status of household head, access to credit, access to extension services, and farm income influenced farmers’ adoption of planting drought-resistant varieties as an adaptation strategy while access to credit, annual farm income, and time taken to market influenced adoption of planting improved seeds. Gender of household head and farm income had a positive influence on farmers’ adoption of fertilizer and pesticide use. Farming experience, farm income, and access to extension services and credit influenced farmers’ adoption of tree planting. Household size, farming experience, and time taken to market had positive influence on the use of fallowing, while size of land cultivated significantly influenced farmers’ planting of different crop varieties as an adaptation strategy. Conclusion: Findings of the study suggest there are several factors that work together to influence adoption of specific adaptation strategies by smallholder farmers. This therefore calls for more effort from government to strengthen the provision of agricultural extension services by improving its climate information system, providing recommended agricultural inputs and training farmers on best agronomic practices to enhance their holistic adaptation to the effect of climate change.","author":[{"dropping-particle":"","family":"Atube","given":"Francis","non-dropping-particle":"","parse-names":false,"suffix":""},{"dropping-particle":"","family":"Malinga","given":"Geoffrey M.","non-dropping-particle":"","parse-names":false,"suffix":""},{"dropping-particle":"","family":"Nyeko","given":"Martine","non-dropping-particle":"","parse-names":false,"suffix":""},{"dropping-particle":"","family":"Okello","given":"Daniel M.","non-dropping-particle":"","parse-names":false,"suffix":""},{"dropping-particle":"","family":"Alarakol","given":"Simon Peter","non-dropping-particle":"","parse-names":false,"suffix":""},{"dropping-particle":"","family":"Okello-Uma","given":"Ipolto","non-dropping-particle":"","parse-names":false,"suffix":""}],"container-title":"Agriculture and Food Security","id":"ITEM-1","issue":"1","issued":{"date-parts":[["2021"]]},"title":"Determinants of smallholder farmers’ adaptation strategies to the effects of climate change: Evidence from northern Uganda","type":"article-journal","volume":"10"},"uris":["http://www.mendeley.com/documents/?uuid=935d7370-e0ea-38de-80b1-c3e8ae89067b"]}],"mendeley":{"formattedCitation":"[66]","plainTextFormattedCitation":"[66]","previouslyFormattedCitation":"[66]"},"properties":{"noteIndex":0},"schema":"https://github.com/citation-style-language/schema/raw/master/csl-citation.json"}</w:instrText>
      </w:r>
      <w:r>
        <w:rPr>
          <w:rFonts w:ascii="Times New Roman" w:hAnsi="Times New Roman" w:cs="Times New Roman"/>
          <w:sz w:val="24"/>
          <w:szCs w:val="24"/>
          <w:lang w:val="es-ES"/>
        </w:rPr>
        <w:fldChar w:fldCharType="separate"/>
      </w:r>
      <w:r w:rsidRPr="00847CDE">
        <w:rPr>
          <w:rFonts w:ascii="Times New Roman" w:hAnsi="Times New Roman" w:cs="Times New Roman"/>
          <w:noProof/>
          <w:sz w:val="24"/>
          <w:szCs w:val="24"/>
          <w:lang w:val="es-ES"/>
        </w:rPr>
        <w:t>[66]</w:t>
      </w:r>
      <w:r>
        <w:rPr>
          <w:rFonts w:ascii="Times New Roman" w:hAnsi="Times New Roman" w:cs="Times New Roman"/>
          <w:sz w:val="24"/>
          <w:szCs w:val="24"/>
          <w:lang w:val="es-ES"/>
        </w:rPr>
        <w:fldChar w:fldCharType="end"/>
      </w:r>
      <w:r w:rsidRPr="002C4E30">
        <w:rPr>
          <w:rFonts w:ascii="Times New Roman" w:hAnsi="Times New Roman" w:cs="Times New Roman"/>
          <w:sz w:val="24"/>
          <w:szCs w:val="24"/>
          <w:lang w:val="es-ES"/>
        </w:rPr>
        <w:t>;</w:t>
      </w:r>
      <w:r w:rsidRPr="00251717">
        <w:rPr>
          <w:rFonts w:ascii="Times New Roman" w:hAnsi="Times New Roman" w:cs="Times New Roman"/>
          <w:i/>
          <w:iCs/>
          <w:sz w:val="24"/>
          <w:szCs w:val="24"/>
          <w:lang w:val="es-ES"/>
        </w:rPr>
        <w:t xml:space="preserve"> 8</w:t>
      </w:r>
      <w:r w:rsidRPr="002C4E30">
        <w:rPr>
          <w:rFonts w:ascii="Times New Roman" w:hAnsi="Times New Roman" w:cs="Times New Roman"/>
          <w:sz w:val="24"/>
          <w:szCs w:val="24"/>
          <w:lang w:val="es-ES"/>
        </w:rPr>
        <w:t xml:space="preserve"> -</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{"citationItems":[{"id":"ITEM-1","itemData":{"author":[{"dropping-particle":"","family":"Aida Cuni-Sanchez, Peter Omeny, Marion Pfeifer, Lydia Olaka, Mamo Boru Mamo","given":"Rob Marchant &amp; Neil D. Burgess","non-dropping-particle":"","parse-names":false,"suffix":""}],"container-title":"Climate and Development","id":"ITEM-1","issue":"6","issued":{"date-parts":[["2019"]]},"page":"513-524","title":"Climate change and pastoralists: perceptions and adaptation in montane Kenya","type":"article-journal","volume":"11"},"uris":["http://www.mendeley.com/documents/?uuid=4515757b-bec1-4f82-a2fb-e91fab57d6dd"]}],"mendeley":{"formattedCitation":"[54]","plainTextFormattedCitation":"[54]","previouslyFormattedCitation":"[54]"},"properties":{"noteIndex":0},"schema":"https://github.com/citation-style-language/schema/raw/master/csl-citation.json"}</w:instrText>
      </w:r>
      <w:r>
        <w:rPr>
          <w:rFonts w:ascii="Times New Roman" w:hAnsi="Times New Roman" w:cs="Times New Roman"/>
          <w:sz w:val="24"/>
          <w:szCs w:val="24"/>
        </w:rPr>
        <w:fldChar w:fldCharType="separate"/>
      </w:r>
      <w:r w:rsidRPr="00847CDE">
        <w:rPr>
          <w:rFonts w:ascii="Times New Roman" w:hAnsi="Times New Roman" w:cs="Times New Roman"/>
          <w:noProof/>
          <w:sz w:val="24"/>
          <w:szCs w:val="24"/>
        </w:rPr>
        <w:t>[54]</w:t>
      </w:r>
      <w:r>
        <w:rPr>
          <w:rFonts w:ascii="Times New Roman" w:hAnsi="Times New Roman" w:cs="Times New Roman"/>
          <w:sz w:val="24"/>
          <w:szCs w:val="24"/>
        </w:rPr>
        <w:fldChar w:fldCharType="end"/>
      </w:r>
    </w:p>
    <w:bookmarkEnd w:id="2"/>
    <w:p w14:paraId="1E73DD36" w14:textId="77777777" w:rsidR="008C374B" w:rsidRDefault="008C374B"/>
    <w:sectPr w:rsidR="008C374B">
      <w:pgSz w:w="612pt" w:h="792pt"/>
      <w:pgMar w:top="72pt" w:right="72pt" w:bottom="72pt" w:left="72pt" w:header="36pt" w:footer="36pt" w:gutter="0pt"/>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AB"/>
    <w:rsid w:val="002A5090"/>
    <w:rsid w:val="003F36CB"/>
    <w:rsid w:val="007140FB"/>
    <w:rsid w:val="008A0CAB"/>
    <w:rsid w:val="008C374B"/>
    <w:rsid w:val="00954821"/>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D97C93"/>
  <w15:chartTrackingRefBased/>
  <w15:docId w15:val="{6F240415-AAB7-4706-A9D5-F1D1DF358536}"/>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CAB"/>
    <w:rPr>
      <w:kern w:val="0"/>
      <w:lang w:val="en-GB"/>
      <w14:ligatures w14:val="none"/>
    </w:rPr>
  </w:style>
  <w:style w:type="paragraph" w:styleId="Heading1">
    <w:name w:val="heading 1"/>
    <w:basedOn w:val="Normal"/>
    <w:next w:val="Normal"/>
    <w:link w:val="Heading1Char"/>
    <w:uiPriority w:val="9"/>
    <w:qFormat/>
    <w:rsid w:val="008A0CAB"/>
    <w:pPr>
      <w:keepNext/>
      <w:keepLines/>
      <w:spacing w:before="18pt" w:after="4p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A0CAB"/>
    <w:pPr>
      <w:keepNext/>
      <w:keepLines/>
      <w:spacing w:before="8pt" w:after="4p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A0CAB"/>
    <w:pPr>
      <w:keepNext/>
      <w:keepLines/>
      <w:spacing w:before="8pt" w:after="4pt"/>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A0CAB"/>
    <w:pPr>
      <w:keepNext/>
      <w:keepLines/>
      <w:spacing w:before="4pt" w:after="2pt"/>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8A0CAB"/>
    <w:pPr>
      <w:keepNext/>
      <w:keepLines/>
      <w:spacing w:before="4pt" w:after="2pt"/>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8A0CAB"/>
    <w:pPr>
      <w:keepNext/>
      <w:keepLines/>
      <w:spacing w:before="2pt" w:after="0pt"/>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8A0CAB"/>
    <w:pPr>
      <w:keepNext/>
      <w:keepLines/>
      <w:spacing w:before="2pt" w:after="0pt"/>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8A0CAB"/>
    <w:pPr>
      <w:keepNext/>
      <w:keepLines/>
      <w:spacing w:after="0pt"/>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8A0CAB"/>
    <w:pPr>
      <w:keepNext/>
      <w:keepLines/>
      <w:spacing w:after="0pt"/>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0C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0C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0C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0C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0C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0C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0C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0C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0CAB"/>
    <w:rPr>
      <w:rFonts w:eastAsiaTheme="majorEastAsia" w:cstheme="majorBidi"/>
      <w:color w:val="272727" w:themeColor="text1" w:themeTint="D8"/>
    </w:rPr>
  </w:style>
  <w:style w:type="paragraph" w:styleId="Title">
    <w:name w:val="Title"/>
    <w:basedOn w:val="Normal"/>
    <w:next w:val="Normal"/>
    <w:link w:val="TitleChar"/>
    <w:uiPriority w:val="10"/>
    <w:qFormat/>
    <w:rsid w:val="008A0CAB"/>
    <w:pPr>
      <w:spacing w:after="4pt" w:line="12pt"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A0C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0CAB"/>
    <w:pPr>
      <w:numPr>
        <w:ilvl w:val="1"/>
      </w:numPr>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A0C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0CAB"/>
    <w:pPr>
      <w:spacing w:before="8pt"/>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8A0CAB"/>
    <w:rPr>
      <w:i/>
      <w:iCs/>
      <w:color w:val="404040" w:themeColor="text1" w:themeTint="BF"/>
    </w:rPr>
  </w:style>
  <w:style w:type="paragraph" w:styleId="ListParagraph">
    <w:name w:val="List Paragraph"/>
    <w:basedOn w:val="Normal"/>
    <w:uiPriority w:val="34"/>
    <w:qFormat/>
    <w:rsid w:val="008A0CAB"/>
    <w:pPr>
      <w:ind w:start="36pt"/>
      <w:contextualSpacing/>
    </w:pPr>
    <w:rPr>
      <w:kern w:val="2"/>
      <w:lang w:val="en-US"/>
      <w14:ligatures w14:val="standardContextual"/>
    </w:rPr>
  </w:style>
  <w:style w:type="character" w:styleId="IntenseEmphasis">
    <w:name w:val="Intense Emphasis"/>
    <w:basedOn w:val="DefaultParagraphFont"/>
    <w:uiPriority w:val="21"/>
    <w:qFormat/>
    <w:rsid w:val="008A0CAB"/>
    <w:rPr>
      <w:i/>
      <w:iCs/>
      <w:color w:val="0F4761" w:themeColor="accent1" w:themeShade="BF"/>
    </w:rPr>
  </w:style>
  <w:style w:type="paragraph" w:styleId="IntenseQuote">
    <w:name w:val="Intense Quote"/>
    <w:basedOn w:val="Normal"/>
    <w:next w:val="Normal"/>
    <w:link w:val="IntenseQuoteChar"/>
    <w:uiPriority w:val="30"/>
    <w:qFormat/>
    <w:rsid w:val="008A0CAB"/>
    <w:pPr>
      <w:pBdr>
        <w:top w:val="single" w:sz="4" w:space="10" w:color="0F4761" w:themeColor="accent1" w:themeShade="BF"/>
        <w:bottom w:val="single" w:sz="4" w:space="10" w:color="0F4761" w:themeColor="accent1" w:themeShade="BF"/>
      </w:pBdr>
      <w:spacing w:before="18pt" w:after="18pt"/>
      <w:ind w:start="43.20pt" w:end="43.20pt"/>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8A0CAB"/>
    <w:rPr>
      <w:i/>
      <w:iCs/>
      <w:color w:val="0F4761" w:themeColor="accent1" w:themeShade="BF"/>
    </w:rPr>
  </w:style>
  <w:style w:type="character" w:styleId="IntenseReference">
    <w:name w:val="Intense Reference"/>
    <w:basedOn w:val="DefaultParagraphFont"/>
    <w:uiPriority w:val="32"/>
    <w:qFormat/>
    <w:rsid w:val="008A0CAB"/>
    <w:rPr>
      <w:b/>
      <w:bCs/>
      <w:smallCaps/>
      <w:color w:val="0F4761" w:themeColor="accent1" w:themeShade="BF"/>
      <w:spacing w:val="5"/>
    </w:rPr>
  </w:style>
  <w:style w:type="table" w:styleId="TableGrid">
    <w:name w:val="Table Grid"/>
    <w:basedOn w:val="TableNormal"/>
    <w:uiPriority w:val="39"/>
    <w:rsid w:val="008A0CAB"/>
    <w:pPr>
      <w:spacing w:after="0pt" w:line="12pt" w:lineRule="auto"/>
    </w:pPr>
    <w:rPr>
      <w:kern w:val="0"/>
      <w:lang w:val="en-ZA"/>
      <w14:ligatures w14:val="none"/>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purl.oclc.org/ooxml/officeDocument/relationships/webSettings" Target="webSettings.xml"/><Relationship Id="rId2" Type="http://purl.oclc.org/ooxml/officeDocument/relationships/settings" Target="settings.xml"/><Relationship Id="rId1" Type="http://purl.oclc.org/ooxml/officeDocument/relationships/styles" Target="styles.xml"/><Relationship Id="rId5" Type="http://purl.oclc.org/ooxml/officeDocument/relationships/theme" Target="theme/theme1.xml"/><Relationship Id="rId4" Type="http://purl.oclc.org/ooxml/officeDocument/relationships/fontTable" Target="fontTable.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0</TotalTime>
  <Pages>2</Pages>
  <Words>4085</Words>
  <Characters>23285</Characters>
  <Application>Microsoft Office Word</Application>
  <DocSecurity>0</DocSecurity>
  <Lines>194</Lines>
  <Paragraphs>54</Paragraphs>
  <ScaleCrop>false</ScaleCrop>
  <Company>Springer Nature</Company>
  <LinksUpToDate>false</LinksUpToDate>
  <CharactersWithSpaces>27316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2024-09-03T06:51:00Z</dcterms:created>
  <dcterms:modified xsi:type="dcterms:W3CDTF">2024-09-03T06:51:00Z</dcterms:modified>
</cp:coreProperties>
</file>