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</w:rPr>
        <w:t xml:space="preserve">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</w:rPr>
        <w:t>1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</w:rPr>
        <w:t xml:space="preserve"> Characteristics of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TET </w:t>
      </w:r>
      <w:r>
        <w:rPr>
          <w:rFonts w:hint="default" w:ascii="Times New Roman" w:hAnsi="Times New Roman" w:cs="Times New Roman"/>
          <w:b/>
          <w:bCs/>
        </w:rPr>
        <w:t xml:space="preserve">patients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in low-risk, high-risk and TC groups.</w:t>
      </w:r>
    </w:p>
    <w:tbl>
      <w:tblPr>
        <w:tblStyle w:val="5"/>
        <w:tblpPr w:leftFromText="180" w:rightFromText="180" w:vertAnchor="page" w:horzAnchor="page" w:tblpXSpec="center" w:tblpY="1953"/>
        <w:tblOverlap w:val="never"/>
        <w:tblW w:w="9279" w:type="dxa"/>
        <w:jc w:val="center"/>
        <w:tblCellSpacing w:w="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7"/>
        <w:gridCol w:w="1947"/>
        <w:gridCol w:w="2403"/>
        <w:gridCol w:w="1872"/>
        <w:gridCol w:w="113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Characteristics</w:t>
            </w:r>
          </w:p>
        </w:tc>
        <w:tc>
          <w:tcPr>
            <w:tcW w:w="1947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ow risk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(N=77)</w:t>
            </w:r>
          </w:p>
        </w:tc>
        <w:tc>
          <w:tcPr>
            <w:tcW w:w="2403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igh risk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(N=52)</w:t>
            </w:r>
          </w:p>
        </w:tc>
        <w:tc>
          <w:tcPr>
            <w:tcW w:w="1872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(N=22)</w:t>
            </w:r>
          </w:p>
        </w:tc>
        <w:tc>
          <w:tcPr>
            <w:tcW w:w="1130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Diagnosis 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Mean±SD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60.57±12.11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53.37±13.37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56.68±14.14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Gender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Female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36(23.84%)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25(16.56%)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13(8.61%)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Male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41(27.15%)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27(17.88%)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9(5.96%)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  <w:jc w:val="center"/>
        </w:trPr>
        <w:tc>
          <w:tcPr>
            <w:tcW w:w="387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 w:val="20"/>
                <w:szCs w:val="20"/>
                <w:lang w:val="en-US" w:eastAsia="zh-CN"/>
              </w:rPr>
              <w:t xml:space="preserve">WHO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classification,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24(15.89%)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0(0.0e+0%)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0(0.0e+0%)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38(25.17%)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0(0.0e+0%)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0(0.0e+0%)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15(9.93%)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0(0.0e+0%)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0(0.0e+0%)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0(0.0e+0%)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33(21.85%)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0(0.0e+0%)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0(0.0e+0%)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19(12.58%)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0(0.0e+0%)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0(0.0e+0%)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0(0.0e+0%)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22(14.57%)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Masaoka stage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26(17.22%)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10(6.62%)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1(0.66%)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II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39(25.83%)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29(19.21%)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5(3.31%)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III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7(4.64%)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7(4.64%)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2(1.32%)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IV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2(1.32%)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5(3.31%)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13(8.61%)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3(1.99%)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1(0.66%)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1(0.66%)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GTF2I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status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Mutated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57(37.75%)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10(6.62%)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2(1.32%)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Wild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type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20(13.25%)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42(27.81%)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20(13.25%)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387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TMB (nonsynonymous)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Mean±SD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0.55±0.28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0.47±0.30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1.99±4.23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387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MSI MANTIS score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Mean±SD</w:t>
            </w:r>
          </w:p>
        </w:tc>
        <w:tc>
          <w:tcPr>
            <w:tcW w:w="194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0.32±7.8e-3</w:t>
            </w:r>
          </w:p>
        </w:tc>
        <w:tc>
          <w:tcPr>
            <w:tcW w:w="2403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0.33±1.0e-2</w:t>
            </w:r>
          </w:p>
        </w:tc>
        <w:tc>
          <w:tcPr>
            <w:tcW w:w="1872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0.36±0.13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</w:tbl>
    <w:p/>
    <w:tbl>
      <w:tblPr>
        <w:tblStyle w:val="5"/>
        <w:tblpPr w:leftFromText="180" w:rightFromText="180" w:vertAnchor="page" w:horzAnchor="page" w:tblpXSpec="center" w:tblpY="2199"/>
        <w:tblOverlap w:val="never"/>
        <w:tblW w:w="8198" w:type="dxa"/>
        <w:jc w:val="center"/>
        <w:tblCellSpacing w:w="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0"/>
        <w:gridCol w:w="2250"/>
        <w:gridCol w:w="338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2560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Groups</w:t>
            </w:r>
          </w:p>
        </w:tc>
        <w:tc>
          <w:tcPr>
            <w:tcW w:w="2250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Up-regulated genes</w:t>
            </w:r>
          </w:p>
        </w:tc>
        <w:tc>
          <w:tcPr>
            <w:tcW w:w="3388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Down-regulated genes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819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D</w:t>
            </w:r>
            <w:r>
              <w:rPr>
                <w:rFonts w:hint="eastAsia" w:ascii="Times New Roman" w:hAnsi="Times New Roman" w:cs="Times New Roman"/>
                <w:b/>
                <w:bCs/>
              </w:rPr>
              <w:t>ifferentially expressed genes (DEGs)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256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High-risk vs low-risk</w:t>
            </w:r>
          </w:p>
        </w:tc>
        <w:tc>
          <w:tcPr>
            <w:tcW w:w="225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509</w:t>
            </w:r>
          </w:p>
        </w:tc>
        <w:tc>
          <w:tcPr>
            <w:tcW w:w="3388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256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TC vs High/Low-risk</w:t>
            </w:r>
          </w:p>
        </w:tc>
        <w:tc>
          <w:tcPr>
            <w:tcW w:w="225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2267</w:t>
            </w:r>
          </w:p>
        </w:tc>
        <w:tc>
          <w:tcPr>
            <w:tcW w:w="3388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819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Differentially methylated genes (DMGs)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256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High-risk vs low-risk</w:t>
            </w:r>
          </w:p>
        </w:tc>
        <w:tc>
          <w:tcPr>
            <w:tcW w:w="225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388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256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TC vs High/Low-risk</w:t>
            </w:r>
          </w:p>
        </w:tc>
        <w:tc>
          <w:tcPr>
            <w:tcW w:w="2250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3388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</w:rPr>
        <w:t xml:space="preserve">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S2.</w:t>
      </w:r>
      <w:r>
        <w:rPr>
          <w:rFonts w:hint="default" w:ascii="Times New Roman" w:hAnsi="Times New Roman" w:cs="Times New Roman"/>
          <w:b/>
          <w:bCs/>
        </w:rPr>
        <w:t xml:space="preserve"> Significantly different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</w:rPr>
        <w:t>genes between di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stinct</w:t>
      </w:r>
      <w:r>
        <w:rPr>
          <w:rFonts w:hint="default" w:ascii="Times New Roman" w:hAnsi="Times New Roman" w:cs="Times New Roman"/>
          <w:b/>
          <w:bCs/>
        </w:rPr>
        <w:t xml:space="preserve"> groups filtered by limma package (|log2FC| </w:t>
      </w:r>
      <w:r>
        <w:rPr>
          <w:rFonts w:hint="default" w:ascii="Arial" w:hAnsi="Arial" w:cs="Arial"/>
          <w:b/>
          <w:bCs/>
          <w:lang w:val="en-US"/>
        </w:rPr>
        <w:t>≥</w:t>
      </w:r>
      <w:r>
        <w:rPr>
          <w:rFonts w:hint="default" w:ascii="Times New Roman" w:hAnsi="Times New Roman" w:cs="Times New Roman"/>
          <w:b/>
          <w:bCs/>
        </w:rPr>
        <w:t xml:space="preserve">1.5 and P </w:t>
      </w:r>
      <w:r>
        <w:rPr>
          <w:rFonts w:hint="eastAsia" w:ascii="Times New Roman" w:hAnsi="Times New Roman" w:cs="Times New Roman"/>
          <w:b/>
          <w:bCs/>
        </w:rPr>
        <w:t>&lt; </w:t>
      </w:r>
      <w:r>
        <w:rPr>
          <w:rFonts w:hint="default" w:ascii="Times New Roman" w:hAnsi="Times New Roman" w:cs="Times New Roman"/>
          <w:b/>
          <w:bCs/>
        </w:rPr>
        <w:t>0.05).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val="en-US" w:eastAsia="zh-CN" w:bidi="ar"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3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000000"/>
          <w:sz w:val="22"/>
          <w:szCs w:val="22"/>
        </w:rPr>
        <w:t xml:space="preserve">Characteristics of patients about </w:t>
      </w:r>
      <w:r>
        <w:rPr>
          <w:rFonts w:ascii="Times New Roman" w:hAnsi="Times New Roman" w:eastAsia="宋体" w:cs="Times New Roman"/>
          <w:b/>
          <w:bCs/>
          <w:i/>
          <w:iCs/>
          <w:color w:val="000000"/>
          <w:kern w:val="0"/>
          <w:sz w:val="22"/>
          <w:szCs w:val="22"/>
          <w:lang w:bidi="ar"/>
        </w:rPr>
        <w:t>GTF2I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  <w:t xml:space="preserve"> mutation status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val="en-US" w:eastAsia="zh-CN" w:bidi="ar"/>
        </w:rPr>
        <w:t>.</w:t>
      </w:r>
    </w:p>
    <w:tbl>
      <w:tblPr>
        <w:tblStyle w:val="5"/>
        <w:tblpPr w:leftFromText="180" w:rightFromText="180" w:vertAnchor="page" w:horzAnchor="page" w:tblpXSpec="center" w:tblpY="1953"/>
        <w:tblOverlap w:val="never"/>
        <w:tblW w:w="9220" w:type="dxa"/>
        <w:jc w:val="center"/>
        <w:tblCellSpacing w:w="0" w:type="dxa"/>
        <w:tblInd w:w="0" w:type="dxa"/>
        <w:tblBorders>
          <w:top w:val="single" w:color="000000" w:sz="6" w:space="0"/>
          <w:left w:val="none" w:color="auto" w:sz="0" w:space="0"/>
          <w:bottom w:val="single" w:color="000000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7"/>
        <w:gridCol w:w="3369"/>
        <w:gridCol w:w="2865"/>
        <w:gridCol w:w="1059"/>
      </w:tblGrid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336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b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US" w:eastAsia="zh-CN"/>
              </w:rPr>
              <w:t>GTF2I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0"/>
                <w:szCs w:val="20"/>
                <w:lang w:val="en-US" w:eastAsia="zh-CN"/>
              </w:rPr>
              <w:t xml:space="preserve"> L424H mutation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(N=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0"/>
                <w:szCs w:val="20"/>
                <w:lang w:val="en-US" w:eastAsia="zh-CN"/>
              </w:rPr>
              <w:t>68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286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i/>
                <w:iCs/>
                <w:color w:val="000000"/>
                <w:sz w:val="20"/>
                <w:szCs w:val="20"/>
                <w:lang w:val="en-US" w:eastAsia="zh-CN"/>
              </w:rPr>
              <w:t>GTF2I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WT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(N=8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05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P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value</w:t>
            </w: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  <w:jc w:val="center"/>
        </w:trPr>
        <w:tc>
          <w:tcPr>
            <w:tcW w:w="1927" w:type="dxa"/>
            <w:tcBorders>
              <w:top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Diagnosis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0"/>
                <w:szCs w:val="20"/>
                <w:lang w:val="en-US" w:eastAsia="zh-CN"/>
              </w:rPr>
              <w:t xml:space="preserve"> a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ge</w:t>
            </w:r>
          </w:p>
        </w:tc>
        <w:tc>
          <w:tcPr>
            <w:tcW w:w="3369" w:type="dxa"/>
            <w:tcBorders>
              <w:top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</w:pPr>
          </w:p>
        </w:tc>
        <w:tc>
          <w:tcPr>
            <w:tcW w:w="2865" w:type="dxa"/>
            <w:tcBorders>
              <w:top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</w:pPr>
          </w:p>
        </w:tc>
        <w:tc>
          <w:tcPr>
            <w:tcW w:w="1059" w:type="dxa"/>
            <w:tcBorders>
              <w:top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002</w:t>
            </w: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firstLine="200" w:firstLineChars="100"/>
              <w:rPr>
                <w:rFonts w:hint="eastAsia" w:ascii="Times New Roman" w:hAnsi="Times New Roman" w:cs="Times New Roman" w:eastAsiaTheme="minorEastAsia"/>
                <w:b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lang w:val="en-US" w:eastAsia="zh-CN"/>
              </w:rPr>
              <w:t>Mean</w:t>
            </w: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lang w:val="en-US" w:eastAsia="zh-CN"/>
              </w:rPr>
              <w:t>(±SD</w:t>
            </w: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61.58±11.46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54.33±13.67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26(17.33%)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47(31.33%)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firstLine="200" w:firstLineChars="100"/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32(21.33%)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42(28.00%)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firstLine="200" w:firstLineChars="100"/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36(24.00%)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40(26.67%)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  <w:jc w:val="center"/>
        </w:trPr>
        <w:tc>
          <w:tcPr>
            <w:tcW w:w="529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 w:val="20"/>
                <w:szCs w:val="20"/>
                <w:lang w:val="en-US" w:eastAsia="zh-CN"/>
              </w:rPr>
              <w:t>WHO classification,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 w:firstLine="200" w:firstLineChars="10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22(14.67%)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2(1.33%)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 w:firstLine="200" w:firstLineChars="10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Ab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32(21.33%)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6(4.00%)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 w:firstLine="200" w:firstLineChars="100"/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B1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3(2.00%)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12(8.00%)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 w:firstLine="200" w:firstLineChars="100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B2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8(5.33%)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25(16.67%)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 w:firstLine="200" w:firstLineChars="100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B3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2(1.33%)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17(11.33%)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 w:firstLine="200" w:firstLineChars="100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1(0.67%)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20(13.33%)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  <w:t>Masaoka stage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0.007</w:t>
            </w: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firstLine="200" w:firstLineChars="100"/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24(16.00%)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13(8.67%)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firstLine="200" w:firstLineChars="100"/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II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33(22.00%)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40(26.67%)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firstLine="200" w:firstLineChars="100"/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5(3.33%)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11(7.33%)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firstLine="200" w:firstLineChars="100"/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IV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3(2.00%)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16(10.67%)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firstLine="200" w:firstLineChars="100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Unknown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3(2.00%)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2(1.33%)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529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TMB (nonsynonymous)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0.020</w:t>
            </w: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firstLine="200" w:firstLineChars="100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lang w:val="en-US" w:eastAsia="zh-CN"/>
              </w:rPr>
              <w:t>Mean (±SD</w:t>
            </w: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61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0.27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57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0.48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529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MSI MANTIS score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0.10</w:t>
            </w:r>
          </w:p>
        </w:tc>
      </w:tr>
      <w:tr>
        <w:tblPrEx>
          <w:tblBorders>
            <w:top w:val="single" w:color="000000" w:sz="6" w:space="0"/>
            <w:left w:val="none" w:color="auto" w:sz="0" w:space="0"/>
            <w:bottom w:val="single" w:color="000000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92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firstLine="200" w:firstLineChars="100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lang w:val="en-US" w:eastAsia="zh-CN"/>
              </w:rPr>
              <w:t>Mean</w:t>
            </w: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lang w:val="en-US" w:eastAsia="zh-CN"/>
              </w:rPr>
              <w:t>(±SD</w:t>
            </w: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336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0.32±0.01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0.33±0.0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</w:tr>
    </w:tbl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tbl>
      <w:tblPr>
        <w:tblStyle w:val="5"/>
        <w:tblpPr w:leftFromText="180" w:rightFromText="180" w:vertAnchor="page" w:horzAnchor="page" w:tblpXSpec="center" w:tblpY="2161"/>
        <w:tblOverlap w:val="never"/>
        <w:tblW w:w="8822" w:type="dxa"/>
        <w:jc w:val="center"/>
        <w:tblCellSpacing w:w="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26"/>
        <w:gridCol w:w="2209"/>
        <w:gridCol w:w="288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3726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Groups</w:t>
            </w:r>
          </w:p>
        </w:tc>
        <w:tc>
          <w:tcPr>
            <w:tcW w:w="2209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Up-regulated genes</w:t>
            </w:r>
          </w:p>
        </w:tc>
        <w:tc>
          <w:tcPr>
            <w:tcW w:w="2887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Down-regulated genes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882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D</w:t>
            </w:r>
            <w:r>
              <w:rPr>
                <w:rFonts w:hint="eastAsia" w:ascii="Times New Roman" w:hAnsi="Times New Roman" w:cs="Times New Roman"/>
                <w:b/>
                <w:bCs/>
              </w:rPr>
              <w:t>ifferentially expressed genes (DEGs)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3726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Mut vs Wild (all patients)</w:t>
            </w:r>
          </w:p>
        </w:tc>
        <w:tc>
          <w:tcPr>
            <w:tcW w:w="220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1750</w:t>
            </w:r>
          </w:p>
        </w:tc>
        <w:tc>
          <w:tcPr>
            <w:tcW w:w="288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3726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Mut vs Wild (low/high-risk patients)</w:t>
            </w:r>
          </w:p>
        </w:tc>
        <w:tc>
          <w:tcPr>
            <w:tcW w:w="220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1870</w:t>
            </w:r>
          </w:p>
        </w:tc>
        <w:tc>
          <w:tcPr>
            <w:tcW w:w="288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882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Differentially methylated genes (DMGs)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3726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Mut vs Wild (all patients)</w:t>
            </w:r>
          </w:p>
        </w:tc>
        <w:tc>
          <w:tcPr>
            <w:tcW w:w="220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88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3726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Mut vs Wild (low/high-risk patients)</w:t>
            </w:r>
          </w:p>
        </w:tc>
        <w:tc>
          <w:tcPr>
            <w:tcW w:w="2209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887" w:type="dxa"/>
            <w:tcBorders>
              <w:tl2br w:val="nil"/>
              <w:tr2bl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</w:rPr>
        <w:t xml:space="preserve">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S4.</w:t>
      </w:r>
      <w:r>
        <w:rPr>
          <w:rFonts w:hint="default" w:ascii="Times New Roman" w:hAnsi="Times New Roman" w:cs="Times New Roman"/>
          <w:b/>
          <w:bCs/>
        </w:rPr>
        <w:t xml:space="preserve"> Significantly different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</w:rPr>
        <w:t xml:space="preserve">genes between </w:t>
      </w:r>
      <w:r>
        <w:rPr>
          <w:rFonts w:hint="eastAsia" w:ascii="Times New Roman" w:hAnsi="Times New Roman" w:cs="Times New Roman"/>
          <w:b/>
          <w:bCs/>
          <w:i/>
          <w:iCs/>
          <w:lang w:val="en-US" w:eastAsia="zh-CN"/>
        </w:rPr>
        <w:t xml:space="preserve">GTF2I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mutation and wild-type</w:t>
      </w:r>
      <w:r>
        <w:rPr>
          <w:rFonts w:hint="default" w:ascii="Times New Roman" w:hAnsi="Times New Roman" w:cs="Times New Roman"/>
          <w:b/>
          <w:bCs/>
        </w:rPr>
        <w:t xml:space="preserve"> groups filtered by limma package (|log2FC| </w:t>
      </w:r>
      <w:r>
        <w:rPr>
          <w:rFonts w:hint="default" w:ascii="Arial" w:hAnsi="Arial" w:cs="Arial"/>
          <w:b/>
          <w:bCs/>
          <w:lang w:val="en-US"/>
        </w:rPr>
        <w:t>≥</w:t>
      </w:r>
      <w:r>
        <w:rPr>
          <w:rFonts w:hint="default" w:ascii="Times New Roman" w:hAnsi="Times New Roman" w:cs="Times New Roman"/>
          <w:b/>
          <w:bCs/>
        </w:rPr>
        <w:t xml:space="preserve">1.5 and P </w:t>
      </w:r>
      <w:r>
        <w:rPr>
          <w:rFonts w:hint="eastAsia" w:ascii="Times New Roman" w:hAnsi="Times New Roman" w:cs="Times New Roman"/>
          <w:b/>
          <w:bCs/>
        </w:rPr>
        <w:t>&lt; </w:t>
      </w:r>
      <w:r>
        <w:rPr>
          <w:rFonts w:hint="default" w:ascii="Times New Roman" w:hAnsi="Times New Roman" w:cs="Times New Roman"/>
          <w:b/>
          <w:bCs/>
        </w:rPr>
        <w:t>0.05).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tabs>
          <w:tab w:val="left" w:pos="1465"/>
        </w:tabs>
        <w:jc w:val="left"/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ind w:right="-733" w:rightChars="-349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Table S5.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Univariate and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stepwose 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multivariate Cox hazard analysis of risk factors for thymoma survival.</w:t>
      </w:r>
    </w:p>
    <w:tbl>
      <w:tblPr>
        <w:tblStyle w:val="6"/>
        <w:tblW w:w="970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9"/>
        <w:gridCol w:w="900"/>
        <w:gridCol w:w="1527"/>
        <w:gridCol w:w="819"/>
        <w:gridCol w:w="150"/>
        <w:gridCol w:w="1268"/>
        <w:gridCol w:w="1445"/>
        <w:gridCol w:w="135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57" w:hRule="atLeast"/>
        </w:trPr>
        <w:tc>
          <w:tcPr>
            <w:tcW w:w="2249" w:type="dxa"/>
            <w:vMerge w:val="restart"/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</w:p>
        </w:tc>
        <w:tc>
          <w:tcPr>
            <w:tcW w:w="324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Univariate analysis</w:t>
            </w:r>
          </w:p>
        </w:tc>
        <w:tc>
          <w:tcPr>
            <w:tcW w:w="4213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Multivariate analysis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24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</w:p>
        </w:tc>
        <w:tc>
          <w:tcPr>
            <w:tcW w:w="90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HR</w:t>
            </w:r>
          </w:p>
        </w:tc>
        <w:tc>
          <w:tcPr>
            <w:tcW w:w="152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95%Cl</w:t>
            </w:r>
          </w:p>
        </w:tc>
        <w:tc>
          <w:tcPr>
            <w:tcW w:w="9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12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HR</w:t>
            </w:r>
          </w:p>
        </w:tc>
        <w:tc>
          <w:tcPr>
            <w:tcW w:w="14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95%Cl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49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eastAsia="zh-CN"/>
              </w:rPr>
              <w:t>Diagnosis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 a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eastAsia="zh-CN"/>
              </w:rPr>
              <w:t>ge</w:t>
            </w:r>
          </w:p>
        </w:tc>
        <w:tc>
          <w:tcPr>
            <w:tcW w:w="90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1.054</w:t>
            </w:r>
          </w:p>
        </w:tc>
        <w:tc>
          <w:tcPr>
            <w:tcW w:w="152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0.988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1.125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0.112</w:t>
            </w:r>
          </w:p>
        </w:tc>
        <w:tc>
          <w:tcPr>
            <w:tcW w:w="1268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445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35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Gender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1.839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0.408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8.287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0.428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eastAsia="zh-CN"/>
              </w:rPr>
              <w:t>WHO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eastAsia="zh-CN"/>
              </w:rPr>
              <w:t>lass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0.838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0.451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1.556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0.575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eastAsia="zh-CN"/>
              </w:rPr>
              <w:t>Masaoka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 s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eastAsia="zh-CN"/>
              </w:rPr>
              <w:t>tage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2.274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0.703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7.359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0.170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/>
                <w:iCs/>
                <w:vertAlign w:val="baseline"/>
                <w:lang w:eastAsia="zh-CN"/>
              </w:rPr>
              <w:t>GTF2I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vertAlign w:val="baseline"/>
                <w:lang w:eastAsia="zh-CN"/>
              </w:rPr>
              <w:t xml:space="preserve"> status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2.373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0.457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12.314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0.304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TMB (nonsynonymous)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13.348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0.720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247.584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0.082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Not selected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Not selected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Not selected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vertAlign w:val="baseline"/>
                <w:lang w:val="en-US" w:eastAsia="zh-CN"/>
              </w:rPr>
              <w:t>CDH2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 expression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0.804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0.668-0967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0.021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Not selected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Not selected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Not selected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vertAlign w:val="baseline"/>
                <w:lang w:val="en-US" w:eastAsia="zh-CN"/>
              </w:rPr>
              <w:t>CXCL12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 expression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1.154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0.878-1.516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0.305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vertAlign w:val="baseline"/>
                <w:lang w:val="en-US" w:eastAsia="zh-CN"/>
              </w:rPr>
              <w:t>EGF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 expression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1.543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1.167--2.039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0.002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1.808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0.9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86-</w:t>
            </w: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3.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315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0.056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vertAlign w:val="baseline"/>
                <w:lang w:val="en-US" w:eastAsia="zh-CN"/>
              </w:rPr>
              <w:t>FGF5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 expression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0.783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0.514-1.193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0.255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vertAlign w:val="baseline"/>
                <w:lang w:val="en-US" w:eastAsia="zh-CN"/>
              </w:rPr>
              <w:t>FGF10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 expression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1.110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0.988-1.248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0.079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1.140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0.97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9-</w:t>
            </w: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1.32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0.091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vertAlign w:val="baseline"/>
                <w:lang w:val="en-US" w:eastAsia="zh-CN"/>
              </w:rPr>
              <w:t>FGF17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 expression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0.903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0.789-1.033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0.139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vertAlign w:val="baseline"/>
                <w:lang w:val="en-US" w:eastAsia="zh-CN"/>
              </w:rPr>
              <w:t>FGF20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 expression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1.082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0.990-1.182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0.082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1.306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1.0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60-</w:t>
            </w: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1.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610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vertAlign w:val="baseline"/>
                <w:lang w:val="en-US" w:eastAsia="zh-CN"/>
              </w:rPr>
              <w:t>FN1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 expression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0.732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0.393-1.364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0.326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vertAlign w:val="baseline"/>
                <w:lang w:val="en-US" w:eastAsia="zh-CN"/>
              </w:rPr>
              <w:t>PXDNL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 expression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1.011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0.790-1.294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0.930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vertAlign w:val="baseline"/>
                <w:lang w:val="en-US" w:eastAsia="zh-CN"/>
              </w:rPr>
              <w:t>TWIST1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 expression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0.826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0.707-0.966</w:t>
            </w:r>
          </w:p>
        </w:tc>
        <w:tc>
          <w:tcPr>
            <w:tcW w:w="96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0.017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0.865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0.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736-</w:t>
            </w:r>
            <w:r>
              <w:rPr>
                <w:rFonts w:hint="default" w:ascii="Times New Roman" w:hAnsi="Times New Roman" w:cs="Times New Roman" w:eastAsiaTheme="minorEastAsia"/>
                <w:vertAlign w:val="baseline"/>
                <w:lang w:eastAsia="zh-CN"/>
              </w:rPr>
              <w:t>1.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017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0.080</w:t>
            </w:r>
          </w:p>
        </w:tc>
      </w:tr>
    </w:tbl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tabs>
          <w:tab w:val="left" w:pos="8989"/>
        </w:tabs>
        <w:jc w:val="left"/>
        <w:rPr>
          <w:rFonts w:hint="eastAsia"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  <w:tab/>
      </w:r>
    </w:p>
    <w:p>
      <w:pPr>
        <w:tabs>
          <w:tab w:val="left" w:pos="8989"/>
        </w:tabs>
        <w:jc w:val="left"/>
        <w:rPr>
          <w:rFonts w:hint="eastAsia" w:ascii="Times New Roman" w:hAnsi="Times New Roman" w:eastAsia="宋体" w:cs="Times New Roman"/>
          <w:color w:val="000000"/>
          <w:kern w:val="0"/>
          <w:sz w:val="22"/>
          <w:szCs w:val="22"/>
          <w:lang w:val="en-US" w:eastAsia="zh-CN" w:bidi="ar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/>
    <w:p/>
    <w:p/>
    <w:p/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S1. </w:t>
      </w:r>
      <w:r>
        <w:rPr>
          <w:rFonts w:hint="eastAsia" w:ascii="Times New Roman" w:hAnsi="Times New Roman" w:cs="Times New Roman"/>
          <w:b/>
          <w:bCs/>
        </w:rPr>
        <w:t xml:space="preserve">Volcano plots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of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DEGs</w:t>
      </w:r>
      <w:r>
        <w:rPr>
          <w:rFonts w:hint="eastAsia" w:ascii="Times New Roman" w:hAnsi="Times New Roman" w:cs="Times New Roman"/>
          <w:b/>
          <w:bCs/>
        </w:rPr>
        <w:t xml:space="preserve"> (A and B) and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DMGs</w:t>
      </w:r>
      <w:r>
        <w:rPr>
          <w:rFonts w:hint="eastAsia" w:ascii="Times New Roman" w:hAnsi="Times New Roman" w:cs="Times New Roman"/>
          <w:b/>
          <w:bCs/>
        </w:rPr>
        <w:t xml:space="preserve"> (C and D) between high-risk and low-risk groups, as well as between L/H and TC groups in TETs.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778885"/>
            <wp:effectExtent l="0" t="0" r="8890" b="12065"/>
            <wp:docPr id="1" name="图片 1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77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05095" cy="3665855"/>
            <wp:effectExtent l="0" t="0" r="14605" b="10795"/>
            <wp:docPr id="2" name="图片 2" descr="Fig.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.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05095" cy="3665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ascii="Times New Roman" w:hAnsi="Times New Roman" w:cs="Times New Roman"/>
          <w:b/>
          <w:bCs/>
        </w:rPr>
        <w:t xml:space="preserve">Figure S2 The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DEGs and DMGs between </w:t>
      </w:r>
      <w:r>
        <w:rPr>
          <w:rFonts w:ascii="Times New Roman" w:hAnsi="Times New Roman" w:cs="Times New Roman"/>
          <w:b/>
          <w:bCs/>
          <w:i/>
          <w:iCs/>
        </w:rPr>
        <w:t>GTF2I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L424H </w:t>
      </w:r>
      <w:r>
        <w:rPr>
          <w:rFonts w:ascii="Times New Roman" w:hAnsi="Times New Roman" w:cs="Times New Roman"/>
          <w:b/>
          <w:bCs/>
        </w:rPr>
        <w:t>muta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tion and wild-type TETs, as well as intersection with low-risk group.</w:t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The volcano plot illustrates differentially expressed genes (A) and differentially methylated genes (B) between the </w:t>
      </w:r>
      <w:r>
        <w:rPr>
          <w:rFonts w:hint="eastAsia" w:ascii="Times New Roman" w:hAnsi="Times New Roman" w:cs="Times New Roman"/>
          <w:i/>
          <w:iCs/>
        </w:rPr>
        <w:t>GTF2I</w:t>
      </w:r>
      <w:r>
        <w:rPr>
          <w:rFonts w:hint="eastAsia" w:ascii="Times New Roman" w:hAnsi="Times New Roman" w:cs="Times New Roman"/>
        </w:rPr>
        <w:t xml:space="preserve"> L424H mutation group and the wild-type group.</w:t>
      </w:r>
      <w:r>
        <w:rPr>
          <w:rFonts w:ascii="Times New Roman" w:hAnsi="Times New Roman" w:cs="Times New Roman"/>
        </w:rPr>
        <w:t xml:space="preserve"> The Venn plot of upregulated (C) and downregulated (D) genes between </w:t>
      </w:r>
      <w:r>
        <w:rPr>
          <w:rFonts w:ascii="Times New Roman" w:hAnsi="Times New Roman" w:cs="Times New Roman"/>
          <w:i/>
          <w:iCs/>
        </w:rPr>
        <w:t>GTF2I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L424H </w:t>
      </w:r>
      <w:r>
        <w:rPr>
          <w:rFonts w:ascii="Times New Roman" w:hAnsi="Times New Roman" w:cs="Times New Roman"/>
        </w:rPr>
        <w:t>mutation status (orange circle) and risk status (blue circle).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71465" cy="3479165"/>
            <wp:effectExtent l="0" t="0" r="635" b="6985"/>
            <wp:docPr id="3" name="图片 3" descr="Fig.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71465" cy="347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S3 The detailed mutations in P53 (A) and Hippo (B) pathways compared with </w:t>
      </w:r>
      <w:r>
        <w:rPr>
          <w:rFonts w:ascii="Times New Roman" w:hAnsi="Times New Roman" w:cs="Times New Roman"/>
          <w:b/>
          <w:bCs/>
          <w:i/>
          <w:iCs/>
        </w:rPr>
        <w:t xml:space="preserve">GTF2I </w:t>
      </w:r>
      <w:r>
        <w:rPr>
          <w:rFonts w:ascii="Times New Roman" w:hAnsi="Times New Roman" w:cs="Times New Roman"/>
          <w:b/>
          <w:bCs/>
        </w:rPr>
        <w:t>mutat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ion</w:t>
      </w:r>
      <w:r>
        <w:rPr>
          <w:rFonts w:ascii="Times New Roman" w:hAnsi="Times New Roman" w:cs="Times New Roman"/>
          <w:b/>
          <w:bCs/>
        </w:rPr>
        <w:t xml:space="preserve"> and wild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-</w:t>
      </w:r>
      <w:r>
        <w:rPr>
          <w:rFonts w:ascii="Times New Roman" w:hAnsi="Times New Roman" w:cs="Times New Roman"/>
          <w:b/>
          <w:bCs/>
        </w:rPr>
        <w:t>type groups.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36565" cy="2352675"/>
            <wp:effectExtent l="0" t="0" r="6985" b="9525"/>
            <wp:docPr id="4" name="图片 4" descr="Fig.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.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36565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S4 The </w:t>
      </w:r>
      <w:r>
        <w:rPr>
          <w:rFonts w:hint="eastAsia" w:ascii="Times New Roman" w:hAnsi="Times New Roman" w:cs="Times New Roman"/>
          <w:b/>
          <w:bCs/>
        </w:rPr>
        <w:t>Kaplan-Meier</w:t>
      </w:r>
      <w:r>
        <w:rPr>
          <w:rFonts w:ascii="Times New Roman" w:hAnsi="Times New Roman" w:cs="Times New Roman"/>
          <w:b/>
          <w:bCs/>
        </w:rPr>
        <w:t xml:space="preserve"> plot of overall survival (OS) (A) and </w:t>
      </w:r>
      <w:r>
        <w:rPr>
          <w:rFonts w:hint="eastAsia" w:ascii="Times New Roman" w:hAnsi="Times New Roman" w:cs="Times New Roman"/>
          <w:b/>
          <w:bCs/>
          <w:szCs w:val="21"/>
        </w:rPr>
        <w:t>disease-free survival (DFS)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(B) between </w:t>
      </w:r>
      <w:r>
        <w:rPr>
          <w:rFonts w:ascii="Times New Roman" w:hAnsi="Times New Roman" w:cs="Times New Roman"/>
          <w:b/>
          <w:bCs/>
          <w:i/>
          <w:iCs/>
        </w:rPr>
        <w:t>GTF2I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L424H </w:t>
      </w:r>
      <w:r>
        <w:rPr>
          <w:rFonts w:ascii="Times New Roman" w:hAnsi="Times New Roman" w:cs="Times New Roman"/>
          <w:b/>
          <w:bCs/>
        </w:rPr>
        <w:t>mutation and wild-type thymoma patients.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29860" cy="4800600"/>
            <wp:effectExtent l="0" t="0" r="8890" b="0"/>
            <wp:docPr id="5" name="图片 5" descr="Fig.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. 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9860" cy="480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b/>
          <w:bCs/>
          <w:szCs w:val="21"/>
        </w:rPr>
        <w:t xml:space="preserve">Figure S5 The expression profile of immune checkpoints in </w:t>
      </w:r>
      <w:r>
        <w:rPr>
          <w:rFonts w:ascii="Times New Roman" w:hAnsi="Times New Roman" w:eastAsia="宋体" w:cs="Times New Roman"/>
          <w:b/>
          <w:bCs/>
          <w:i/>
          <w:iCs/>
          <w:szCs w:val="21"/>
        </w:rPr>
        <w:t>GTF2I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 xml:space="preserve">L424H </w:t>
      </w:r>
      <w:r>
        <w:rPr>
          <w:rFonts w:ascii="Times New Roman" w:hAnsi="Times New Roman" w:eastAsia="宋体" w:cs="Times New Roman"/>
          <w:b/>
          <w:bCs/>
          <w:szCs w:val="21"/>
        </w:rPr>
        <w:t>muta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tion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and wild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-</w:t>
      </w:r>
      <w:r>
        <w:rPr>
          <w:rFonts w:ascii="Times New Roman" w:hAnsi="Times New Roman" w:eastAsia="宋体" w:cs="Times New Roman"/>
          <w:b/>
          <w:bCs/>
          <w:szCs w:val="21"/>
        </w:rPr>
        <w:t>type groups</w:t>
      </w:r>
      <w:r>
        <w:rPr>
          <w:rFonts w:hint="eastAsia" w:ascii="Times New Roman" w:hAnsi="Times New Roman" w:eastAsia="宋体" w:cs="Times New Roman"/>
          <w:szCs w:val="21"/>
        </w:rPr>
        <w:t>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23510" cy="6353175"/>
            <wp:effectExtent l="0" t="0" r="15240" b="9525"/>
            <wp:docPr id="6" name="图片 6" descr="Fig.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. 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23510" cy="635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 S6 The relationship between the expression level of the top 10 hub genes and OS (A), and PFS (B).</w:t>
      </w: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hint="eastAsia" w:ascii="Times New Roman" w:hAnsi="Times New Roman" w:cs="Times New Roman" w:eastAsiaTheme="minorEastAsia"/>
          <w:b/>
          <w:bCs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lang w:eastAsia="zh-CN"/>
        </w:rPr>
        <w:drawing>
          <wp:inline distT="0" distB="0" distL="114300" distR="114300">
            <wp:extent cx="5233035" cy="2558415"/>
            <wp:effectExtent l="0" t="0" r="5715" b="13335"/>
            <wp:docPr id="7" name="图片 7" descr="Fig.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. S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3035" cy="255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Figure S7 The univariate Cox regression analysis of the expression of diagnostic age, gender, WHO classification, Masaoka stage, </w:t>
      </w:r>
      <w:r>
        <w:rPr>
          <w:rFonts w:ascii="Times New Roman" w:hAnsi="Times New Roman" w:cs="Times New Roman"/>
          <w:b/>
          <w:bCs/>
          <w:i/>
          <w:iCs/>
        </w:rPr>
        <w:t>GTF2I</w:t>
      </w:r>
      <w:r>
        <w:rPr>
          <w:rFonts w:ascii="Times New Roman" w:hAnsi="Times New Roman" w:cs="Times New Roman"/>
          <w:b/>
          <w:bCs/>
        </w:rPr>
        <w:t xml:space="preserve"> status, and TMB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sectPr>
      <w:pgSz w:w="11850" w:h="16783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BEF"/>
    <w:rsid w:val="002C3030"/>
    <w:rsid w:val="00FF3BEF"/>
    <w:rsid w:val="263F251C"/>
    <w:rsid w:val="57E1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qFormat/>
    <w:uiPriority w:val="99"/>
    <w:rPr>
      <w:color w:val="343434"/>
      <w:u w:val="none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">
    <w:name w:val="清单表 21"/>
    <w:basedOn w:val="5"/>
    <w:qFormat/>
    <w:uiPriority w:val="47"/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  <w:tblLayout w:type="fixed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717</Words>
  <Characters>4007</Characters>
  <Lines>4089</Lines>
  <Paragraphs>4230</Paragraphs>
  <TotalTime>0</TotalTime>
  <ScaleCrop>false</ScaleCrop>
  <LinksUpToDate>false</LinksUpToDate>
  <CharactersWithSpaces>4369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2023-10-19T09:08:00Z</dcterms:created>
  <dc:creator>yy</dc:creator>
  <cp:lastModifiedBy>赵寇kou</cp:lastModifiedBy>
  <dcterms:modified xsi:type="dcterms:W3CDTF">2024-01-29T03:20:48Z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GrammarlyDocumentId">
    <vt:lpwstr>36ab8e276b182bdeb47355639e7fa3bd16cc965c77f999faf60cc7ccec1f4d80</vt:lpwstr>
  </property>
</Properties>
</file>