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757625" w14:textId="587188C5" w:rsidR="00D5415A" w:rsidRDefault="00D5415A" w:rsidP="00D5415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 w:rsidR="00C63F1A">
        <w:rPr>
          <w:rFonts w:ascii="Times New Roman" w:hAnsi="Times New Roman" w:cs="Times New Roman"/>
          <w:sz w:val="24"/>
        </w:rPr>
        <w:t>able</w:t>
      </w:r>
      <w:r>
        <w:rPr>
          <w:rFonts w:ascii="Times New Roman" w:hAnsi="Times New Roman" w:cs="Times New Roman"/>
          <w:sz w:val="24"/>
        </w:rPr>
        <w:t xml:space="preserve"> 1. </w:t>
      </w:r>
      <w:r w:rsidRPr="001A1280">
        <w:rPr>
          <w:rFonts w:ascii="Times New Roman" w:hAnsi="Times New Roman" w:cs="Times New Roman"/>
          <w:sz w:val="24"/>
        </w:rPr>
        <w:t xml:space="preserve">Existing and new deformation rates for the Tuz </w:t>
      </w:r>
      <w:proofErr w:type="spellStart"/>
      <w:r w:rsidRPr="001A1280">
        <w:rPr>
          <w:rFonts w:ascii="Times New Roman" w:hAnsi="Times New Roman" w:cs="Times New Roman"/>
          <w:sz w:val="24"/>
        </w:rPr>
        <w:t>Gölü</w:t>
      </w:r>
      <w:proofErr w:type="spellEnd"/>
      <w:r w:rsidRPr="001A1280">
        <w:rPr>
          <w:rFonts w:ascii="Times New Roman" w:hAnsi="Times New Roman" w:cs="Times New Roman"/>
          <w:sz w:val="24"/>
        </w:rPr>
        <w:t xml:space="preserve"> Fault Zone</w:t>
      </w:r>
    </w:p>
    <w:tbl>
      <w:tblPr>
        <w:tblW w:w="10286" w:type="dxa"/>
        <w:tblLayout w:type="fixed"/>
        <w:tblLook w:val="04A0" w:firstRow="1" w:lastRow="0" w:firstColumn="1" w:lastColumn="0" w:noHBand="0" w:noVBand="1"/>
      </w:tblPr>
      <w:tblGrid>
        <w:gridCol w:w="1986"/>
        <w:gridCol w:w="1275"/>
        <w:gridCol w:w="2505"/>
        <w:gridCol w:w="4520"/>
      </w:tblGrid>
      <w:tr w:rsidR="00D5415A" w14:paraId="162C3B9A" w14:textId="77777777" w:rsidTr="00697597">
        <w:trPr>
          <w:trHeight w:val="718"/>
        </w:trPr>
        <w:tc>
          <w:tcPr>
            <w:tcW w:w="1986" w:type="dxa"/>
            <w:tcBorders>
              <w:top w:val="double" w:sz="6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0F83F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Vertical displacement (mm/a)</w:t>
            </w:r>
          </w:p>
        </w:tc>
        <w:tc>
          <w:tcPr>
            <w:tcW w:w="1275" w:type="dxa"/>
            <w:tcBorders>
              <w:top w:val="double" w:sz="6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4740F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Strike slip movement (mm/a) </w:t>
            </w:r>
          </w:p>
        </w:tc>
        <w:tc>
          <w:tcPr>
            <w:tcW w:w="2505" w:type="dxa"/>
            <w:tcBorders>
              <w:top w:val="double" w:sz="6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9475E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Reference</w:t>
            </w:r>
          </w:p>
        </w:tc>
        <w:tc>
          <w:tcPr>
            <w:tcW w:w="4520" w:type="dxa"/>
            <w:tcBorders>
              <w:top w:val="double" w:sz="6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7C433D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Method</w:t>
            </w:r>
          </w:p>
        </w:tc>
      </w:tr>
      <w:tr w:rsidR="00D5415A" w14:paraId="07BCE0E3" w14:textId="77777777" w:rsidTr="00697597">
        <w:trPr>
          <w:trHeight w:val="991"/>
        </w:trPr>
        <w:tc>
          <w:tcPr>
            <w:tcW w:w="1986" w:type="dxa"/>
            <w:shd w:val="clear" w:color="auto" w:fill="auto"/>
            <w:vAlign w:val="center"/>
          </w:tcPr>
          <w:p w14:paraId="39F73E84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 (northern)</w:t>
            </w:r>
          </w:p>
          <w:p w14:paraId="5D2610F0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0.053 (southern)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64AFDD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N.D.</w:t>
            </w:r>
          </w:p>
        </w:tc>
        <w:tc>
          <w:tcPr>
            <w:tcW w:w="2505" w:type="dxa"/>
            <w:shd w:val="clear" w:color="auto" w:fill="auto"/>
            <w:vAlign w:val="center"/>
          </w:tcPr>
          <w:p w14:paraId="69BB819B" w14:textId="6ACF2D28" w:rsidR="00D5415A" w:rsidRDefault="00DB47AE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AT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de-AT" w:eastAsia="en-GB"/>
              </w:rPr>
              <w:t>Kürçer and Gökten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de-AT" w:eastAsia="en-GB"/>
              </w:rPr>
              <w:t>1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59680CB8" w14:textId="01ACE728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Paleoseismic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trenching,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 and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 geochronology</w:t>
            </w:r>
            <w:r w:rsidR="00DB47AE"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2</w:t>
            </w:r>
          </w:p>
        </w:tc>
      </w:tr>
      <w:tr w:rsidR="00D5415A" w14:paraId="597AADCC" w14:textId="77777777" w:rsidTr="00697597">
        <w:trPr>
          <w:trHeight w:val="247"/>
        </w:trPr>
        <w:tc>
          <w:tcPr>
            <w:tcW w:w="1986" w:type="dxa"/>
            <w:shd w:val="clear" w:color="auto" w:fill="auto"/>
            <w:vAlign w:val="center"/>
          </w:tcPr>
          <w:p w14:paraId="740C297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19FEBF7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4.7</w:t>
            </w:r>
          </w:p>
        </w:tc>
        <w:tc>
          <w:tcPr>
            <w:tcW w:w="2505" w:type="dxa"/>
            <w:shd w:val="clear" w:color="auto" w:fill="auto"/>
            <w:vAlign w:val="center"/>
          </w:tcPr>
          <w:p w14:paraId="3F2C1083" w14:textId="29044FF1" w:rsidR="00D5415A" w:rsidRDefault="00DB47AE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>Aktuğ et al.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3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18824AC2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Kinematic analysis, GPS block modelling</w:t>
            </w:r>
          </w:p>
        </w:tc>
      </w:tr>
      <w:tr w:rsidR="00D5415A" w14:paraId="435A3B1F" w14:textId="77777777" w:rsidTr="00697597">
        <w:trPr>
          <w:trHeight w:val="151"/>
        </w:trPr>
        <w:tc>
          <w:tcPr>
            <w:tcW w:w="1986" w:type="dxa"/>
            <w:shd w:val="clear" w:color="auto" w:fill="auto"/>
            <w:vAlign w:val="center"/>
          </w:tcPr>
          <w:p w14:paraId="526A433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  <w:p w14:paraId="51A1D2E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0.03–0.05 (western)-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4825932E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 N.D.</w:t>
            </w:r>
          </w:p>
        </w:tc>
        <w:tc>
          <w:tcPr>
            <w:tcW w:w="2505" w:type="dxa"/>
            <w:vMerge w:val="restart"/>
            <w:shd w:val="clear" w:color="auto" w:fill="auto"/>
            <w:vAlign w:val="center"/>
          </w:tcPr>
          <w:p w14:paraId="648C37AE" w14:textId="257BA67F" w:rsidR="00D5415A" w:rsidRDefault="00DB47AE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>Özsayın et al.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4</w:t>
            </w:r>
          </w:p>
        </w:tc>
        <w:tc>
          <w:tcPr>
            <w:tcW w:w="4520" w:type="dxa"/>
            <w:vMerge w:val="restart"/>
            <w:shd w:val="clear" w:color="auto" w:fill="auto"/>
            <w:vAlign w:val="center"/>
          </w:tcPr>
          <w:p w14:paraId="72410498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Geomorphology, geology,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 geochronology</w:t>
            </w:r>
          </w:p>
        </w:tc>
      </w:tr>
      <w:tr w:rsidR="00D5415A" w14:paraId="0C84E784" w14:textId="77777777" w:rsidTr="00697597">
        <w:trPr>
          <w:trHeight w:val="495"/>
        </w:trPr>
        <w:tc>
          <w:tcPr>
            <w:tcW w:w="1986" w:type="dxa"/>
            <w:shd w:val="clear" w:color="auto" w:fill="auto"/>
            <w:vAlign w:val="center"/>
          </w:tcPr>
          <w:p w14:paraId="779AF07F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0.08–0.13 (eastern)</w:t>
            </w:r>
          </w:p>
        </w:tc>
        <w:tc>
          <w:tcPr>
            <w:tcW w:w="1275" w:type="dxa"/>
            <w:vMerge/>
            <w:vAlign w:val="center"/>
          </w:tcPr>
          <w:p w14:paraId="0E0928FB" w14:textId="77777777" w:rsidR="00D5415A" w:rsidRDefault="00D5415A" w:rsidP="00697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505" w:type="dxa"/>
            <w:vMerge/>
            <w:vAlign w:val="center"/>
          </w:tcPr>
          <w:p w14:paraId="1075EDF1" w14:textId="77777777" w:rsidR="00D5415A" w:rsidRDefault="00D5415A" w:rsidP="00697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20" w:type="dxa"/>
            <w:vMerge/>
            <w:vAlign w:val="center"/>
          </w:tcPr>
          <w:p w14:paraId="1735F857" w14:textId="77777777" w:rsidR="00D5415A" w:rsidRDefault="00D5415A" w:rsidP="00697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D5415A" w14:paraId="69F050E5" w14:textId="77777777" w:rsidTr="00697597">
        <w:trPr>
          <w:trHeight w:val="296"/>
        </w:trPr>
        <w:tc>
          <w:tcPr>
            <w:tcW w:w="1986" w:type="dxa"/>
            <w:shd w:val="clear" w:color="auto" w:fill="auto"/>
            <w:vAlign w:val="center"/>
          </w:tcPr>
          <w:p w14:paraId="61B2787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N.D.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C51C78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0.58–3.53</w:t>
            </w:r>
          </w:p>
          <w:p w14:paraId="22E1DEE5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14:paraId="3C5AF06E" w14:textId="3388F0FD" w:rsidR="00D5415A" w:rsidRDefault="00DB47AE" w:rsidP="00DB47A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 xml:space="preserve">Krystopowicz 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5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07C68D4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Kinematic analysis and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Ar geochronology</w:t>
            </w:r>
          </w:p>
          <w:p w14:paraId="67274E36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D5415A" w14:paraId="4E22F688" w14:textId="77777777" w:rsidTr="00697597">
        <w:trPr>
          <w:trHeight w:val="371"/>
        </w:trPr>
        <w:tc>
          <w:tcPr>
            <w:tcW w:w="1986" w:type="dxa"/>
            <w:shd w:val="clear" w:color="auto" w:fill="auto"/>
            <w:vAlign w:val="center"/>
          </w:tcPr>
          <w:p w14:paraId="435C54E1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0.0714-0.112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83126F6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N.D.</w:t>
            </w:r>
          </w:p>
        </w:tc>
        <w:tc>
          <w:tcPr>
            <w:tcW w:w="2505" w:type="dxa"/>
            <w:shd w:val="clear" w:color="auto" w:fill="auto"/>
          </w:tcPr>
          <w:p w14:paraId="20B08270" w14:textId="13AF16BA" w:rsidR="00D5415A" w:rsidRDefault="00DB47AE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>Öztürk et al.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6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2E88B8B6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Electrical resistivity and thermoluminescence dating,</w:t>
            </w:r>
          </w:p>
        </w:tc>
      </w:tr>
      <w:tr w:rsidR="00D5415A" w14:paraId="11CDC93E" w14:textId="77777777" w:rsidTr="00697597">
        <w:trPr>
          <w:trHeight w:val="463"/>
        </w:trPr>
        <w:tc>
          <w:tcPr>
            <w:tcW w:w="1986" w:type="dxa"/>
            <w:shd w:val="clear" w:color="auto" w:fill="auto"/>
            <w:vAlign w:val="center"/>
          </w:tcPr>
          <w:p w14:paraId="2E58A622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2.0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9EA4151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1.8</w:t>
            </w:r>
          </w:p>
        </w:tc>
        <w:tc>
          <w:tcPr>
            <w:tcW w:w="2505" w:type="dxa"/>
            <w:shd w:val="clear" w:color="auto" w:fill="auto"/>
            <w:vAlign w:val="center"/>
          </w:tcPr>
          <w:p w14:paraId="4AD88788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  <w:p w14:paraId="3FC27799" w14:textId="3F07A713" w:rsidR="00D5415A" w:rsidRDefault="00DB47AE" w:rsidP="00DB47A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>Gezgin et al.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7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22730C50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  <w:p w14:paraId="32AC29D6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GNSS, GPS block modelling</w:t>
            </w:r>
          </w:p>
        </w:tc>
      </w:tr>
      <w:tr w:rsidR="00D5415A" w14:paraId="3EB0122A" w14:textId="77777777" w:rsidTr="00697597">
        <w:trPr>
          <w:trHeight w:val="247"/>
        </w:trPr>
        <w:tc>
          <w:tcPr>
            <w:tcW w:w="1986" w:type="dxa"/>
            <w:shd w:val="clear" w:color="auto" w:fill="auto"/>
            <w:vAlign w:val="center"/>
          </w:tcPr>
          <w:p w14:paraId="1EAE027A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N.D.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A1C995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2505" w:type="dxa"/>
            <w:shd w:val="clear" w:color="auto" w:fill="auto"/>
            <w:vAlign w:val="center"/>
          </w:tcPr>
          <w:p w14:paraId="1DBF02A4" w14:textId="23A16503" w:rsidR="00D5415A" w:rsidRDefault="00DB47AE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en-GB"/>
              </w:rPr>
              <w:t>Özbey et al.</w:t>
            </w:r>
            <w:r w:rsidRPr="00455A09">
              <w:rPr>
                <w:rFonts w:ascii="Times New Roman" w:eastAsia="Times New Roman" w:hAnsi="Times New Roman" w:cs="Times New Roman"/>
                <w:b/>
                <w:bCs/>
                <w:noProof/>
                <w:color w:val="00B0F0"/>
                <w:sz w:val="20"/>
                <w:szCs w:val="20"/>
                <w:vertAlign w:val="superscript"/>
                <w:lang w:val="en-GB" w:eastAsia="en-GB"/>
              </w:rPr>
              <w:t>8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43D5192E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  <w:p w14:paraId="6133DE1D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GPS block modelling,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InSAR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-kinematic analysis, geomorphology</w:t>
            </w:r>
          </w:p>
          <w:p w14:paraId="1DDCE7A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D5415A" w14:paraId="5BEC5A5F" w14:textId="77777777" w:rsidTr="00697597">
        <w:trPr>
          <w:trHeight w:val="495"/>
        </w:trPr>
        <w:tc>
          <w:tcPr>
            <w:tcW w:w="1986" w:type="dxa"/>
            <w:shd w:val="clear" w:color="auto" w:fill="auto"/>
            <w:vAlign w:val="center"/>
          </w:tcPr>
          <w:p w14:paraId="03B5B1F3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1.12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  <w:p w14:paraId="6C785ED6" w14:textId="77777777" w:rsidR="00D5415A" w:rsidRPr="00B6594E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same as F3</w:t>
            </w:r>
            <w:r w:rsidRPr="00B659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60DB3459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547416DE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-0.47 ± 0.12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  <w:p w14:paraId="049E2901" w14:textId="77777777" w:rsidR="00D5415A" w:rsidRPr="00B6594E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same as F3</w:t>
            </w:r>
            <w:r w:rsidRPr="00B659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4297C37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14:paraId="533347C2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This study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7154C3E7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Lava flow F2 restoration and zircon double-dating</w:t>
            </w:r>
          </w:p>
        </w:tc>
      </w:tr>
      <w:tr w:rsidR="00D5415A" w14:paraId="55EC78F1" w14:textId="77777777" w:rsidTr="00697597">
        <w:trPr>
          <w:trHeight w:val="495"/>
        </w:trPr>
        <w:tc>
          <w:tcPr>
            <w:tcW w:w="1986" w:type="dxa"/>
            <w:shd w:val="clear" w:color="auto" w:fill="auto"/>
            <w:vAlign w:val="center"/>
          </w:tcPr>
          <w:p w14:paraId="1553C641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0.90 ± 0.06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  <w:p w14:paraId="49E979FD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1.23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1CF9B89A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332BAFAE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0.06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2DFF87D8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 w14:paraId="3F0B36F2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“</w:t>
            </w:r>
          </w:p>
        </w:tc>
        <w:tc>
          <w:tcPr>
            <w:tcW w:w="4520" w:type="dxa"/>
            <w:shd w:val="clear" w:color="auto" w:fill="auto"/>
            <w:vAlign w:val="center"/>
          </w:tcPr>
          <w:p w14:paraId="2C47B4B6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Lava flow F3 restoration and zircon double-dating</w:t>
            </w:r>
          </w:p>
        </w:tc>
      </w:tr>
      <w:tr w:rsidR="00D5415A" w14:paraId="25C20B0A" w14:textId="77777777" w:rsidTr="00697597">
        <w:trPr>
          <w:trHeight w:val="495"/>
        </w:trPr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E892AF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0.73 ± 0.06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  <w:p w14:paraId="54503B4F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1.78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250029BB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24DB138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0.30 ± 0.06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1.25 ± 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  <w:p w14:paraId="4994735B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50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1A44DF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“</w:t>
            </w:r>
          </w:p>
        </w:tc>
        <w:tc>
          <w:tcPr>
            <w:tcW w:w="4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DD0FE8C" w14:textId="77777777" w:rsidR="00D5415A" w:rsidRDefault="00D5415A" w:rsidP="00697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Lava flow F4 restoration and zircon double-dating</w:t>
            </w:r>
          </w:p>
        </w:tc>
      </w:tr>
    </w:tbl>
    <w:p w14:paraId="5AD7816C" w14:textId="77777777" w:rsidR="00D5415A" w:rsidRDefault="00D5415A" w:rsidP="00D5415A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0"/>
          <w:lang w:val="en-GB" w:eastAsia="en-GB"/>
        </w:rPr>
        <w:t xml:space="preserve">N.D.: None detected; </w:t>
      </w:r>
      <w:r>
        <w:rPr>
          <w:rFonts w:ascii="Times New Roman" w:eastAsia="Times New Roman" w:hAnsi="Times New Roman" w:cs="Times New Roman"/>
          <w:sz w:val="20"/>
          <w:szCs w:val="18"/>
          <w:vertAlign w:val="superscript"/>
          <w:lang w:val="en-GB" w:eastAsia="en-GB"/>
        </w:rPr>
        <w:t>a</w:t>
      </w:r>
      <w:r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 for 60° fault dip; </w:t>
      </w:r>
      <w:r>
        <w:rPr>
          <w:rFonts w:ascii="Times New Roman" w:eastAsia="Times New Roman" w:hAnsi="Times New Roman" w:cs="Times New Roman"/>
          <w:sz w:val="20"/>
          <w:szCs w:val="18"/>
          <w:vertAlign w:val="superscript"/>
          <w:lang w:val="en-GB" w:eastAsia="en-GB"/>
        </w:rPr>
        <w:t>b</w:t>
      </w:r>
      <w:r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 for 30° fault dip; positive and negative values indicate dextral and sinistral strike slip, respectively. Uncertainties in ± account for the horizontal and vertical uncertainties of the DEM (5 m and 3.4 m, respectively), as well as the age uncertainties of the ZDD dating at 95% confidence. Values for F2 at 30° fault dip are e</w:t>
      </w:r>
      <w:r w:rsidRPr="00B6594E"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>xtrapolated from F3</w:t>
      </w:r>
      <w:r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 restoration due to ambiguous piercing point projections; m</w:t>
      </w:r>
      <w:r w:rsidRPr="00B6594E"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orphology of restored </w:t>
      </w:r>
      <w:r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F2 </w:t>
      </w:r>
      <w:r w:rsidRPr="00B6594E"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>is allowable</w:t>
      </w:r>
      <w:r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 xml:space="preserve"> at rates for F3 determined at 30° fault dip</w:t>
      </w:r>
      <w:r w:rsidRPr="00B6594E">
        <w:rPr>
          <w:rFonts w:ascii="Times New Roman" w:eastAsia="Times New Roman" w:hAnsi="Times New Roman" w:cs="Times New Roman"/>
          <w:sz w:val="20"/>
          <w:szCs w:val="18"/>
          <w:lang w:val="en-GB" w:eastAsia="en-GB"/>
        </w:rPr>
        <w:t>.</w:t>
      </w:r>
    </w:p>
    <w:tbl>
      <w:tblPr>
        <w:tblW w:w="10138" w:type="dxa"/>
        <w:tblInd w:w="12" w:type="dxa"/>
        <w:tblLayout w:type="fixed"/>
        <w:tblLook w:val="0000" w:firstRow="0" w:lastRow="0" w:firstColumn="0" w:lastColumn="0" w:noHBand="0" w:noVBand="0"/>
      </w:tblPr>
      <w:tblGrid>
        <w:gridCol w:w="10138"/>
      </w:tblGrid>
      <w:tr w:rsidR="00D5415A" w14:paraId="725A41F0" w14:textId="77777777" w:rsidTr="00697597">
        <w:trPr>
          <w:trHeight w:val="100"/>
        </w:trPr>
        <w:tc>
          <w:tcPr>
            <w:tcW w:w="10138" w:type="dxa"/>
            <w:tcBorders>
              <w:top w:val="single" w:sz="4" w:space="0" w:color="000000"/>
            </w:tcBorders>
          </w:tcPr>
          <w:p w14:paraId="188CF330" w14:textId="77777777" w:rsidR="00D5415A" w:rsidRDefault="00D5415A" w:rsidP="00697597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lang w:val="en-GB" w:eastAsia="en-GB"/>
              </w:rPr>
            </w:pPr>
          </w:p>
        </w:tc>
      </w:tr>
    </w:tbl>
    <w:p w14:paraId="115E6379" w14:textId="7C91977F" w:rsidR="00D5415A" w:rsidRPr="009D3604" w:rsidRDefault="00DB47AE" w:rsidP="00D5415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3604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2C45884D" w14:textId="77777777" w:rsidR="00DB47AE" w:rsidRPr="008678D7" w:rsidRDefault="00DB47AE" w:rsidP="00D5415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96C0F" w14:textId="2B6B9AF3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1.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Kürçer A &amp; Gökten YE. Neotectonic-period characteristics, seismicity, geometry and segmentation of the Tuz Gölü fault zone. </w:t>
      </w:r>
      <w:r w:rsidRPr="008678D7">
        <w:rPr>
          <w:rFonts w:ascii="Times New Roman" w:hAnsi="Times New Roman" w:cs="Times New Roman"/>
          <w:i/>
          <w:sz w:val="24"/>
          <w:szCs w:val="24"/>
        </w:rPr>
        <w:t>Bulletin of the Mineral Research and Exploration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149</w:t>
      </w:r>
      <w:r w:rsidRPr="008678D7">
        <w:rPr>
          <w:rFonts w:ascii="Times New Roman" w:hAnsi="Times New Roman" w:cs="Times New Roman"/>
          <w:sz w:val="24"/>
          <w:szCs w:val="24"/>
        </w:rPr>
        <w:t>, 19-68 (2014).</w:t>
      </w:r>
    </w:p>
    <w:p w14:paraId="046AE781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6A512640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2.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Aydar E, Schmitt A, Cubukcu H, Akin L, Ersoy O, Şen E, Duncan R &amp; Atici G. Correlation of ignimbrites in the central Anatolian volcanic province using zircon and plagioclase ages and zircon compositions. </w:t>
      </w:r>
      <w:r w:rsidRPr="008678D7">
        <w:rPr>
          <w:rFonts w:ascii="Times New Roman" w:hAnsi="Times New Roman" w:cs="Times New Roman"/>
          <w:i/>
          <w:sz w:val="24"/>
          <w:szCs w:val="24"/>
        </w:rPr>
        <w:t>Journal of Volcanology and Geothermal Research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213</w:t>
      </w:r>
      <w:r w:rsidRPr="008678D7">
        <w:rPr>
          <w:rFonts w:ascii="Times New Roman" w:hAnsi="Times New Roman" w:cs="Times New Roman"/>
          <w:sz w:val="24"/>
          <w:szCs w:val="24"/>
        </w:rPr>
        <w:t>, 83–97 (2012).</w:t>
      </w:r>
    </w:p>
    <w:p w14:paraId="0914A9BB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3A5DD688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3.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Aktuğ B, Parmaksız E, Kurt M, Lenk O, Kılıçoğlu A, Gürdal MA &amp; Özdemir S. Deformation of Central Anatolia: GPS implications. </w:t>
      </w:r>
      <w:r w:rsidRPr="008678D7">
        <w:rPr>
          <w:rFonts w:ascii="Times New Roman" w:hAnsi="Times New Roman" w:cs="Times New Roman"/>
          <w:i/>
          <w:sz w:val="24"/>
          <w:szCs w:val="24"/>
        </w:rPr>
        <w:t>Journal of Geodynamics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67</w:t>
      </w:r>
      <w:r w:rsidRPr="008678D7">
        <w:rPr>
          <w:rFonts w:ascii="Times New Roman" w:hAnsi="Times New Roman" w:cs="Times New Roman"/>
          <w:sz w:val="24"/>
          <w:szCs w:val="24"/>
        </w:rPr>
        <w:t>, 78-96 (2013).</w:t>
      </w:r>
    </w:p>
    <w:p w14:paraId="26375E5C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3636C16F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4.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Özsayın E, Ciner A, Rojay B, Dirik K, Melnick D, Fernández-Blanco D, Bertotti G, Schildgen T, Garcin Y, Strecker M &amp; Sudo M. Plio-Quaternary extensional tectonics of the Central Anatolian Plateau: A case study from the Tuz Gölü Basin, Turkey. </w:t>
      </w:r>
      <w:r w:rsidRPr="008678D7">
        <w:rPr>
          <w:rFonts w:ascii="Times New Roman" w:hAnsi="Times New Roman" w:cs="Times New Roman"/>
          <w:i/>
          <w:sz w:val="24"/>
          <w:szCs w:val="24"/>
        </w:rPr>
        <w:t>Turk J Earth Sci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22</w:t>
      </w:r>
      <w:r w:rsidRPr="008678D7">
        <w:rPr>
          <w:rFonts w:ascii="Times New Roman" w:hAnsi="Times New Roman" w:cs="Times New Roman"/>
          <w:sz w:val="24"/>
          <w:szCs w:val="24"/>
        </w:rPr>
        <w:t>,  (2013).</w:t>
      </w:r>
    </w:p>
    <w:p w14:paraId="505B610F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25CC3BB5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5.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Krystopowicz NJ. Constraining deformation, uplift, and activity along the Tuz Gölü fault zone, Central Anatolia, Turkey. In: </w:t>
      </w:r>
      <w:r w:rsidRPr="008678D7">
        <w:rPr>
          <w:rFonts w:ascii="Times New Roman" w:hAnsi="Times New Roman" w:cs="Times New Roman"/>
          <w:i/>
          <w:sz w:val="24"/>
          <w:szCs w:val="24"/>
        </w:rPr>
        <w:t xml:space="preserve">Graduate Department of Earth Sciences </w:t>
      </w:r>
      <w:r w:rsidRPr="008678D7">
        <w:rPr>
          <w:rFonts w:ascii="Times New Roman" w:hAnsi="Times New Roman" w:cs="Times New Roman"/>
          <w:sz w:val="24"/>
          <w:szCs w:val="24"/>
        </w:rPr>
        <w:t>). University of Toronto (2015).</w:t>
      </w:r>
    </w:p>
    <w:p w14:paraId="5E9A22A5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71CE477B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6.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Öztürk MZ, Şener MF, Şener M &amp; Şahiner E. Tuzgölü Fay Zonu Bor Segmenti’nin Kuvaterner Atım Miktarı. </w:t>
      </w:r>
      <w:r w:rsidRPr="008678D7">
        <w:rPr>
          <w:rFonts w:ascii="Times New Roman" w:hAnsi="Times New Roman" w:cs="Times New Roman"/>
          <w:i/>
          <w:sz w:val="24"/>
          <w:szCs w:val="24"/>
        </w:rPr>
        <w:t>Niğde Ömer Halisdemir Üniversitesi Mühendislik Bilimleri Dergisi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7</w:t>
      </w:r>
      <w:r w:rsidRPr="008678D7">
        <w:rPr>
          <w:rFonts w:ascii="Times New Roman" w:hAnsi="Times New Roman" w:cs="Times New Roman"/>
          <w:sz w:val="24"/>
          <w:szCs w:val="24"/>
        </w:rPr>
        <w:t>, 1049-1053 (2018).</w:t>
      </w:r>
    </w:p>
    <w:p w14:paraId="3D519698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56992DD4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7.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Gezgin C, Ekercin S, Tiryakioğlu İ, AKTUĞ B, Erdoğan H, Gürbüz E, Orhan O, Bilgilioğlu SS, Torun AT &amp; Gündüz Hİ. Determination of recent tectonic deformations along the Tuz Gölü Fault Zone in CentralAnatolia (Turkey) with GNSS observations. </w:t>
      </w:r>
      <w:r w:rsidRPr="008678D7">
        <w:rPr>
          <w:rFonts w:ascii="Times New Roman" w:hAnsi="Times New Roman" w:cs="Times New Roman"/>
          <w:i/>
          <w:sz w:val="24"/>
          <w:szCs w:val="24"/>
        </w:rPr>
        <w:t>Turk J Earth Sci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31</w:t>
      </w:r>
      <w:r w:rsidRPr="008678D7">
        <w:rPr>
          <w:rFonts w:ascii="Times New Roman" w:hAnsi="Times New Roman" w:cs="Times New Roman"/>
          <w:sz w:val="24"/>
          <w:szCs w:val="24"/>
        </w:rPr>
        <w:t>, 20-33 (2022).</w:t>
      </w:r>
    </w:p>
    <w:p w14:paraId="414BBE9E" w14:textId="77777777" w:rsidR="00DB47AE" w:rsidRPr="008678D7" w:rsidRDefault="00DB47AE" w:rsidP="00DB47AE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56EC3A45" w14:textId="77777777" w:rsidR="00DB47AE" w:rsidRPr="008678D7" w:rsidRDefault="00DB47AE" w:rsidP="00DB47A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678D7">
        <w:rPr>
          <w:rFonts w:ascii="Times New Roman" w:hAnsi="Times New Roman" w:cs="Times New Roman"/>
          <w:sz w:val="24"/>
          <w:szCs w:val="24"/>
        </w:rPr>
        <w:t>8.</w:t>
      </w:r>
      <w:r w:rsidRPr="008678D7">
        <w:rPr>
          <w:rFonts w:ascii="Times New Roman" w:hAnsi="Times New Roman" w:cs="Times New Roman"/>
          <w:sz w:val="24"/>
          <w:szCs w:val="24"/>
        </w:rPr>
        <w:tab/>
        <w:t xml:space="preserve">Özbey V, Şengör AMC &amp; Özeren MS. Tectonics in a very slowly deforming region in an orogenic belt. </w:t>
      </w:r>
      <w:r w:rsidRPr="008678D7">
        <w:rPr>
          <w:rFonts w:ascii="Times New Roman" w:hAnsi="Times New Roman" w:cs="Times New Roman"/>
          <w:i/>
          <w:sz w:val="24"/>
          <w:szCs w:val="24"/>
        </w:rPr>
        <w:t>Tectonophysics</w:t>
      </w:r>
      <w:r w:rsidRPr="008678D7">
        <w:rPr>
          <w:rFonts w:ascii="Times New Roman" w:hAnsi="Times New Roman" w:cs="Times New Roman"/>
          <w:sz w:val="24"/>
          <w:szCs w:val="24"/>
        </w:rPr>
        <w:t xml:space="preserve"> </w:t>
      </w:r>
      <w:r w:rsidRPr="008678D7">
        <w:rPr>
          <w:rFonts w:ascii="Times New Roman" w:hAnsi="Times New Roman" w:cs="Times New Roman"/>
          <w:b/>
          <w:sz w:val="24"/>
          <w:szCs w:val="24"/>
        </w:rPr>
        <w:t>827</w:t>
      </w:r>
      <w:r w:rsidRPr="008678D7">
        <w:rPr>
          <w:rFonts w:ascii="Times New Roman" w:hAnsi="Times New Roman" w:cs="Times New Roman"/>
          <w:sz w:val="24"/>
          <w:szCs w:val="24"/>
        </w:rPr>
        <w:t>, 229272 (2022).</w:t>
      </w:r>
    </w:p>
    <w:p w14:paraId="4F807608" w14:textId="77777777" w:rsidR="00DB47AE" w:rsidRPr="008678D7" w:rsidRDefault="00DB47AE" w:rsidP="00DB47AE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2C77BE2E" w14:textId="2B991948" w:rsidR="00DB47AE" w:rsidRPr="008678D7" w:rsidRDefault="00DB47AE" w:rsidP="00D5415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B47AE" w:rsidRPr="008678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mmunications Copy 2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rsw55e4tr599e2vaoxeszmrv9rtxpszpda&quot;&gt;My EndNote Library-Converted&lt;record-ids&gt;&lt;item&gt;1886&lt;/item&gt;&lt;item&gt;1887&lt;/item&gt;&lt;item&gt;1919&lt;/item&gt;&lt;item&gt;1940&lt;/item&gt;&lt;item&gt;1943&lt;/item&gt;&lt;item&gt;3075&lt;/item&gt;&lt;item&gt;3351&lt;/item&gt;&lt;item&gt;3352&lt;/item&gt;&lt;/record-ids&gt;&lt;/item&gt;&lt;/Libraries&gt;"/>
  </w:docVars>
  <w:rsids>
    <w:rsidRoot w:val="00D5415A"/>
    <w:rsid w:val="000D25BA"/>
    <w:rsid w:val="00455A09"/>
    <w:rsid w:val="004A369D"/>
    <w:rsid w:val="00507C61"/>
    <w:rsid w:val="008678D7"/>
    <w:rsid w:val="009D3604"/>
    <w:rsid w:val="00A5518F"/>
    <w:rsid w:val="00BE6E8C"/>
    <w:rsid w:val="00C17025"/>
    <w:rsid w:val="00C63F1A"/>
    <w:rsid w:val="00D5415A"/>
    <w:rsid w:val="00DB47AE"/>
    <w:rsid w:val="00E54FFD"/>
    <w:rsid w:val="00FB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22414"/>
  <w15:chartTrackingRefBased/>
  <w15:docId w15:val="{788861B0-AED3-4C23-A9D7-A054CED50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15A"/>
    <w:pPr>
      <w:suppressAutoHyphens/>
    </w:pPr>
    <w:rPr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B47A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B47AE"/>
    <w:rPr>
      <w:rFonts w:ascii="Calibri" w:hAnsi="Calibri" w:cs="Calibri"/>
      <w:noProof/>
      <w:kern w:val="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B47AE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B47AE"/>
    <w:rPr>
      <w:rFonts w:ascii="Calibri" w:hAnsi="Calibri" w:cs="Calibri"/>
      <w:noProof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Gülin Gençoğlu korkmaz</dc:creator>
  <cp:keywords/>
  <dc:description/>
  <cp:lastModifiedBy>Gülin Gençoğlu korkmaz</cp:lastModifiedBy>
  <cp:revision>5</cp:revision>
  <dcterms:created xsi:type="dcterms:W3CDTF">2024-08-04T21:37:00Z</dcterms:created>
  <dcterms:modified xsi:type="dcterms:W3CDTF">2024-08-05T07:48:00Z</dcterms:modified>
</cp:coreProperties>
</file>