
<file path=[Content_Types].xml><?xml version="1.0" encoding="utf-8"?>
<Types xmlns="http://schemas.openxmlformats.org/package/2006/content-types"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Supplementary Materials</w:t>
      </w:r>
    </w:p>
    <w:p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upplementary Figures</w:t>
      </w:r>
    </w:p>
    <w:p>
      <w:pPr>
        <w:widowControl/>
        <w:spacing w:line="480" w:lineRule="auto"/>
        <w:jc w:val="left"/>
        <w:rPr>
          <w:rFonts w:hint="eastAsia" w:eastAsiaTheme="minorEastAsia"/>
          <w:sz w:val="24"/>
          <w:lang w:eastAsia="zh-CN"/>
        </w:rPr>
      </w:pP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6309360" cy="5925185"/>
            <wp:effectExtent l="0" t="0" r="2540" b="5715"/>
            <wp:docPr id="1" name="图片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592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>Supplementary Figure 1.</w:t>
      </w:r>
      <w:r>
        <w:rPr>
          <w:rFonts w:hint="eastAsia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Volcano diagrams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</w:rPr>
        <w:t>h</w:t>
      </w:r>
      <w:r>
        <w:rPr>
          <w:rFonts w:hint="eastAsia" w:ascii="Times New Roman" w:hAnsi="Times New Roman" w:cs="Times New Roman"/>
          <w:b/>
          <w:bCs/>
          <w:sz w:val="24"/>
        </w:rPr>
        <w:t>eat map of the DEG expression in OA and IDD patients.</w:t>
      </w:r>
    </w:p>
    <w:p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 xml:space="preserve">A, C) Volcano diagrams </w:t>
      </w:r>
      <w:r>
        <w:rPr>
          <w:rFonts w:hint="eastAsia"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sz w:val="24"/>
        </w:rPr>
        <w:t>h</w:t>
      </w:r>
      <w:r>
        <w:rPr>
          <w:rFonts w:hint="eastAsia" w:ascii="Times New Roman" w:hAnsi="Times New Roman" w:cs="Times New Roman"/>
          <w:sz w:val="24"/>
        </w:rPr>
        <w:t>eat map of the DEGs expression in OA.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(B</w:t>
      </w:r>
      <w:r>
        <w:rPr>
          <w:rFonts w:ascii="Times New Roman" w:hAnsi="Times New Roman" w:cs="Times New Roman"/>
          <w:sz w:val="24"/>
        </w:rPr>
        <w:t xml:space="preserve">, D) Volcano diagrams </w:t>
      </w:r>
      <w:r>
        <w:rPr>
          <w:rFonts w:hint="eastAsia" w:ascii="Times New Roman" w:hAnsi="Times New Roman" w:cs="Times New Roman"/>
          <w:sz w:val="24"/>
        </w:rPr>
        <w:t>and Heat map of the DEGs expression in IDD</w:t>
      </w:r>
      <w:r>
        <w:rPr>
          <w:rFonts w:ascii="Times New Roman" w:hAnsi="Times New Roman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drawing>
          <wp:inline distT="0" distB="0" distL="114300" distR="114300">
            <wp:extent cx="4909185" cy="6774180"/>
            <wp:effectExtent l="0" t="0" r="5715" b="7620"/>
            <wp:docPr id="5" name="图片 5" descr="G:\新建文件夹\CC\Figure\Figure\Figure3.jpg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:\新建文件夹\CC\Figure\Figure\Figure3.jpgFigure3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6752" cy="67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hint="eastAsia" w:ascii="Times New Roman" w:hAnsi="Times New Roman" w:cs="Times New Roman"/>
          <w:b/>
          <w:bCs/>
          <w:sz w:val="24"/>
        </w:rPr>
        <w:t>. GO and DO enrichment analysis of shared hub genes.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Cs/>
          <w:sz w:val="24"/>
        </w:rPr>
        <w:t>(A)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The bubble chart of GO enrichment analysis of the shared hub genes between IDD and OA. (B)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The bubble chart of DO enrichment analysis of the common hub genes between IDD and OA.</w:t>
      </w:r>
      <w:r>
        <w:rPr>
          <w:rFonts w:ascii="Times New Roman" w:hAnsi="Times New Roman" w:cs="Times New Roman"/>
          <w:sz w:val="24"/>
        </w:rPr>
        <w:br w:type="page"/>
      </w: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drawing>
          <wp:inline distT="0" distB="0" distL="114300" distR="114300">
            <wp:extent cx="4986020" cy="5191760"/>
            <wp:effectExtent l="0" t="0" r="5080" b="8890"/>
            <wp:docPr id="6" name="图片 6" descr="G:\新建文件夹\CC\Figure\Figure\Figure4.jpgFig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:\新建文件夹\CC\Figure\Figure\Figure4.jpgFigure4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2141" cy="5229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hint="eastAsia"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The pathway enrichment of the common hub genes is represented as bubble graphs using the Enricher web tool</w:t>
      </w:r>
      <w:r>
        <w:rPr>
          <w:rFonts w:hint="eastAsia" w:ascii="Times New Roman" w:hAnsi="Times New Roman" w:cs="Times New Roman"/>
          <w:b/>
          <w:bCs/>
          <w:sz w:val="24"/>
        </w:rPr>
        <w:t xml:space="preserve">. </w:t>
      </w:r>
    </w:p>
    <w:p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(A)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Biocarta pathway and KEGG pathway. (B) Reactome pathway and Wikipathway</w:t>
      </w:r>
      <w:r>
        <w:rPr>
          <w:rFonts w:ascii="Times New Roman" w:hAnsi="Times New Roman" w:cs="Times New Roman"/>
          <w:sz w:val="24"/>
        </w:rPr>
        <w:t>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drawing>
          <wp:inline distT="0" distB="0" distL="114300" distR="114300">
            <wp:extent cx="4992370" cy="5897880"/>
            <wp:effectExtent l="0" t="0" r="17780" b="7620"/>
            <wp:docPr id="12" name="图片 12" descr="H:\新建文件夹\cc\CC\Review-2\Figure\Supplementary Figure\Supplementary Figure 4.jpg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:\新建文件夹\cc\CC\Review-2\Figure\Supplementary Figure\Supplementary Figure 4.jpgSupplementary Figure 4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2370" cy="589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4. The histogram of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upregulated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DEGs </w:t>
      </w:r>
      <w:r>
        <w:rPr>
          <w:rFonts w:ascii="Times New Roman" w:hAnsi="Times New Roman" w:cs="Times New Roman"/>
          <w:b/>
          <w:bCs/>
          <w:sz w:val="24"/>
        </w:rPr>
        <w:t xml:space="preserve">between </w:t>
      </w:r>
      <w:r>
        <w:rPr>
          <w:rFonts w:hint="eastAsia" w:ascii="Times New Roman" w:hAnsi="Times New Roman" w:cs="Times New Roman"/>
          <w:b/>
          <w:bCs/>
          <w:sz w:val="24"/>
        </w:rPr>
        <w:t>IDD</w:t>
      </w:r>
      <w:r>
        <w:rPr>
          <w:rFonts w:ascii="Times New Roman" w:hAnsi="Times New Roman" w:cs="Times New Roman"/>
          <w:b/>
          <w:bCs/>
          <w:sz w:val="24"/>
        </w:rPr>
        <w:t xml:space="preserve"> and OA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</w:p>
    <w:p>
      <w:pPr>
        <w:widowControl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(A, B) Histograms of differentially expressed genes upregulated between </w:t>
      </w:r>
      <w:r>
        <w:rPr>
          <w:rFonts w:hint="eastAsia" w:ascii="Times New Roman" w:hAnsi="Times New Roman" w:cs="Times New Roman"/>
          <w:sz w:val="24"/>
        </w:rPr>
        <w:t>IDD</w:t>
      </w:r>
      <w:r>
        <w:rPr>
          <w:rFonts w:ascii="Times New Roman" w:hAnsi="Times New Roman" w:cs="Times New Roman"/>
          <w:sz w:val="24"/>
        </w:rPr>
        <w:t xml:space="preserve"> and OA in different datasets.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widowControl/>
        <w:spacing w:line="480" w:lineRule="auto"/>
        <w:jc w:val="center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123180" cy="3347085"/>
            <wp:effectExtent l="0" t="0" r="1270" b="5715"/>
            <wp:docPr id="13" name="图片 13" descr="Supplementary 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 Figure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39825" cy="335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>
      <w:pPr>
        <w:widowControl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5. Immune infiltration characteristic of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upregulated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DEGs </w:t>
      </w:r>
      <w:r>
        <w:rPr>
          <w:rFonts w:ascii="Times New Roman" w:hAnsi="Times New Roman" w:cs="Times New Roman"/>
          <w:b/>
          <w:bCs/>
          <w:sz w:val="24"/>
        </w:rPr>
        <w:t>in OA diseases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</w:rPr>
        <w:t>(A) ssGSEA score of upregu</w:t>
      </w:r>
      <w:r>
        <w:rPr>
          <w:rFonts w:ascii="Times New Roman" w:hAnsi="Times New Roman" w:cs="Times New Roman"/>
          <w:bCs/>
          <w:sz w:val="24"/>
        </w:rPr>
        <w:t>l</w:t>
      </w:r>
      <w:r>
        <w:rPr>
          <w:rFonts w:hint="eastAsia" w:ascii="Times New Roman" w:hAnsi="Times New Roman" w:cs="Times New Roman"/>
          <w:bCs/>
          <w:sz w:val="24"/>
        </w:rPr>
        <w:t>ated DEGs in OA dataset. (B)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The difference in ssGSEA score of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upregulated DEGs between OA patients and controls.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(D-G</w:t>
      </w:r>
      <w:r>
        <w:rPr>
          <w:rFonts w:ascii="Times New Roman" w:hAnsi="Times New Roman" w:cs="Times New Roman"/>
          <w:sz w:val="24"/>
        </w:rPr>
        <w:t>) Correlation</w:t>
      </w:r>
      <w:r>
        <w:rPr>
          <w:rFonts w:hint="eastAsia" w:ascii="Times New Roman" w:hAnsi="Times New Roman" w:cs="Times New Roman"/>
          <w:sz w:val="24"/>
        </w:rPr>
        <w:t xml:space="preserve"> analysis between upregulating the ssGSEA score of DEG and different immune cells in OA patients.</w:t>
      </w:r>
    </w:p>
    <w:p>
      <w:pPr>
        <w:widowControl/>
        <w:spacing w:line="480" w:lineRule="auto"/>
        <w:jc w:val="left"/>
        <w:rPr>
          <w:sz w:val="24"/>
        </w:rPr>
      </w:pPr>
    </w:p>
    <w:p>
      <w:pPr>
        <w:spacing w:line="480" w:lineRule="auto"/>
        <w:jc w:val="center"/>
        <w:rPr>
          <w:rFonts w:hint="eastAsia"/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5071745" cy="3267710"/>
            <wp:effectExtent l="0" t="0" r="0" b="8890"/>
            <wp:docPr id="9" name="图片 9" descr="Review2-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Review2-Supplementary Fig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0812" cy="327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6. </w:t>
      </w:r>
      <w:r>
        <w:rPr>
          <w:rFonts w:hint="eastAsia" w:ascii="Times New Roman" w:hAnsi="Times New Roman" w:cs="Times New Roman"/>
          <w:bCs/>
          <w:sz w:val="24"/>
        </w:rPr>
        <w:t>Correlation analysis of inflammatory factors with DEGs signature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Cs/>
          <w:sz w:val="24"/>
        </w:rPr>
        <w:t>(ssGSEA score)</w:t>
      </w:r>
      <w:r>
        <w:rPr>
          <w:rFonts w:ascii="Times New Roman" w:hAnsi="Times New Roman" w:cs="Times New Roman"/>
          <w:bCs/>
          <w:sz w:val="24"/>
        </w:rPr>
        <w:t>.</w:t>
      </w:r>
    </w:p>
    <w:p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>
      <w:pPr>
        <w:spacing w:line="480" w:lineRule="auto"/>
        <w:rPr>
          <w:sz w:val="24"/>
        </w:rPr>
      </w:pPr>
      <w:r>
        <w:rPr>
          <w:sz w:val="24"/>
        </w:rPr>
        <w:drawing>
          <wp:inline distT="0" distB="0" distL="0" distR="0">
            <wp:extent cx="6231890" cy="3977640"/>
            <wp:effectExtent l="0" t="0" r="16510" b="3810"/>
            <wp:docPr id="7" name="图片 7" descr="J:\新建文件夹\cc\CC\Figure\journal\Supplementary materials\Supplementary Fig4\Supplementary Figure 4.jpgSupplementary 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J:\新建文件夹\cc\CC\Figure\journal\Supplementary materials\Supplementary Fig4\Supplementary Figure 4.jpgSupplementary Fig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31890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7</w:t>
      </w:r>
      <w:r>
        <w:rPr>
          <w:rFonts w:hint="eastAsia" w:ascii="Times New Roman" w:hAnsi="Times New Roman" w:cs="Times New Roman"/>
          <w:b/>
          <w:bCs/>
          <w:sz w:val="24"/>
        </w:rPr>
        <w:t>.  Expression and ROC curve analysis</w:t>
      </w:r>
      <w:r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 xml:space="preserve"> of the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CSF1 and S100A12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 xml:space="preserve">in 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</w:rPr>
        <w:t>OA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>patients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 xml:space="preserve"> from </w:t>
      </w:r>
      <w:r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 xml:space="preserve">the 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</w:rPr>
        <w:t xml:space="preserve">verification </w:t>
      </w:r>
      <w:r>
        <w:rPr>
          <w:rFonts w:hint="eastAsia"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>cohort</w:t>
      </w:r>
      <w:r>
        <w:rPr>
          <w:rFonts w:ascii="Times New Roman" w:hAnsi="Times New Roman" w:eastAsia="宋体" w:cs="Times New Roman"/>
          <w:b/>
          <w:bCs/>
          <w:color w:val="000000"/>
          <w:spacing w:val="-2"/>
          <w:kern w:val="36"/>
          <w:sz w:val="24"/>
          <w:lang w:val="en-GB"/>
        </w:rPr>
        <w:t>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eastAsia="宋体" w:cs="Times New Roman"/>
          <w:color w:val="000000"/>
          <w:spacing w:val="-2"/>
          <w:kern w:val="36"/>
          <w:sz w:val="24"/>
        </w:rPr>
        <w:t>(</w:t>
      </w:r>
      <w:r>
        <w:rPr>
          <w:rFonts w:ascii="Times New Roman" w:hAnsi="Times New Roman" w:eastAsia="宋体" w:cs="Times New Roman"/>
          <w:color w:val="000000"/>
          <w:spacing w:val="-2"/>
          <w:kern w:val="36"/>
          <w:sz w:val="24"/>
        </w:rPr>
        <w:t>A, C</w:t>
      </w:r>
      <w:r>
        <w:rPr>
          <w:rFonts w:hint="eastAsia" w:ascii="Times New Roman" w:hAnsi="Times New Roman" w:eastAsia="宋体" w:cs="Times New Roman"/>
          <w:color w:val="000000"/>
          <w:spacing w:val="-2"/>
          <w:kern w:val="36"/>
          <w:sz w:val="24"/>
        </w:rPr>
        <w:t>)</w:t>
      </w:r>
      <w:r>
        <w:rPr>
          <w:rFonts w:ascii="Times New Roman" w:hAnsi="Times New Roman" w:eastAsia="宋体" w:cs="Times New Roman"/>
          <w:color w:val="000000"/>
          <w:spacing w:val="-2"/>
          <w:kern w:val="36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The difference in expression levels of CSF1 and S100A12 in OA and IDD patients from </w:t>
      </w:r>
      <w:r>
        <w:rPr>
          <w:rFonts w:ascii="Times New Roman" w:hAnsi="Times New Roman" w:cs="Times New Roman"/>
          <w:sz w:val="24"/>
        </w:rPr>
        <w:t xml:space="preserve">the </w:t>
      </w:r>
      <w:r>
        <w:rPr>
          <w:rFonts w:hint="eastAsia" w:ascii="Times New Roman" w:hAnsi="Times New Roman" w:cs="Times New Roman"/>
          <w:sz w:val="24"/>
        </w:rPr>
        <w:t xml:space="preserve">verification </w:t>
      </w:r>
      <w:r>
        <w:rPr>
          <w:rFonts w:hint="eastAsia" w:ascii="Times New Roman" w:hAnsi="Times New Roman" w:cs="Times New Roman"/>
          <w:sz w:val="24"/>
          <w:lang w:val="en-GB"/>
        </w:rPr>
        <w:t>cohort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B, D</w:t>
      </w:r>
      <w:r>
        <w:rPr>
          <w:rFonts w:hint="eastAsia"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ROC curve analysis of </w:t>
      </w:r>
      <w:r>
        <w:rPr>
          <w:rFonts w:hint="eastAsia" w:ascii="Times New Roman" w:hAnsi="Times New Roman" w:cs="Times New Roman"/>
          <w:sz w:val="24"/>
        </w:rPr>
        <w:t>CSF1 and S100A12 in OA and IDD from verification dataset.</w:t>
      </w:r>
    </w:p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drawing>
          <wp:inline distT="0" distB="0" distL="0" distR="0">
            <wp:extent cx="5026660" cy="7211695"/>
            <wp:effectExtent l="0" t="0" r="2540" b="8255"/>
            <wp:docPr id="983058120" name="图片 1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58120" name="图片 1" descr="图表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34726" cy="72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</w:rPr>
        <w:t>8</w:t>
      </w:r>
      <w:r>
        <w:rPr>
          <w:rFonts w:hint="eastAsia"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b/>
          <w:bCs/>
          <w:sz w:val="24"/>
        </w:rPr>
        <w:t xml:space="preserve"> GSEA function enrichment analysis of CSF1 and S100A12 in OA.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GSEA function enrichment analysis of CSF1 (A) and S100A12 (B) in OA.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</w:t>
      </w: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S1 GO enrichment analysis of shared DEGs.</w:t>
      </w:r>
    </w:p>
    <w:tbl>
      <w:tblPr>
        <w:tblStyle w:val="4"/>
        <w:tblW w:w="100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5383"/>
        <w:gridCol w:w="1371"/>
        <w:gridCol w:w="1041"/>
        <w:gridCol w:w="803"/>
      </w:tblGrid>
      <w:tr>
        <w:trPr>
          <w:trHeight w:val="280" w:hRule="atLeast"/>
          <w:jc w:val="center"/>
        </w:trPr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53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GeneRatio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Count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regulation of gene expression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0.012048193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0.008468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neutrophil degranulation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0.020790021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4.31E-04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neutrophil activation involved in immune response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0.020618557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4.60E-04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neutrophil mediated immunity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0.020491803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4.82E-04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negative regulation of inflammatory response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0.037735849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2.94E-05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transmembrane receptor protein tyrosine kinase signaling pathway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0.01980198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0.002212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phosphorylation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0.008024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cellular response to cytokine stimulus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0.014522822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0.020494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positive regulation of gene expression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0.014522822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0.020494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BP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inflammatory response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0.044117647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1.29E-04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phagocytic vesicle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2.32E-05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focal adhesion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0.015503876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0.023523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cell-substrate junction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0.015228426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0.025398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nuclear chromosome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0.060240964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1.12E-04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phagocytic vesicle lumen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endocytic vesicle lumen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2.23E-04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chromosome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0.01334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specific granule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0.01334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spindle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0.020833333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0.024267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sarcolemma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0.057692308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0.003253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transition metal ion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0.017977528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0.003984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zinc ion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0.017857143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0.012611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amyloid-beta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0.0625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9.42E-05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protein phosphatase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0.040650407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6.97E-04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protein serine/threonine kinase activity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0.014534884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0.047153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anion:anion antiporter activity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3.63E-06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phosphatase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0.035087719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0.004129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organic anion transmembrane transporter activity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0.027777778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0.009337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guanyl ribonucleotide binding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0.018691589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0.034207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MF</w:t>
            </w:r>
          </w:p>
        </w:tc>
        <w:tc>
          <w:tcPr>
            <w:tcW w:w="53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solute:anion antiporter activity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7.81E-05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Supplementary Tablse S2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hint="eastAsia" w:ascii="Times New Roman" w:hAnsi="Times New Roman" w:cs="Times New Roman"/>
          <w:b/>
          <w:bCs/>
        </w:rPr>
        <w:t>O enrichment analysis of shared DEGs.</w:t>
      </w:r>
    </w:p>
    <w:tbl>
      <w:tblPr>
        <w:tblStyle w:val="4"/>
        <w:tblW w:w="80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3460"/>
        <w:gridCol w:w="1371"/>
        <w:gridCol w:w="1041"/>
        <w:gridCol w:w="8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34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GeneRatio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Count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Breast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0.011484989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5.59E-09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neoplasm of breast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0.010882469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9.70E-08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Osteoarthritis of hip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0.011808118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9.69E-08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Neoplasm Metastasis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0.010969388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5.21E-06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Mammary Neoplasms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0.015919564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1.61E-09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Colorectal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0.012964858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4.19E-07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neoplasm of prostate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0.011732016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5.08E-06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Prostate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0.011764706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6.74E-06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0.011218921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2.02E-05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neoplasm of lung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0.013474888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1.40E-06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Carcinoma of lung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0.013327948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1.79E-06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Autoimmune Diseases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0.017924528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8.26E-06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leukemia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0.015971149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7.99E-08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Primary malignant neoplasm of lung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0.01366843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2.43E-06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Rheumatoid Arthritis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0.016366612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8.05E-08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Squamous cell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0.015458422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4.71E-07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Leukemia, Myelocytic, Acute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0.016441574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2.24E-07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tumor of colon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0.013993003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5.53E-06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Ovarian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0.012709941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3.32E-05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Stomach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0.011774601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0.000128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Lupus Erythematosus, Systemic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0.017969452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4.44E-06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Glioma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0.012211669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9.48E-05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Pancreatic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0.013911182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1.45E-05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Multiple Myeloma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0.018292683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2.96E-07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neoplasm of ovary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0.012833169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0.000058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Adenoma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3.10E-10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Lymphoma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0.019127774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6.75E-08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Non-Small Cell Lung Carcinoma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0.011145787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0.000731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Malignant neoplasm of stomach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0.010425354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0.001894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DO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melanoma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0.010187449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2.60E-03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Tablse S3 BioCarta and KEGG pathway enrichment analysis of shared DEGs.</w:t>
      </w:r>
    </w:p>
    <w:tbl>
      <w:tblPr>
        <w:tblStyle w:val="4"/>
        <w:tblW w:w="1007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5502"/>
        <w:gridCol w:w="1219"/>
        <w:gridCol w:w="1041"/>
        <w:gridCol w:w="8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55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GeneRatio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Count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Actions of Nitric Oxide in the Heart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0.00176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cAMP-dependent Protein Kinase Inhibits Signaling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2.50E-02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ChREBP regulation by carbohydrates and cAMP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2.18E-02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Transcription factor CREB and its extracellular signals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1.03E-02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Stathmin and breast cancer resistance to antimicrotubule agents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8.19E-03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Regulation of BAD phosphorylation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0.00754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GATA3 participate in activating the Th2 cytokine genes expression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0.00517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Mechanism of Acetaminophen Activity and Toxicity Homo sapiens h AcetaminophenPathway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0.000664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TSP-1 Induced Apoptosis in Microvascular Endothelial Cell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Multi-Drug Resistance Factors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3.37E-02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Osteoclast differentiation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0.0629921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6.63E-07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Rap1 signaling pathway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0.0238095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0.00709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Human immunodeficiency virus 1 infection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0.0235849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0.00737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Lipid and atherosclerosis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0.0232558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7.81E-03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Chemical carcinogenesis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0.0209205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1.20E-02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MAPK signaling pathway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0.0170068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2.66E-02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Metabolism of xenobiotics by cytochrome P450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0.0526316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0.000937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 cell receptor signaling pathway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0.0493827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0.00119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 cell receptor signaling pathway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0.0384615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0.00297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KEGG</w:t>
            </w:r>
          </w:p>
        </w:tc>
        <w:tc>
          <w:tcPr>
            <w:tcW w:w="55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Natural killer cell mediated cytotoxicity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0.0305344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0.00674</w:t>
            </w:r>
          </w:p>
        </w:tc>
        <w:tc>
          <w:tcPr>
            <w:tcW w:w="80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Supplementary Table S4 Reactome and WikiPathways enrichment analysis of shared DEGs.</w:t>
      </w:r>
    </w:p>
    <w:tbl>
      <w:tblPr>
        <w:tblStyle w:val="4"/>
        <w:tblW w:w="98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5239"/>
        <w:gridCol w:w="1371"/>
        <w:gridCol w:w="1041"/>
        <w:gridCol w:w="8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bookmarkStart w:id="0" w:name="_Hlk135692343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ONTOLOGY</w:t>
            </w:r>
          </w:p>
        </w:tc>
        <w:tc>
          <w:tcPr>
            <w:tcW w:w="52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GeneRatio</w:t>
            </w:r>
          </w:p>
        </w:tc>
        <w:tc>
          <w:tcPr>
            <w:tcW w:w="10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Count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Immune System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0.014925373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9.72E-07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Metabolism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0.011713031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4.69E-04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Signal Transduction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0.009330629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1.13E-02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Disease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0.012096774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7.46E-04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Innate Immune System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0.016425121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7.77E-05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Infectious Disease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0.014568158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0.00114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Transport Of Small Molecules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0.015580737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0.00234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Adaptive Immune System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0.015006821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0.00312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Signaling By Rho GTPases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0.01552795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0.00378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Signaling By Rho GTPases, Miro GTPases And RHOBTB3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0.015151515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4.49E-03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VEGFA-VEGFR2 Signaling 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0.018518519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3.33E-03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Nuclear Receptors Meta-Pathway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0.018808777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0.00995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TGF-beta Signaling 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0.037878788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0.000959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Prostaglandin Synthesis and Regulation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0.088888889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1.25E-04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Folate Metabolism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0.057971014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6.51E-04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Regulatory circuits of the STAT3 signaling 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0.051282051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1.03E-03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Gastrin signaling 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0.035087719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0.00413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NRF2 pathway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0.02739726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0.00979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Calcium Regulation in the Cardiac Cell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0.026666667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WP</w:t>
            </w:r>
          </w:p>
        </w:tc>
        <w:tc>
          <w:tcPr>
            <w:tcW w:w="523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EGF/EGFR signaling pathway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0.024691358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0.0139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bookmarkEnd w:id="0"/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Supplementary Table S5 131 hub genes were identified </w:t>
      </w:r>
      <w:r>
        <w:rPr>
          <w:rFonts w:ascii="Times New Roman" w:hAnsi="Times New Roman" w:cs="Times New Roman"/>
          <w:b/>
          <w:bCs/>
        </w:rPr>
        <w:t>based on</w:t>
      </w:r>
      <w:r>
        <w:rPr>
          <w:rFonts w:hint="eastAsia" w:ascii="Times New Roman" w:hAnsi="Times New Roman" w:cs="Times New Roman"/>
          <w:b/>
          <w:bCs/>
        </w:rPr>
        <w:t xml:space="preserve"> degree&gt;10.</w:t>
      </w:r>
    </w:p>
    <w:tbl>
      <w:tblPr>
        <w:tblStyle w:val="4"/>
        <w:tblW w:w="899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16"/>
        <w:gridCol w:w="1040"/>
        <w:gridCol w:w="1040"/>
        <w:gridCol w:w="1206"/>
        <w:gridCol w:w="880"/>
        <w:gridCol w:w="1040"/>
        <w:gridCol w:w="1390"/>
        <w:gridCol w:w="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bookmarkStart w:id="1" w:name="_Hlk135692362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Rank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Rank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Rank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MAPK14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SHMT1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SYNGR1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MPO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LIMCH1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PLXNB3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ARG1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SLC7A1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SERBP1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ALDH18A1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PDE2A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GINS3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SLC4A4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SLC4A3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SLC8A1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FBLN2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TTN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PDLIM7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CLOCK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SOCS3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FCGR1B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LIMK2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NCF4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ANXA3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APBA2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FCGR2B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GPX7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SETBP1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CCNB2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VAV2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NR1I3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S100A12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LMAN1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RAD51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FAM131B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IVD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SLC7A11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MEFV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HIST1H2BK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PTGS1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AKR1C1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FXYD1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NFASC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SCAMP5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LILRB2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KLHL2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ZNF185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STX11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CENPF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KLHL3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NLRP3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ID1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PRDM5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XPO6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ANXA6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KPNA5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SMC2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SLC2A5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CSF2RB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NCR3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CIB2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GPC3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NCKIPSD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CPNE6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PDCD11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MSRB1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CYP1B1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ACSBG1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LIMD1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MSR1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ADH1C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ROR2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CLEC4E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PAK6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XYLB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CSF2RA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NADK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BCKDHB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EIF2AK3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SLC25A4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HCRT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GSTM1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LAMP5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AKAP12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PPP5C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BCCIP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IFITM2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AOAH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KIAA0101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DCHS1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LTF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RPS4X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SFMBT1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LILRB4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CDX1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ELAC2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TCF4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SLC26A1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KCNV2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SLC19A1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ADM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PCBP4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MAPRE3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DDIT4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ST6GAL1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PDE5A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PICALM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RTN3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YES1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PDE4DIP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MBOAT2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PRKAR2B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MYBPC3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F2RL1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CACNA1E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ST8SIA3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PERP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FA2H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SH2D1A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CYP4F3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BUB1B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COL17A1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SYNGR3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FOSB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ABCC3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</w:tr>
      <w:bookmarkEnd w:id="1"/>
    </w:tbl>
    <w:p>
      <w:pPr>
        <w:spacing w:line="480" w:lineRule="auto"/>
        <w:rPr>
          <w:rFonts w:ascii="Times New Roman" w:hAnsi="Times New Roman" w:cs="Times New Roman"/>
          <w:b/>
          <w:bCs/>
        </w:rPr>
      </w:pPr>
    </w:p>
    <w:p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 xml:space="preserve">Supplementary Table S6 The potential diagnostic genes were identified based on LASSO regression and </w:t>
      </w:r>
      <w:r>
        <w:rPr>
          <w:rFonts w:ascii="Times New Roman" w:hAnsi="Times New Roman" w:cs="Times New Roman"/>
          <w:b/>
          <w:bCs/>
        </w:rPr>
        <w:t>SVM-RFE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method.</w:t>
      </w:r>
      <w:r>
        <w:rPr>
          <w:rFonts w:hint="eastAsia" w:ascii="Times New Roman" w:hAnsi="Times New Roman" w:cs="Times New Roman"/>
          <w:b/>
          <w:bCs/>
        </w:rPr>
        <w:t xml:space="preserve"> </w:t>
      </w:r>
    </w:p>
    <w:tbl>
      <w:tblPr>
        <w:tblStyle w:val="4"/>
        <w:tblW w:w="32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bookmarkStart w:id="2" w:name="_Hlk135692382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Lasso.genes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SVM-RFE.gene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VAV2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HAPLN1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CTHRC1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PDE5A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S100A12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LIMCH1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NEUROD1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GPX7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BGN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FOSB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THY1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DDIT4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GC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ADH7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COPZ2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CWH43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S100A12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CHGB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ANKH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TMEM27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CSF1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CYP2C19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SH3GL2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STYK1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HOXC9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COL1A1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SERPINE1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IGFBP4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  <w:t>MAL</w:t>
            </w:r>
          </w:p>
        </w:tc>
      </w:tr>
      <w:bookmarkEnd w:id="2"/>
    </w:tbl>
    <w:p/>
    <w:sectPr>
      <w:pgSz w:w="11906" w:h="16838"/>
      <w:pgMar w:top="1440" w:right="964" w:bottom="1440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wMmM2NjE3MTU2YjFkNTcwNzYyZDk0MjM1YjBiMjkifQ=="/>
  </w:docVars>
  <w:rsids>
    <w:rsidRoot w:val="00C02BC0"/>
    <w:rsid w:val="001C7048"/>
    <w:rsid w:val="00281AEE"/>
    <w:rsid w:val="002C745A"/>
    <w:rsid w:val="003331C8"/>
    <w:rsid w:val="00376043"/>
    <w:rsid w:val="003F67BF"/>
    <w:rsid w:val="00402927"/>
    <w:rsid w:val="004C0B32"/>
    <w:rsid w:val="006745AF"/>
    <w:rsid w:val="00682BE8"/>
    <w:rsid w:val="00682EF2"/>
    <w:rsid w:val="00712FB4"/>
    <w:rsid w:val="00726501"/>
    <w:rsid w:val="00756623"/>
    <w:rsid w:val="00844DEB"/>
    <w:rsid w:val="00955EDF"/>
    <w:rsid w:val="00A32F50"/>
    <w:rsid w:val="00C02BC0"/>
    <w:rsid w:val="00CB2E3E"/>
    <w:rsid w:val="00CF03D0"/>
    <w:rsid w:val="00CF5E03"/>
    <w:rsid w:val="00E91445"/>
    <w:rsid w:val="00EC77DA"/>
    <w:rsid w:val="00F70D88"/>
    <w:rsid w:val="00FB3FC8"/>
    <w:rsid w:val="3FA43DC0"/>
    <w:rsid w:val="43301127"/>
    <w:rsid w:val="4339622E"/>
    <w:rsid w:val="4C681932"/>
    <w:rsid w:val="55775650"/>
    <w:rsid w:val="5A160C1F"/>
    <w:rsid w:val="68BD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kern w:val="2"/>
      <w:sz w:val="18"/>
      <w:szCs w:val="18"/>
    </w:rPr>
  </w:style>
  <w:style w:type="paragraph" w:styleId="8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tiff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10</Company>
  <Pages>14</Pages>
  <Words>1489</Words>
  <Characters>8493</Characters>
  <Lines>70</Lines>
  <Paragraphs>19</Paragraphs>
  <TotalTime>52</TotalTime>
  <ScaleCrop>false</ScaleCrop>
  <LinksUpToDate>false</LinksUpToDate>
  <CharactersWithSpaces>9963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2023-05-04T03:04:00Z</dcterms:created>
  <dc:creator>Windows 10</dc:creator>
  <cp:lastModifiedBy>Kuem</cp:lastModifiedBy>
  <dcterms:modified xsi:type="dcterms:W3CDTF">2024-04-19T06:32:14Z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139B83FA840A4211AA5C982F99E43AC5_12</vt:lpwstr>
  </property>
</Properties>
</file>