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34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Body composition comparison between sarcopenia and non-sarcopenia participants</w:t>
      </w:r>
    </w:p>
    <w:tbl>
      <w:tblPr>
        <w:tblStyle w:val="3"/>
        <w:tblpPr w:leftFromText="180" w:rightFromText="180" w:vertAnchor="text" w:horzAnchor="page" w:tblpX="1778" w:tblpY="306"/>
        <w:tblOverlap w:val="never"/>
        <w:tblW w:w="853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2044"/>
        <w:gridCol w:w="1903"/>
        <w:gridCol w:w="1987"/>
        <w:gridCol w:w="960"/>
      </w:tblGrid>
      <w:tr w14:paraId="05D459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bottom w:val="single" w:color="auto" w:sz="6" w:space="0"/>
            </w:tcBorders>
            <w:vAlign w:val="center"/>
          </w:tcPr>
          <w:p w14:paraId="697F3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044" w:type="dxa"/>
            <w:tcBorders>
              <w:bottom w:val="single" w:color="auto" w:sz="6" w:space="0"/>
            </w:tcBorders>
            <w:vAlign w:val="center"/>
          </w:tcPr>
          <w:p w14:paraId="638C1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Overall</w:t>
            </w:r>
          </w:p>
        </w:tc>
        <w:tc>
          <w:tcPr>
            <w:tcW w:w="1903" w:type="dxa"/>
            <w:tcBorders>
              <w:bottom w:val="single" w:color="auto" w:sz="6" w:space="0"/>
            </w:tcBorders>
            <w:vAlign w:val="center"/>
          </w:tcPr>
          <w:p w14:paraId="7E517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Sarcopenia </w:t>
            </w:r>
          </w:p>
        </w:tc>
        <w:tc>
          <w:tcPr>
            <w:tcW w:w="1987" w:type="dxa"/>
            <w:tcBorders>
              <w:bottom w:val="single" w:color="auto" w:sz="6" w:space="0"/>
            </w:tcBorders>
            <w:vAlign w:val="center"/>
          </w:tcPr>
          <w:p w14:paraId="4679B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on-sarcopeni</w:t>
            </w:r>
          </w:p>
        </w:tc>
        <w:tc>
          <w:tcPr>
            <w:tcW w:w="960" w:type="dxa"/>
            <w:tcBorders>
              <w:bottom w:val="single" w:color="auto" w:sz="6" w:space="0"/>
            </w:tcBorders>
            <w:vAlign w:val="center"/>
          </w:tcPr>
          <w:p w14:paraId="6C0C1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</w:tr>
      <w:tr w14:paraId="7E59F7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single" w:color="auto" w:sz="6" w:space="0"/>
            </w:tcBorders>
            <w:vAlign w:val="center"/>
          </w:tcPr>
          <w:p w14:paraId="7E014AB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The total body water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tcBorders>
              <w:top w:val="single" w:color="auto" w:sz="6" w:space="0"/>
            </w:tcBorders>
            <w:vAlign w:val="center"/>
          </w:tcPr>
          <w:p w14:paraId="7A7B9A0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tcBorders>
              <w:top w:val="single" w:color="auto" w:sz="6" w:space="0"/>
            </w:tcBorders>
            <w:vAlign w:val="center"/>
          </w:tcPr>
          <w:p w14:paraId="0A09336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24.2,31.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tcBorders>
              <w:top w:val="single" w:color="auto" w:sz="6" w:space="0"/>
            </w:tcBorders>
            <w:vAlign w:val="center"/>
          </w:tcPr>
          <w:p w14:paraId="4595523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,37.7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tcBorders>
              <w:top w:val="single" w:color="auto" w:sz="6" w:space="0"/>
            </w:tcBorders>
            <w:vAlign w:val="center"/>
          </w:tcPr>
          <w:p w14:paraId="6DD4D9BC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5D2553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44497EDB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Intracellular water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65F59D0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69C99AB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14.6,19.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2EB6B834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17.5,2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25090AE3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495CD5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01D66D08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Extracellular water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044E602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BF03B20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9.5,12.2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76E12CC2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11.3,14.6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57C62F97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524B0D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054CD147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BFM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439A784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2A763904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12.3,21.3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32201E52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17.8,26.8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1E3802FD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27C86B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716AF28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FFM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31C71790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58ECA24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32.9,42.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35AD591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39.2,51.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31D11A7D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11B66A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1090DEC4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Visceral fat area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2A5DAD6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482D648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,119.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05FFC8E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111.1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83.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,144.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331076F7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383E4B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46E85E57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Soft lean mass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583AFFF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.9,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4D6B9C30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30.9,39.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358A0DE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36.9,48.3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1B67200A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68BD64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7B39465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Skeletal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muscle mass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127FBFC4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7348F65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17.0,22.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3282FAE7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20.9,27.9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52FFA031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324D4E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4217B05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Percent body fat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3C6DB3A8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,37.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79CA3050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22.8,37.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65A519D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27.6,38.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60810355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14:paraId="42809A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Align w:val="center"/>
          </w:tcPr>
          <w:p w14:paraId="36234F7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Extracellular water / Total body water</w:t>
            </w:r>
          </w:p>
        </w:tc>
        <w:tc>
          <w:tcPr>
            <w:tcW w:w="2044" w:type="dxa"/>
            <w:vAlign w:val="center"/>
          </w:tcPr>
          <w:p w14:paraId="4D33891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,0.4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170159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,0.4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13FCE4AB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,0.4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5C02E117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638BEF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36" w:type="dxa"/>
            <w:vAlign w:val="center"/>
          </w:tcPr>
          <w:p w14:paraId="1E5764E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BMR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44" w:type="dxa"/>
            <w:vAlign w:val="center"/>
          </w:tcPr>
          <w:p w14:paraId="4E923CE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282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192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435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3F01889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1130.5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1080.2,1279.5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87" w:type="dxa"/>
            <w:vAlign w:val="center"/>
          </w:tcPr>
          <w:p w14:paraId="1679B68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1311.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1216.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,1472.5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60" w:type="dxa"/>
            <w:vAlign w:val="center"/>
          </w:tcPr>
          <w:p w14:paraId="4C5084CB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</w:tbl>
    <w:p w14:paraId="0C236506"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Statistically significant p values are indicated as bold</w:t>
      </w:r>
    </w:p>
    <w:p w14:paraId="69FB889C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</w:rPr>
        <w:t>Data are shown as medians (interquartile ranges)</w:t>
      </w:r>
    </w:p>
    <w:p w14:paraId="324CC83A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bidi="ar"/>
        </w:rPr>
        <w:t>BFM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body fat mass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bidi="ar"/>
        </w:rPr>
        <w:t>FFM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fat free mass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bidi="ar"/>
        </w:rPr>
        <w:t>BMR</w:t>
      </w:r>
      <w:r>
        <w:rPr>
          <w:rFonts w:hint="default" w:ascii="Times New Roman" w:hAnsi="Times New Roman" w:cs="Times New Roman"/>
          <w:sz w:val="20"/>
          <w:szCs w:val="20"/>
        </w:rPr>
        <w:t>, basal metabolic rate;</w:t>
      </w:r>
    </w:p>
    <w:p w14:paraId="727E83FC">
      <w:pPr>
        <w:rPr>
          <w:rFonts w:hint="default" w:ascii="Times New Roman" w:hAnsi="Times New Roman" w:cs="Times New Roman"/>
          <w:sz w:val="20"/>
          <w:szCs w:val="20"/>
        </w:rPr>
      </w:pPr>
    </w:p>
    <w:p w14:paraId="2213E073">
      <w:pPr>
        <w:rPr>
          <w:rFonts w:hint="default" w:ascii="Times New Roman" w:hAnsi="Times New Roman" w:cs="Times New Roman"/>
          <w:sz w:val="20"/>
          <w:szCs w:val="20"/>
        </w:rPr>
      </w:pPr>
    </w:p>
    <w:p w14:paraId="031B0ED6">
      <w:pPr>
        <w:rPr>
          <w:rFonts w:hint="default" w:ascii="Times New Roman" w:hAnsi="Times New Roman" w:cs="Times New Roman"/>
          <w:sz w:val="20"/>
          <w:szCs w:val="20"/>
        </w:rPr>
      </w:pPr>
    </w:p>
    <w:p w14:paraId="183614B8">
      <w:pPr>
        <w:rPr>
          <w:rFonts w:hint="default" w:ascii="Times New Roman" w:hAnsi="Times New Roman" w:cs="Times New Roman"/>
          <w:sz w:val="20"/>
          <w:szCs w:val="20"/>
        </w:rPr>
      </w:pPr>
    </w:p>
    <w:p w14:paraId="7D47DC2A">
      <w:pPr>
        <w:rPr>
          <w:rFonts w:hint="default" w:ascii="Times New Roman" w:hAnsi="Times New Roman" w:cs="Times New Roman"/>
          <w:sz w:val="20"/>
          <w:szCs w:val="20"/>
        </w:rPr>
      </w:pPr>
    </w:p>
    <w:p w14:paraId="4B8C9D3C">
      <w:pPr>
        <w:rPr>
          <w:rFonts w:hint="default" w:ascii="Times New Roman" w:hAnsi="Times New Roman" w:cs="Times New Roman"/>
          <w:sz w:val="20"/>
          <w:szCs w:val="20"/>
        </w:rPr>
      </w:pPr>
    </w:p>
    <w:p w14:paraId="58A34393">
      <w:pPr>
        <w:rPr>
          <w:rFonts w:hint="default" w:ascii="Times New Roman" w:hAnsi="Times New Roman" w:cs="Times New Roman"/>
          <w:sz w:val="20"/>
          <w:szCs w:val="20"/>
        </w:rPr>
      </w:pPr>
    </w:p>
    <w:p w14:paraId="19149759">
      <w:pPr>
        <w:rPr>
          <w:rFonts w:hint="default" w:ascii="Times New Roman" w:hAnsi="Times New Roman" w:cs="Times New Roman"/>
          <w:sz w:val="20"/>
          <w:szCs w:val="20"/>
        </w:rPr>
      </w:pPr>
    </w:p>
    <w:p w14:paraId="3C50D0F8">
      <w:pPr>
        <w:rPr>
          <w:rFonts w:hint="default" w:ascii="Times New Roman" w:hAnsi="Times New Roman" w:cs="Times New Roman"/>
          <w:sz w:val="20"/>
          <w:szCs w:val="20"/>
        </w:rPr>
      </w:pPr>
    </w:p>
    <w:p w14:paraId="779B6945">
      <w:pPr>
        <w:rPr>
          <w:rFonts w:hint="default" w:ascii="Times New Roman" w:hAnsi="Times New Roman" w:cs="Times New Roman"/>
          <w:sz w:val="20"/>
          <w:szCs w:val="20"/>
        </w:rPr>
      </w:pPr>
    </w:p>
    <w:p w14:paraId="0D9DDAB7">
      <w:pPr>
        <w:rPr>
          <w:rFonts w:hint="default" w:ascii="Times New Roman" w:hAnsi="Times New Roman" w:cs="Times New Roman"/>
          <w:sz w:val="20"/>
          <w:szCs w:val="20"/>
        </w:rPr>
      </w:pPr>
    </w:p>
    <w:p w14:paraId="71CF1923">
      <w:pPr>
        <w:rPr>
          <w:rFonts w:hint="default" w:ascii="Times New Roman" w:hAnsi="Times New Roman" w:cs="Times New Roman"/>
          <w:sz w:val="20"/>
          <w:szCs w:val="20"/>
        </w:rPr>
      </w:pPr>
    </w:p>
    <w:p w14:paraId="2323D265">
      <w:pPr>
        <w:rPr>
          <w:rFonts w:hint="default" w:ascii="Times New Roman" w:hAnsi="Times New Roman" w:cs="Times New Roman"/>
          <w:sz w:val="20"/>
          <w:szCs w:val="20"/>
        </w:rPr>
      </w:pPr>
    </w:p>
    <w:p w14:paraId="4FE99203">
      <w:pPr>
        <w:rPr>
          <w:rFonts w:hint="default" w:ascii="Times New Roman" w:hAnsi="Times New Roman" w:cs="Times New Roman"/>
          <w:sz w:val="20"/>
          <w:szCs w:val="20"/>
        </w:rPr>
      </w:pPr>
    </w:p>
    <w:p w14:paraId="0DDCF05B">
      <w:pPr>
        <w:rPr>
          <w:rFonts w:hint="default" w:ascii="Times New Roman" w:hAnsi="Times New Roman" w:cs="Times New Roman"/>
          <w:sz w:val="20"/>
          <w:szCs w:val="20"/>
        </w:rPr>
      </w:pPr>
    </w:p>
    <w:p w14:paraId="33EE4DBA">
      <w:pPr>
        <w:rPr>
          <w:rFonts w:hint="default" w:ascii="Times New Roman" w:hAnsi="Times New Roman" w:cs="Times New Roman"/>
          <w:sz w:val="20"/>
          <w:szCs w:val="20"/>
        </w:rPr>
      </w:pPr>
    </w:p>
    <w:p w14:paraId="3086EECE">
      <w:pPr>
        <w:rPr>
          <w:rFonts w:hint="default" w:ascii="Times New Roman" w:hAnsi="Times New Roman" w:cs="Times New Roman"/>
          <w:sz w:val="20"/>
          <w:szCs w:val="20"/>
        </w:rPr>
      </w:pPr>
    </w:p>
    <w:p w14:paraId="45C2CA20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 Comparison of blood and urine biochemical indices between sarcopenia and non-sarcopenia participants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1791"/>
        <w:gridCol w:w="1903"/>
        <w:gridCol w:w="1856"/>
        <w:gridCol w:w="975"/>
      </w:tblGrid>
      <w:tr w14:paraId="4F2527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97" w:type="dxa"/>
            <w:tcBorders>
              <w:bottom w:val="single" w:color="auto" w:sz="6" w:space="0"/>
            </w:tcBorders>
            <w:vAlign w:val="center"/>
          </w:tcPr>
          <w:p w14:paraId="6DE6B696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791" w:type="dxa"/>
            <w:tcBorders>
              <w:bottom w:val="single" w:color="auto" w:sz="6" w:space="0"/>
            </w:tcBorders>
            <w:vAlign w:val="center"/>
          </w:tcPr>
          <w:p w14:paraId="7F40076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Overall</w:t>
            </w:r>
          </w:p>
        </w:tc>
        <w:tc>
          <w:tcPr>
            <w:tcW w:w="1903" w:type="dxa"/>
            <w:tcBorders>
              <w:bottom w:val="single" w:color="auto" w:sz="6" w:space="0"/>
            </w:tcBorders>
            <w:vAlign w:val="center"/>
          </w:tcPr>
          <w:p w14:paraId="193A93B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Sarcopenia </w:t>
            </w:r>
          </w:p>
        </w:tc>
        <w:tc>
          <w:tcPr>
            <w:tcW w:w="1856" w:type="dxa"/>
            <w:tcBorders>
              <w:bottom w:val="single" w:color="auto" w:sz="6" w:space="0"/>
            </w:tcBorders>
            <w:vAlign w:val="center"/>
          </w:tcPr>
          <w:p w14:paraId="1282E40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on-sarcopeni</w:t>
            </w:r>
          </w:p>
        </w:tc>
        <w:tc>
          <w:tcPr>
            <w:tcW w:w="975" w:type="dxa"/>
            <w:tcBorders>
              <w:bottom w:val="single" w:color="auto" w:sz="6" w:space="0"/>
            </w:tcBorders>
            <w:vAlign w:val="center"/>
          </w:tcPr>
          <w:p w14:paraId="59DA8728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</w:tr>
      <w:tr w14:paraId="01F74B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single" w:color="auto" w:sz="6" w:space="0"/>
            </w:tcBorders>
            <w:vAlign w:val="center"/>
          </w:tcPr>
          <w:p w14:paraId="4EAB1172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WBC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tcBorders>
              <w:top w:val="single" w:color="auto" w:sz="6" w:space="0"/>
            </w:tcBorders>
            <w:vAlign w:val="center"/>
          </w:tcPr>
          <w:p w14:paraId="79E4D4D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4.5,6.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tcBorders>
              <w:top w:val="single" w:color="auto" w:sz="6" w:space="0"/>
            </w:tcBorders>
            <w:vAlign w:val="center"/>
          </w:tcPr>
          <w:p w14:paraId="5EF7904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4.5,6.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tcBorders>
              <w:top w:val="single" w:color="auto" w:sz="6" w:space="0"/>
            </w:tcBorders>
            <w:vAlign w:val="center"/>
          </w:tcPr>
          <w:p w14:paraId="3B254FC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,6.4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tcBorders>
              <w:top w:val="single" w:color="auto" w:sz="6" w:space="0"/>
            </w:tcBorders>
            <w:vAlign w:val="center"/>
          </w:tcPr>
          <w:p w14:paraId="1E600DD4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0.574</w:t>
            </w:r>
          </w:p>
        </w:tc>
      </w:tr>
      <w:tr w14:paraId="6F65F1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5D342F0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RBC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))</w:t>
            </w:r>
          </w:p>
        </w:tc>
        <w:tc>
          <w:tcPr>
            <w:tcW w:w="1791" w:type="dxa"/>
            <w:vAlign w:val="center"/>
          </w:tcPr>
          <w:p w14:paraId="0F7F8E8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72F64A1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1EA1DA88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4.1,4.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2213527B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</w:tr>
      <w:tr w14:paraId="25C5FF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1B73FCC2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TLC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5F29AA6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62DAF7E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1.4,2.2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2702772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638AC27E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0.147</w:t>
            </w:r>
          </w:p>
        </w:tc>
      </w:tr>
      <w:tr w14:paraId="055752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2044F62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PLT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422E3B6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2978AA8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183.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,253.5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471635C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187.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,248.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12071505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0.584</w:t>
            </w:r>
          </w:p>
        </w:tc>
      </w:tr>
      <w:tr w14:paraId="4BFE74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68734817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Neutrophils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70CF26C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DDCE9C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,3.7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139F9FD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,3.8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52F10122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0.962</w:t>
            </w:r>
          </w:p>
        </w:tc>
      </w:tr>
      <w:tr w14:paraId="3E2DA2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0E4FEF8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Monocytes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5E1611C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0.26,0.3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371F4C5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0.26,0.38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268993D4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0.26,0.39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6E9056C0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0.739</w:t>
            </w:r>
          </w:p>
        </w:tc>
      </w:tr>
      <w:tr w14:paraId="79D476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649B26D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Eosinophilic granulocyte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01DACC3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0.05,0.1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0D3B169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0.05,0.13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25C7952B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0.05,0.15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53956A4F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0.171</w:t>
            </w:r>
          </w:p>
        </w:tc>
      </w:tr>
      <w:tr w14:paraId="208490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0C1E1A5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asophilic granulocyte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227FF46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0.03,0.05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A3299A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0.03,0.05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683A22E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0.03,0.06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43EB6E0A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14:paraId="51ACB2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003EE83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261C3E6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68AA1FE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,142.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78C14568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,143.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425BF314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14:paraId="58B136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695E7010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Blood glucose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1A6B0AD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,7.1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5D536F1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5.6,7.1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5B13004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,7.1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664B59B3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0.373</w:t>
            </w:r>
          </w:p>
        </w:tc>
      </w:tr>
      <w:tr w14:paraId="17D0D1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18ADC50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ALT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2D97A59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.8,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432330A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11.8,19.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6AFF2B7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13.4,22.3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5745409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556CCA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22F4A1F7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AST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55FCA2D0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15.5,21.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6424C44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15.5,21.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6F44C34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15.5,21.1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78F6249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0.634</w:t>
            </w:r>
          </w:p>
        </w:tc>
      </w:tr>
      <w:tr w14:paraId="4C23A3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32989B6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AST/ALT</w:t>
            </w:r>
          </w:p>
        </w:tc>
        <w:tc>
          <w:tcPr>
            <w:tcW w:w="1791" w:type="dxa"/>
            <w:vAlign w:val="center"/>
          </w:tcPr>
          <w:p w14:paraId="3BE6A70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59BB14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0A6C744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0EB94FED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61897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632CBB1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SG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g/mL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0947AC0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1.0,1.0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3EC6C70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1.0,1.0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7536FFAB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1.0,1.0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5F8242FB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 w14:paraId="78B0A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2773EDA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Urea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2CA882A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213A0D5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6F331BB5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53BF8860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0.561</w:t>
            </w:r>
          </w:p>
        </w:tc>
      </w:tr>
      <w:tr w14:paraId="7ED4DE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4ECC361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Cre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5A7688A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,75.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529DF72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62.5,75.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78580D1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,75.2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01FE8780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0.851</w:t>
            </w:r>
          </w:p>
        </w:tc>
      </w:tr>
      <w:tr w14:paraId="45E5A1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06EDC14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Total cholesterol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06E7F11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4.3,5.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BD6CA3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4.3,5.6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1BA2E62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4.3,5.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4B3F440E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0.971</w:t>
            </w:r>
          </w:p>
        </w:tc>
      </w:tr>
      <w:tr w14:paraId="5A601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6893822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TBil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46D325F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4E9A0BC4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12.3,18.4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62EF57AA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12.6,19.4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0EE32164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14:paraId="0E350C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78336AFD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TG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07491DD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514FD73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0.9,1.7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06D02C3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1.0,1.9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666B2F6E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14:paraId="47EC9D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27591522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HDL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33E1C89E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42F721D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1.1,1.6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3F2F0681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1.1,1.5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0652770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</w:tr>
      <w:tr w14:paraId="77B5A5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17BC7AD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LDL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54EC775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2.2,3.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6840279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2.2,3.1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7D4AA787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2.2,3.2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3BA6346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14:paraId="0378BB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Align w:val="center"/>
          </w:tcPr>
          <w:p w14:paraId="3FF426F6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VLDL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mmol/L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91" w:type="dxa"/>
            <w:vAlign w:val="center"/>
          </w:tcPr>
          <w:p w14:paraId="61D4A9BB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903" w:type="dxa"/>
            <w:vAlign w:val="center"/>
          </w:tcPr>
          <w:p w14:paraId="104EC9C2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0.6,1.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856" w:type="dxa"/>
            <w:vAlign w:val="center"/>
          </w:tcPr>
          <w:p w14:paraId="6FB7ADDF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0.6,1.1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975" w:type="dxa"/>
            <w:vAlign w:val="center"/>
          </w:tcPr>
          <w:p w14:paraId="7805F36E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0.701</w:t>
            </w:r>
          </w:p>
        </w:tc>
      </w:tr>
    </w:tbl>
    <w:p w14:paraId="747B818A"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Statistically significant p values are indicated as bold</w:t>
      </w:r>
    </w:p>
    <w:p w14:paraId="7DE2E9C1"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Data are shown as medians (interquartile ranges)</w:t>
      </w:r>
    </w:p>
    <w:p w14:paraId="659D43A3">
      <w:pPr>
        <w:rPr>
          <w:rFonts w:hint="default" w:ascii="Times New Roman" w:hAnsi="Times New Roman" w:eastAsia="楷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000000"/>
          <w:kern w:val="0"/>
          <w:sz w:val="20"/>
          <w:szCs w:val="20"/>
          <w:lang w:bidi="ar"/>
        </w:rPr>
        <w:t>WBC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white blood cell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RBC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hint="default" w:ascii="Times New Roman" w:hAnsi="Times New Roman" w:cs="Times New Roman"/>
          <w:sz w:val="20"/>
          <w:szCs w:val="20"/>
        </w:rPr>
        <w:t xml:space="preserve">ed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sz w:val="20"/>
          <w:szCs w:val="20"/>
        </w:rPr>
        <w:t xml:space="preserve">lood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</w:rPr>
        <w:t xml:space="preserve">ell;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TLC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otal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ymphocyte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ount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PLT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Helvetica" w:cs="Times New Roman"/>
          <w:color w:val="333333"/>
          <w:sz w:val="20"/>
          <w:szCs w:val="20"/>
          <w:shd w:val="clear" w:color="auto" w:fill="FFFFFF"/>
        </w:rPr>
        <w:t>platelet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H</w:t>
      </w:r>
      <w:r>
        <w:rPr>
          <w:rFonts w:hint="eastAsia" w:ascii="Times New Roman" w:hAnsi="Times New Roman" w:cs="Times New Roman"/>
          <w:i/>
          <w:i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h</w:t>
      </w:r>
      <w:r>
        <w:rPr>
          <w:rFonts w:hint="default" w:ascii="Times New Roman" w:hAnsi="Times New Roman" w:cs="Times New Roman"/>
          <w:sz w:val="20"/>
          <w:szCs w:val="20"/>
        </w:rPr>
        <w:t>emoglobin;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ALT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lanine aminotransferase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AST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spartate aminotransferase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lang w:bidi="ar"/>
        </w:rPr>
        <w:t>SG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hint="default" w:ascii="Times New Roman" w:hAnsi="Times New Roman" w:eastAsia="Arial" w:cs="Times New Roman"/>
          <w:color w:val="333333"/>
          <w:sz w:val="20"/>
          <w:szCs w:val="20"/>
          <w:shd w:val="clear" w:color="auto" w:fill="FFFFFF"/>
        </w:rPr>
        <w:t>pecific gravity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Cre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creatinine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TBil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total bilirubin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TG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Helvetica" w:cs="Times New Roman"/>
          <w:color w:val="333333"/>
          <w:sz w:val="20"/>
          <w:szCs w:val="20"/>
          <w:shd w:val="clear" w:color="auto" w:fill="FFFFFF"/>
        </w:rPr>
        <w:t>triglyceride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HDL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high-density lipoprotein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</w:rPr>
        <w:t>LDL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low-density lipoprotein</w:t>
      </w:r>
      <w:r>
        <w:rPr>
          <w:rFonts w:hint="default"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0"/>
          <w:szCs w:val="20"/>
          <w:lang w:val="en-US" w:eastAsia="zh-CN"/>
        </w:rPr>
        <w:t>VLDL</w:t>
      </w:r>
      <w:r>
        <w:rPr>
          <w:rFonts w:hint="default" w:ascii="Times New Roman" w:hAnsi="Times New Roman" w:cs="Times New Roman"/>
          <w:sz w:val="20"/>
          <w:szCs w:val="20"/>
        </w:rPr>
        <w:t xml:space="preserve">, very </w:t>
      </w:r>
      <w:r>
        <w:rPr>
          <w:rFonts w:hint="default" w:ascii="Times New Roman" w:hAnsi="Times New Roman" w:eastAsia="宋体" w:cs="Times New Roman"/>
          <w:color w:val="333333"/>
          <w:sz w:val="20"/>
          <w:szCs w:val="20"/>
          <w:shd w:val="clear" w:color="auto" w:fill="FFFFFF"/>
        </w:rPr>
        <w:t>low-density</w:t>
      </w:r>
      <w:r>
        <w:rPr>
          <w:rFonts w:hint="default" w:ascii="Times New Roman" w:hAnsi="Times New Roman" w:cs="Times New Roman"/>
          <w:sz w:val="20"/>
          <w:szCs w:val="20"/>
        </w:rPr>
        <w:t xml:space="preserve"> lipoprotein;</w:t>
      </w:r>
    </w:p>
    <w:p w14:paraId="43E9559D">
      <w:pPr>
        <w:rPr>
          <w:rFonts w:hint="default" w:ascii="Times New Roman" w:hAnsi="Times New Roman" w:cs="Times New Roman"/>
          <w:sz w:val="20"/>
          <w:szCs w:val="20"/>
        </w:rPr>
      </w:pPr>
    </w:p>
    <w:p w14:paraId="6CAB82AC">
      <w:pPr>
        <w:rPr>
          <w:rFonts w:ascii="Times New Roman" w:hAnsi="Times New Roman" w:cs="Times New Roman"/>
          <w:sz w:val="20"/>
          <w:szCs w:val="20"/>
        </w:rPr>
      </w:pPr>
    </w:p>
    <w:p w14:paraId="0960D632">
      <w:pPr>
        <w:rPr>
          <w:rFonts w:ascii="Times New Roman" w:hAnsi="Times New Roman" w:cs="Times New Roman"/>
          <w:sz w:val="20"/>
          <w:szCs w:val="20"/>
        </w:rPr>
      </w:pPr>
    </w:p>
    <w:p w14:paraId="71B7403F">
      <w:pPr>
        <w:rPr>
          <w:rFonts w:ascii="Times New Roman" w:hAnsi="Times New Roman" w:cs="Times New Roman"/>
          <w:sz w:val="20"/>
          <w:szCs w:val="20"/>
        </w:rPr>
      </w:pPr>
    </w:p>
    <w:p w14:paraId="5E1CC130">
      <w:pPr>
        <w:rPr>
          <w:rFonts w:ascii="Times New Roman" w:hAnsi="Times New Roman" w:cs="Times New Roman"/>
          <w:sz w:val="20"/>
          <w:szCs w:val="20"/>
        </w:rPr>
      </w:pPr>
    </w:p>
    <w:p w14:paraId="241431DA">
      <w:pPr>
        <w:rPr>
          <w:rFonts w:ascii="Times New Roman" w:hAnsi="Times New Roman" w:cs="Times New Roman"/>
          <w:sz w:val="20"/>
          <w:szCs w:val="20"/>
        </w:rPr>
      </w:pPr>
    </w:p>
    <w:p w14:paraId="44565F7D">
      <w:pPr>
        <w:rPr>
          <w:rFonts w:ascii="Times New Roman" w:hAnsi="Times New Roman" w:cs="Times New Roman"/>
          <w:sz w:val="20"/>
          <w:szCs w:val="20"/>
        </w:rPr>
      </w:pPr>
      <w:bookmarkStart w:id="9" w:name="_GoBack"/>
      <w:bookmarkEnd w:id="9"/>
    </w:p>
    <w:p w14:paraId="1DC970C3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 Spearman's correlation coefficient of ASMI, gait speed, and grip strength with the influencing factor of sarcopenia</w:t>
      </w:r>
    </w:p>
    <w:tbl>
      <w:tblPr>
        <w:tblStyle w:val="3"/>
        <w:tblpPr w:leftFromText="180" w:rightFromText="180" w:vertAnchor="text" w:horzAnchor="page" w:tblpX="1792" w:tblpY="302"/>
        <w:tblOverlap w:val="never"/>
        <w:tblW w:w="8604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836"/>
        <w:gridCol w:w="1085"/>
        <w:gridCol w:w="306"/>
        <w:gridCol w:w="836"/>
        <w:gridCol w:w="1043"/>
        <w:gridCol w:w="289"/>
        <w:gridCol w:w="877"/>
        <w:gridCol w:w="1045"/>
      </w:tblGrid>
      <w:tr w14:paraId="4C5117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Merge w:val="restart"/>
          </w:tcPr>
          <w:p w14:paraId="7FF6D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gridSpan w:val="2"/>
          </w:tcPr>
          <w:p w14:paraId="10E7D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ASMI</w:t>
            </w:r>
          </w:p>
        </w:tc>
        <w:tc>
          <w:tcPr>
            <w:tcW w:w="306" w:type="dxa"/>
          </w:tcPr>
          <w:p w14:paraId="687DF7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gridSpan w:val="2"/>
          </w:tcPr>
          <w:p w14:paraId="4DCA8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2"/>
            <w:r>
              <w:rPr>
                <w:rFonts w:hint="eastAsia"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ait speed</w:t>
            </w:r>
            <w:bookmarkEnd w:id="0"/>
          </w:p>
        </w:tc>
        <w:tc>
          <w:tcPr>
            <w:tcW w:w="289" w:type="dxa"/>
          </w:tcPr>
          <w:p w14:paraId="136D6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gridSpan w:val="2"/>
          </w:tcPr>
          <w:p w14:paraId="3C2BC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3"/>
            <w:r>
              <w:rPr>
                <w:rFonts w:hint="eastAsia"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rip strength</w:t>
            </w:r>
            <w:bookmarkEnd w:id="1"/>
          </w:p>
        </w:tc>
      </w:tr>
      <w:tr w14:paraId="229BB5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Merge w:val="continue"/>
            <w:tcBorders>
              <w:bottom w:val="single" w:color="auto" w:sz="6" w:space="0"/>
            </w:tcBorders>
            <w:vAlign w:val="center"/>
          </w:tcPr>
          <w:p w14:paraId="1C07E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color="auto" w:sz="6" w:space="0"/>
            </w:tcBorders>
          </w:tcPr>
          <w:p w14:paraId="43CBA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085" w:type="dxa"/>
            <w:tcBorders>
              <w:bottom w:val="single" w:color="auto" w:sz="6" w:space="0"/>
            </w:tcBorders>
          </w:tcPr>
          <w:p w14:paraId="69DE0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06" w:type="dxa"/>
            <w:tcBorders>
              <w:bottom w:val="single" w:color="auto" w:sz="6" w:space="0"/>
            </w:tcBorders>
          </w:tcPr>
          <w:p w14:paraId="50B7A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color="auto" w:sz="6" w:space="0"/>
            </w:tcBorders>
          </w:tcPr>
          <w:p w14:paraId="228548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043" w:type="dxa"/>
            <w:tcBorders>
              <w:bottom w:val="single" w:color="auto" w:sz="6" w:space="0"/>
            </w:tcBorders>
          </w:tcPr>
          <w:p w14:paraId="01B8A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89" w:type="dxa"/>
            <w:tcBorders>
              <w:bottom w:val="single" w:color="auto" w:sz="6" w:space="0"/>
            </w:tcBorders>
          </w:tcPr>
          <w:p w14:paraId="1DBF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bottom w:val="single" w:color="auto" w:sz="6" w:space="0"/>
            </w:tcBorders>
          </w:tcPr>
          <w:p w14:paraId="19475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045" w:type="dxa"/>
            <w:tcBorders>
              <w:bottom w:val="single" w:color="auto" w:sz="6" w:space="0"/>
            </w:tcBorders>
          </w:tcPr>
          <w:p w14:paraId="5B401A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14:paraId="23B4C4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tcBorders>
              <w:top w:val="single" w:color="auto" w:sz="6" w:space="0"/>
            </w:tcBorders>
            <w:vAlign w:val="center"/>
          </w:tcPr>
          <w:p w14:paraId="61D0830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1" w:colFirst="1" w:colLast="1"/>
            <w:bookmarkStart w:id="3" w:name="OLE_LINK4" w:colFirst="4" w:colLast="4"/>
            <w:bookmarkStart w:id="4" w:name="OLE_LINK5" w:colFirst="7" w:colLast="7"/>
            <w:r>
              <w:rPr>
                <w:rFonts w:hint="eastAsia"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</w:t>
            </w:r>
          </w:p>
        </w:tc>
        <w:tc>
          <w:tcPr>
            <w:tcW w:w="836" w:type="dxa"/>
            <w:tcBorders>
              <w:top w:val="single" w:color="auto" w:sz="6" w:space="0"/>
            </w:tcBorders>
            <w:vAlign w:val="center"/>
          </w:tcPr>
          <w:p w14:paraId="1A364BBF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118</w:t>
            </w:r>
          </w:p>
        </w:tc>
        <w:tc>
          <w:tcPr>
            <w:tcW w:w="1085" w:type="dxa"/>
            <w:tcBorders>
              <w:top w:val="single" w:color="auto" w:sz="6" w:space="0"/>
            </w:tcBorders>
            <w:vAlign w:val="center"/>
          </w:tcPr>
          <w:p w14:paraId="474C615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306" w:type="dxa"/>
            <w:tcBorders>
              <w:top w:val="single" w:color="auto" w:sz="6" w:space="0"/>
            </w:tcBorders>
            <w:vAlign w:val="center"/>
          </w:tcPr>
          <w:p w14:paraId="1361079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color="auto" w:sz="6" w:space="0"/>
            </w:tcBorders>
            <w:vAlign w:val="center"/>
          </w:tcPr>
          <w:p w14:paraId="6E3B8BB6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371</w:t>
            </w:r>
          </w:p>
        </w:tc>
        <w:tc>
          <w:tcPr>
            <w:tcW w:w="1043" w:type="dxa"/>
            <w:tcBorders>
              <w:top w:val="single" w:color="auto" w:sz="6" w:space="0"/>
            </w:tcBorders>
            <w:vAlign w:val="center"/>
          </w:tcPr>
          <w:p w14:paraId="4EB764D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89" w:type="dxa"/>
            <w:tcBorders>
              <w:top w:val="single" w:color="auto" w:sz="6" w:space="0"/>
            </w:tcBorders>
          </w:tcPr>
          <w:p w14:paraId="5AFA10D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color="auto" w:sz="6" w:space="0"/>
            </w:tcBorders>
            <w:vAlign w:val="center"/>
          </w:tcPr>
          <w:p w14:paraId="209C69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-0.175</w:t>
            </w:r>
          </w:p>
        </w:tc>
        <w:tc>
          <w:tcPr>
            <w:tcW w:w="1045" w:type="dxa"/>
            <w:tcBorders>
              <w:top w:val="single" w:color="auto" w:sz="6" w:space="0"/>
            </w:tcBorders>
            <w:vAlign w:val="center"/>
          </w:tcPr>
          <w:p w14:paraId="00B1FEE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5A4411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4D8B4500">
            <w:pPr>
              <w:jc w:val="left"/>
              <w:rPr>
                <w:rFonts w:hint="eastAsia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bookmarkStart w:id="5" w:name="OLE_LINK10"/>
            <w:r>
              <w:rPr>
                <w:rFonts w:hint="eastAsia" w:ascii="Times New Roman" w:hAnsi="Times New Roman" w:cs="Times New Roman"/>
                <w:sz w:val="20"/>
                <w:szCs w:val="20"/>
              </w:rPr>
              <w:t>DII</w:t>
            </w:r>
            <w:bookmarkEnd w:id="5"/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score</w:t>
            </w:r>
          </w:p>
        </w:tc>
        <w:tc>
          <w:tcPr>
            <w:tcW w:w="836" w:type="dxa"/>
            <w:vAlign w:val="center"/>
          </w:tcPr>
          <w:p w14:paraId="248FC5C4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bookmarkStart w:id="6" w:name="OLE_LINK11"/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</w:t>
            </w:r>
            <w:bookmarkEnd w:id="6"/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1085" w:type="dxa"/>
            <w:vAlign w:val="center"/>
          </w:tcPr>
          <w:p w14:paraId="232A0980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06" w:type="dxa"/>
            <w:vAlign w:val="center"/>
          </w:tcPr>
          <w:p w14:paraId="10CCA38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3A9B68A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bookmarkStart w:id="7" w:name="OLE_LINK12"/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</w:t>
            </w:r>
            <w:bookmarkEnd w:id="7"/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78</w:t>
            </w:r>
          </w:p>
        </w:tc>
        <w:tc>
          <w:tcPr>
            <w:tcW w:w="1043" w:type="dxa"/>
            <w:vAlign w:val="center"/>
          </w:tcPr>
          <w:p w14:paraId="71479769">
            <w:pPr>
              <w:jc w:val="left"/>
              <w:rPr>
                <w:rFonts w:hint="eastAsia" w:ascii="Times New Roman" w:hAnsi="Times New Roman" w:eastAsia="楷体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89" w:type="dxa"/>
          </w:tcPr>
          <w:p w14:paraId="11ED5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5723FB11">
            <w:pPr>
              <w:jc w:val="left"/>
              <w:rPr>
                <w:rFonts w:hint="eastAsia" w:ascii="Times New Roman" w:hAnsi="Times New Roman" w:eastAsia="楷体" w:cs="Times New Roman"/>
                <w:sz w:val="20"/>
                <w:szCs w:val="20"/>
                <w:lang w:eastAsia="zh-CN"/>
              </w:rPr>
            </w:pPr>
            <w:bookmarkStart w:id="8" w:name="OLE_LINK13"/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-0.08</w:t>
            </w:r>
            <w:bookmarkEnd w:id="8"/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45" w:type="dxa"/>
            <w:vAlign w:val="center"/>
          </w:tcPr>
          <w:p w14:paraId="4DB2BA9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14:paraId="5B6583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5BD8DFA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836" w:type="dxa"/>
            <w:vAlign w:val="center"/>
          </w:tcPr>
          <w:p w14:paraId="36A4F94C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085" w:type="dxa"/>
            <w:vAlign w:val="center"/>
          </w:tcPr>
          <w:p w14:paraId="66F1F219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306" w:type="dxa"/>
          </w:tcPr>
          <w:p w14:paraId="5271518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B721A9A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1043" w:type="dxa"/>
            <w:vAlign w:val="center"/>
          </w:tcPr>
          <w:p w14:paraId="0796B55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89" w:type="dxa"/>
          </w:tcPr>
          <w:p w14:paraId="0B36B2C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352385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1045" w:type="dxa"/>
            <w:vAlign w:val="center"/>
          </w:tcPr>
          <w:p w14:paraId="1528A12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7CAC03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0495FDD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</w:p>
          <w:p w14:paraId="32B1F6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activity level</w:t>
            </w:r>
          </w:p>
        </w:tc>
        <w:tc>
          <w:tcPr>
            <w:tcW w:w="836" w:type="dxa"/>
            <w:vAlign w:val="center"/>
          </w:tcPr>
          <w:p w14:paraId="7096BD3B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153</w:t>
            </w:r>
          </w:p>
        </w:tc>
        <w:tc>
          <w:tcPr>
            <w:tcW w:w="1085" w:type="dxa"/>
            <w:vAlign w:val="center"/>
          </w:tcPr>
          <w:p w14:paraId="6F37A9B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306" w:type="dxa"/>
          </w:tcPr>
          <w:p w14:paraId="1E02E1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2D601E6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284</w:t>
            </w:r>
          </w:p>
        </w:tc>
        <w:tc>
          <w:tcPr>
            <w:tcW w:w="1043" w:type="dxa"/>
            <w:vAlign w:val="center"/>
          </w:tcPr>
          <w:p w14:paraId="0D96E1A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89" w:type="dxa"/>
          </w:tcPr>
          <w:p w14:paraId="65693BF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2FBA2E6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1045" w:type="dxa"/>
            <w:vAlign w:val="center"/>
          </w:tcPr>
          <w:p w14:paraId="1246525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327D28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287" w:type="dxa"/>
            <w:vAlign w:val="center"/>
          </w:tcPr>
          <w:p w14:paraId="710DA4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836" w:type="dxa"/>
            <w:vAlign w:val="center"/>
          </w:tcPr>
          <w:p w14:paraId="04BE24ED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0.407</w:t>
            </w:r>
          </w:p>
        </w:tc>
        <w:tc>
          <w:tcPr>
            <w:tcW w:w="1085" w:type="dxa"/>
            <w:vAlign w:val="center"/>
          </w:tcPr>
          <w:p w14:paraId="565E9800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306" w:type="dxa"/>
          </w:tcPr>
          <w:p w14:paraId="164A13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EB27850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1043" w:type="dxa"/>
            <w:vAlign w:val="center"/>
          </w:tcPr>
          <w:p w14:paraId="631D6ED0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0.212</w:t>
            </w:r>
          </w:p>
        </w:tc>
        <w:tc>
          <w:tcPr>
            <w:tcW w:w="289" w:type="dxa"/>
          </w:tcPr>
          <w:p w14:paraId="19F6749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263CCEC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045" w:type="dxa"/>
            <w:vAlign w:val="center"/>
          </w:tcPr>
          <w:p w14:paraId="0D136FE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0.618</w:t>
            </w:r>
          </w:p>
        </w:tc>
      </w:tr>
      <w:tr w14:paraId="2E2599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55B4309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Leucine</w:t>
            </w:r>
          </w:p>
        </w:tc>
        <w:tc>
          <w:tcPr>
            <w:tcW w:w="836" w:type="dxa"/>
            <w:vAlign w:val="center"/>
          </w:tcPr>
          <w:p w14:paraId="49C49EE4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83</w:t>
            </w:r>
          </w:p>
        </w:tc>
        <w:tc>
          <w:tcPr>
            <w:tcW w:w="1085" w:type="dxa"/>
            <w:vAlign w:val="center"/>
          </w:tcPr>
          <w:p w14:paraId="5817B07F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009</w:t>
            </w:r>
          </w:p>
        </w:tc>
        <w:tc>
          <w:tcPr>
            <w:tcW w:w="306" w:type="dxa"/>
          </w:tcPr>
          <w:p w14:paraId="234F437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18F54C1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1043" w:type="dxa"/>
            <w:vAlign w:val="center"/>
          </w:tcPr>
          <w:p w14:paraId="49EBD981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126</w:t>
            </w:r>
          </w:p>
        </w:tc>
        <w:tc>
          <w:tcPr>
            <w:tcW w:w="289" w:type="dxa"/>
          </w:tcPr>
          <w:p w14:paraId="0D8DAC9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3D746A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045" w:type="dxa"/>
            <w:vAlign w:val="center"/>
          </w:tcPr>
          <w:p w14:paraId="4B93844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33E154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3FA2EE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Methionine</w:t>
            </w:r>
          </w:p>
        </w:tc>
        <w:tc>
          <w:tcPr>
            <w:tcW w:w="836" w:type="dxa"/>
            <w:vAlign w:val="center"/>
          </w:tcPr>
          <w:p w14:paraId="65E08D90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71</w:t>
            </w:r>
          </w:p>
        </w:tc>
        <w:tc>
          <w:tcPr>
            <w:tcW w:w="1085" w:type="dxa"/>
            <w:vAlign w:val="center"/>
          </w:tcPr>
          <w:p w14:paraId="6C08E819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026</w:t>
            </w:r>
          </w:p>
        </w:tc>
        <w:tc>
          <w:tcPr>
            <w:tcW w:w="306" w:type="dxa"/>
          </w:tcPr>
          <w:p w14:paraId="6C0BF8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8866394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1043" w:type="dxa"/>
            <w:vAlign w:val="center"/>
          </w:tcPr>
          <w:p w14:paraId="4CC841C7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369</w:t>
            </w:r>
          </w:p>
        </w:tc>
        <w:tc>
          <w:tcPr>
            <w:tcW w:w="289" w:type="dxa"/>
          </w:tcPr>
          <w:p w14:paraId="0ABD58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288701C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045" w:type="dxa"/>
            <w:vAlign w:val="center"/>
          </w:tcPr>
          <w:p w14:paraId="68F665D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420627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7852BBF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Threonine</w:t>
            </w:r>
          </w:p>
        </w:tc>
        <w:tc>
          <w:tcPr>
            <w:tcW w:w="836" w:type="dxa"/>
            <w:vAlign w:val="center"/>
          </w:tcPr>
          <w:p w14:paraId="3E149C1D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84</w:t>
            </w:r>
          </w:p>
        </w:tc>
        <w:tc>
          <w:tcPr>
            <w:tcW w:w="1085" w:type="dxa"/>
            <w:vAlign w:val="center"/>
          </w:tcPr>
          <w:p w14:paraId="0B820C2E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009</w:t>
            </w:r>
          </w:p>
        </w:tc>
        <w:tc>
          <w:tcPr>
            <w:tcW w:w="306" w:type="dxa"/>
          </w:tcPr>
          <w:p w14:paraId="7091F8D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0581DC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1043" w:type="dxa"/>
            <w:vAlign w:val="center"/>
          </w:tcPr>
          <w:p w14:paraId="4B37388C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126</w:t>
            </w:r>
          </w:p>
        </w:tc>
        <w:tc>
          <w:tcPr>
            <w:tcW w:w="289" w:type="dxa"/>
          </w:tcPr>
          <w:p w14:paraId="71F87B4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3C4EEC0E">
            <w:pPr>
              <w:jc w:val="left"/>
              <w:rPr>
                <w:rFonts w:hint="eastAsia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45" w:type="dxa"/>
            <w:vAlign w:val="center"/>
          </w:tcPr>
          <w:p w14:paraId="01EC02EB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7E3016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3F78BE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Histidine</w:t>
            </w:r>
          </w:p>
        </w:tc>
        <w:tc>
          <w:tcPr>
            <w:tcW w:w="836" w:type="dxa"/>
            <w:vAlign w:val="center"/>
          </w:tcPr>
          <w:p w14:paraId="020021ED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83</w:t>
            </w:r>
          </w:p>
        </w:tc>
        <w:tc>
          <w:tcPr>
            <w:tcW w:w="1085" w:type="dxa"/>
            <w:vAlign w:val="center"/>
          </w:tcPr>
          <w:p w14:paraId="10665B52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009</w:t>
            </w:r>
          </w:p>
        </w:tc>
        <w:tc>
          <w:tcPr>
            <w:tcW w:w="306" w:type="dxa"/>
          </w:tcPr>
          <w:p w14:paraId="2BEB9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8416329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1043" w:type="dxa"/>
            <w:vAlign w:val="center"/>
          </w:tcPr>
          <w:p w14:paraId="2CB44B36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147</w:t>
            </w:r>
          </w:p>
        </w:tc>
        <w:tc>
          <w:tcPr>
            <w:tcW w:w="289" w:type="dxa"/>
          </w:tcPr>
          <w:p w14:paraId="2744B6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0D364DF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045" w:type="dxa"/>
            <w:vAlign w:val="center"/>
          </w:tcPr>
          <w:p w14:paraId="681771E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537382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6AA586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Aspartic acid</w:t>
            </w:r>
          </w:p>
        </w:tc>
        <w:tc>
          <w:tcPr>
            <w:tcW w:w="836" w:type="dxa"/>
            <w:vAlign w:val="center"/>
          </w:tcPr>
          <w:p w14:paraId="5EA6BCFF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94</w:t>
            </w:r>
          </w:p>
        </w:tc>
        <w:tc>
          <w:tcPr>
            <w:tcW w:w="1085" w:type="dxa"/>
            <w:vAlign w:val="center"/>
          </w:tcPr>
          <w:p w14:paraId="18EF46A6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06" w:type="dxa"/>
          </w:tcPr>
          <w:p w14:paraId="1D35696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4B9F497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1043" w:type="dxa"/>
            <w:vAlign w:val="center"/>
          </w:tcPr>
          <w:p w14:paraId="3BAABC11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289" w:type="dxa"/>
          </w:tcPr>
          <w:p w14:paraId="2C28FD5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1ACE305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1045" w:type="dxa"/>
            <w:vAlign w:val="center"/>
          </w:tcPr>
          <w:p w14:paraId="2AC4F82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2EE6C5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1EBC6C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Calcium</w:t>
            </w:r>
          </w:p>
        </w:tc>
        <w:tc>
          <w:tcPr>
            <w:tcW w:w="836" w:type="dxa"/>
            <w:vAlign w:val="center"/>
          </w:tcPr>
          <w:p w14:paraId="536486CA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57</w:t>
            </w:r>
          </w:p>
        </w:tc>
        <w:tc>
          <w:tcPr>
            <w:tcW w:w="1085" w:type="dxa"/>
            <w:vAlign w:val="center"/>
          </w:tcPr>
          <w:p w14:paraId="6DC8AEC6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076</w:t>
            </w:r>
          </w:p>
        </w:tc>
        <w:tc>
          <w:tcPr>
            <w:tcW w:w="306" w:type="dxa"/>
          </w:tcPr>
          <w:p w14:paraId="68AB726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70B50E8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1043" w:type="dxa"/>
            <w:vAlign w:val="center"/>
          </w:tcPr>
          <w:p w14:paraId="0647732A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172</w:t>
            </w:r>
          </w:p>
        </w:tc>
        <w:tc>
          <w:tcPr>
            <w:tcW w:w="289" w:type="dxa"/>
          </w:tcPr>
          <w:p w14:paraId="55FD063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106C541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045" w:type="dxa"/>
            <w:vAlign w:val="center"/>
          </w:tcPr>
          <w:p w14:paraId="1C2F88A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0.042</w:t>
            </w:r>
          </w:p>
        </w:tc>
      </w:tr>
      <w:tr w14:paraId="4D50B6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2B605F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Zinc</w:t>
            </w:r>
          </w:p>
        </w:tc>
        <w:tc>
          <w:tcPr>
            <w:tcW w:w="836" w:type="dxa"/>
            <w:vAlign w:val="center"/>
          </w:tcPr>
          <w:p w14:paraId="6659C043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1085" w:type="dxa"/>
            <w:vAlign w:val="center"/>
          </w:tcPr>
          <w:p w14:paraId="15BB537F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031</w:t>
            </w:r>
          </w:p>
        </w:tc>
        <w:tc>
          <w:tcPr>
            <w:tcW w:w="306" w:type="dxa"/>
          </w:tcPr>
          <w:p w14:paraId="6E9FB6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6196D76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1043" w:type="dxa"/>
            <w:vAlign w:val="center"/>
          </w:tcPr>
          <w:p w14:paraId="2972A499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392</w:t>
            </w:r>
          </w:p>
        </w:tc>
        <w:tc>
          <w:tcPr>
            <w:tcW w:w="289" w:type="dxa"/>
          </w:tcPr>
          <w:p w14:paraId="68E85A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79E62C9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045" w:type="dxa"/>
            <w:vAlign w:val="center"/>
          </w:tcPr>
          <w:p w14:paraId="12DB3B0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14:paraId="4D02A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5D5FB80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Vitamin C</w:t>
            </w:r>
          </w:p>
        </w:tc>
        <w:tc>
          <w:tcPr>
            <w:tcW w:w="836" w:type="dxa"/>
            <w:vAlign w:val="center"/>
          </w:tcPr>
          <w:p w14:paraId="0FD1A3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5" w:type="dxa"/>
            <w:vAlign w:val="center"/>
          </w:tcPr>
          <w:p w14:paraId="0C5D850B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306" w:type="dxa"/>
          </w:tcPr>
          <w:p w14:paraId="58D6039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89A2AF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107</w:t>
            </w:r>
          </w:p>
        </w:tc>
        <w:tc>
          <w:tcPr>
            <w:tcW w:w="1043" w:type="dxa"/>
            <w:vAlign w:val="center"/>
          </w:tcPr>
          <w:p w14:paraId="3FAC7AA1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" w:type="dxa"/>
          </w:tcPr>
          <w:p w14:paraId="03FFE6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09E0B8C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045" w:type="dxa"/>
            <w:vAlign w:val="center"/>
          </w:tcPr>
          <w:p w14:paraId="0DFD98C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0.024</w:t>
            </w:r>
          </w:p>
        </w:tc>
      </w:tr>
      <w:tr w14:paraId="00B1DC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42377CF3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TWEAK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EBA89C5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398</w:t>
            </w:r>
          </w:p>
        </w:tc>
        <w:tc>
          <w:tcPr>
            <w:tcW w:w="1085" w:type="dxa"/>
            <w:vAlign w:val="center"/>
          </w:tcPr>
          <w:p w14:paraId="6C5D188B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306" w:type="dxa"/>
          </w:tcPr>
          <w:p w14:paraId="448274D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1CED329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490</w:t>
            </w:r>
          </w:p>
        </w:tc>
        <w:tc>
          <w:tcPr>
            <w:tcW w:w="1043" w:type="dxa"/>
            <w:vAlign w:val="center"/>
          </w:tcPr>
          <w:p w14:paraId="603D1E32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89" w:type="dxa"/>
          </w:tcPr>
          <w:p w14:paraId="121A5B0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63B9D482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414</w:t>
            </w:r>
          </w:p>
        </w:tc>
        <w:tc>
          <w:tcPr>
            <w:tcW w:w="1045" w:type="dxa"/>
            <w:vAlign w:val="center"/>
          </w:tcPr>
          <w:p w14:paraId="236EDF2C"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198E25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078245E9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IGF-1 </w:t>
            </w:r>
          </w:p>
        </w:tc>
        <w:tc>
          <w:tcPr>
            <w:tcW w:w="836" w:type="dxa"/>
            <w:vAlign w:val="center"/>
          </w:tcPr>
          <w:p w14:paraId="132AD2B2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234</w:t>
            </w:r>
          </w:p>
        </w:tc>
        <w:tc>
          <w:tcPr>
            <w:tcW w:w="1085" w:type="dxa"/>
            <w:vAlign w:val="center"/>
          </w:tcPr>
          <w:p w14:paraId="3E4A292F"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0.039</w:t>
            </w:r>
          </w:p>
        </w:tc>
        <w:tc>
          <w:tcPr>
            <w:tcW w:w="306" w:type="dxa"/>
          </w:tcPr>
          <w:p w14:paraId="498256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0B9A868">
            <w:pPr>
              <w:jc w:val="left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123</w:t>
            </w:r>
          </w:p>
        </w:tc>
        <w:tc>
          <w:tcPr>
            <w:tcW w:w="1043" w:type="dxa"/>
            <w:vAlign w:val="center"/>
          </w:tcPr>
          <w:p w14:paraId="0726CD29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0.284</w:t>
            </w:r>
          </w:p>
        </w:tc>
        <w:tc>
          <w:tcPr>
            <w:tcW w:w="289" w:type="dxa"/>
          </w:tcPr>
          <w:p w14:paraId="45456FE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14:paraId="74F0EB8F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0.083</w:t>
            </w:r>
          </w:p>
        </w:tc>
        <w:tc>
          <w:tcPr>
            <w:tcW w:w="1045" w:type="dxa"/>
            <w:vAlign w:val="center"/>
          </w:tcPr>
          <w:p w14:paraId="494921C0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0.471</w:t>
            </w:r>
          </w:p>
        </w:tc>
      </w:tr>
      <w:bookmarkEnd w:id="2"/>
      <w:bookmarkEnd w:id="3"/>
      <w:bookmarkEnd w:id="4"/>
      <w:tr w14:paraId="3C9534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7" w:type="dxa"/>
            <w:vAlign w:val="center"/>
          </w:tcPr>
          <w:p w14:paraId="36337BBC">
            <w:pPr>
              <w:jc w:val="left"/>
              <w:rPr>
                <w:rFonts w:hint="eastAsia" w:ascii="Times New Roman" w:hAnsi="Times New Roman" w:eastAsia="楷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GST </w:t>
            </w:r>
          </w:p>
        </w:tc>
        <w:tc>
          <w:tcPr>
            <w:tcW w:w="836" w:type="dxa"/>
          </w:tcPr>
          <w:p w14:paraId="74BEB03F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097</w:t>
            </w:r>
          </w:p>
        </w:tc>
        <w:tc>
          <w:tcPr>
            <w:tcW w:w="1085" w:type="dxa"/>
          </w:tcPr>
          <w:p w14:paraId="76E19478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0.4</w:t>
            </w:r>
          </w:p>
        </w:tc>
        <w:tc>
          <w:tcPr>
            <w:tcW w:w="306" w:type="dxa"/>
          </w:tcPr>
          <w:p w14:paraId="4BC3464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75B0D7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340</w:t>
            </w:r>
          </w:p>
        </w:tc>
        <w:tc>
          <w:tcPr>
            <w:tcW w:w="1043" w:type="dxa"/>
          </w:tcPr>
          <w:p w14:paraId="5F972880"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289" w:type="dxa"/>
          </w:tcPr>
          <w:p w14:paraId="659AC71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</w:tcPr>
          <w:p w14:paraId="6916223E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0.074</w:t>
            </w:r>
          </w:p>
        </w:tc>
        <w:tc>
          <w:tcPr>
            <w:tcW w:w="1045" w:type="dxa"/>
          </w:tcPr>
          <w:p w14:paraId="723D62C7">
            <w:pPr>
              <w:jc w:val="left"/>
              <w:rPr>
                <w:rFonts w:hint="default" w:ascii="Times New Roman" w:hAnsi="Times New Roman" w:eastAsia="楷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0.522</w:t>
            </w:r>
          </w:p>
        </w:tc>
      </w:tr>
    </w:tbl>
    <w:p w14:paraId="266024DE">
      <w:pPr>
        <w:rPr>
          <w:rFonts w:hint="default" w:ascii="Times New Roman" w:hAnsi="Times New Roman" w:cs="Times New Roman"/>
          <w:i/>
          <w:iCs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Statistically significant p values are indicated as bold</w:t>
      </w:r>
    </w:p>
    <w:p w14:paraId="6B42510C">
      <w:pP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</w:rPr>
        <w:t>DII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sz w:val="20"/>
          <w:szCs w:val="20"/>
        </w:rPr>
        <w:t xml:space="preserve">ietary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</w:t>
      </w:r>
      <w:r>
        <w:rPr>
          <w:rFonts w:hint="default" w:ascii="Times New Roman" w:hAnsi="Times New Roman" w:cs="Times New Roman"/>
          <w:sz w:val="20"/>
          <w:szCs w:val="20"/>
        </w:rPr>
        <w:t xml:space="preserve">nflammatory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</w:t>
      </w:r>
      <w:r>
        <w:rPr>
          <w:rFonts w:hint="default" w:ascii="Times New Roman" w:hAnsi="Times New Roman" w:cs="Times New Roman"/>
          <w:sz w:val="20"/>
          <w:szCs w:val="20"/>
        </w:rPr>
        <w:t>ndex;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BMI</w:t>
      </w:r>
      <w:r>
        <w:rPr>
          <w:rFonts w:hint="default" w:ascii="Times New Roman" w:hAnsi="Times New Roman" w:cs="Times New Roman"/>
          <w:sz w:val="20"/>
          <w:szCs w:val="20"/>
        </w:rPr>
        <w:t>, body mass index;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TWEAK</w:t>
      </w:r>
      <w:r>
        <w:rPr>
          <w:rFonts w:hint="default" w:ascii="Times New Roman" w:hAnsi="Times New Roman" w:cs="Times New Roman"/>
          <w:sz w:val="20"/>
          <w:szCs w:val="20"/>
        </w:rPr>
        <w:t xml:space="preserve">, tumour necrosis factor-like weak inducer of apoptosis;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IGF-1</w:t>
      </w:r>
      <w:r>
        <w:rPr>
          <w:rFonts w:hint="default" w:ascii="Times New Roman" w:hAnsi="Times New Roman" w:cs="Times New Roman"/>
          <w:sz w:val="20"/>
          <w:szCs w:val="20"/>
        </w:rPr>
        <w:t xml:space="preserve">, insulin-like growth factor 1;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LBP</w:t>
      </w:r>
      <w:r>
        <w:rPr>
          <w:rFonts w:hint="default" w:ascii="Times New Roman" w:hAnsi="Times New Roman" w:cs="Times New Roman"/>
          <w:sz w:val="20"/>
          <w:szCs w:val="20"/>
        </w:rPr>
        <w:t xml:space="preserve">, lipopolysaccharide binding protein;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GST</w:t>
      </w:r>
      <w:r>
        <w:rPr>
          <w:rFonts w:hint="default" w:ascii="Times New Roman" w:hAnsi="Times New Roman" w:cs="Times New Roman"/>
          <w:sz w:val="20"/>
          <w:szCs w:val="20"/>
        </w:rPr>
        <w:t>, glutathione S-transferase;</w:t>
      </w:r>
    </w:p>
    <w:p w14:paraId="507734F1">
      <w:pPr>
        <w:rPr>
          <w:rFonts w:hint="eastAsia" w:ascii="Times New Roman" w:hAnsi="Times New Roman" w:eastAsia="楷体" w:cs="Times New Roman"/>
          <w:sz w:val="20"/>
          <w:szCs w:val="20"/>
          <w:lang w:val="en-US" w:eastAsia="zh-CN"/>
        </w:rPr>
      </w:pPr>
    </w:p>
    <w:p w14:paraId="443FFC3F">
      <w:pPr>
        <w:rPr>
          <w:rFonts w:hint="default" w:ascii="Times New Roman" w:hAnsi="Times New Roman" w:cs="Times New Roman"/>
          <w:sz w:val="20"/>
          <w:szCs w:val="20"/>
        </w:rPr>
      </w:pPr>
    </w:p>
    <w:p w14:paraId="2A79BA97"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MjEyOTZhNjBhOTBhYTIxY2Q5YjZmYTZiNjFkNWMifQ=="/>
  </w:docVars>
  <w:rsids>
    <w:rsidRoot w:val="697D1F16"/>
    <w:rsid w:val="2A5F6CD4"/>
    <w:rsid w:val="697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3862</Characters>
  <Lines>0</Lines>
  <Paragraphs>0</Paragraphs>
  <TotalTime>0</TotalTime>
  <ScaleCrop>false</ScaleCrop>
  <LinksUpToDate>false</LinksUpToDate>
  <CharactersWithSpaces>4206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2024-08-03T12:56:00Z</dcterms:created>
  <dc:creator>Sakura</dc:creator>
  <cp:lastModifiedBy>Sakura</cp:lastModifiedBy>
  <dcterms:modified xsi:type="dcterms:W3CDTF">2024-08-04T10:22:43Z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D84BAFF009AB4581B01A22AF4D99356C_11</vt:lpwstr>
  </property>
</Properties>
</file>