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6DB81">
      <w:pPr>
        <w:spacing w:line="480" w:lineRule="auto"/>
        <w:rPr>
          <w:rFonts w:eastAsia="宋体"/>
          <w:b/>
          <w:bCs/>
          <w:color w:val="000000"/>
          <w:kern w:val="24"/>
          <w:sz w:val="24"/>
        </w:rPr>
      </w:pPr>
      <w:bookmarkStart w:id="3" w:name="_GoBack"/>
      <w:bookmarkEnd w:id="3"/>
      <w:r>
        <w:rPr>
          <w:rFonts w:hint="eastAsia" w:eastAsia="宋体"/>
          <w:b/>
          <w:bCs/>
          <w:color w:val="000000"/>
          <w:kern w:val="24"/>
          <w:sz w:val="24"/>
        </w:rPr>
        <w:t xml:space="preserve">Supplementary Table </w:t>
      </w:r>
      <w:r>
        <w:rPr>
          <w:rFonts w:eastAsia="宋体"/>
          <w:b/>
          <w:bCs/>
          <w:color w:val="000000"/>
          <w:kern w:val="24"/>
          <w:sz w:val="24"/>
        </w:rPr>
        <w:t>1</w:t>
      </w:r>
      <w:r>
        <w:rPr>
          <w:rFonts w:hint="eastAsia" w:eastAsia="宋体"/>
          <w:b/>
          <w:bCs/>
          <w:color w:val="000000"/>
          <w:kern w:val="24"/>
          <w:sz w:val="24"/>
        </w:rPr>
        <w:t>:</w:t>
      </w:r>
      <w:r>
        <w:rPr>
          <w:rFonts w:eastAsia="宋体"/>
          <w:b/>
          <w:bCs/>
          <w:color w:val="000000"/>
          <w:kern w:val="24"/>
          <w:sz w:val="24"/>
        </w:rPr>
        <w:t xml:space="preserve"> qRT-PCR primer sequences in this study</w:t>
      </w:r>
    </w:p>
    <w:tbl>
      <w:tblPr>
        <w:tblStyle w:val="8"/>
        <w:tblpPr w:leftFromText="180" w:rightFromText="180" w:vertAnchor="text" w:horzAnchor="page" w:tblpX="1799" w:tblpY="323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4610"/>
      </w:tblGrid>
      <w:tr w14:paraId="2A893A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single" w:color="auto" w:sz="12" w:space="0"/>
              <w:bottom w:val="single" w:color="auto" w:sz="4" w:space="0"/>
            </w:tcBorders>
          </w:tcPr>
          <w:p w14:paraId="36382ECE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b/>
                <w:bCs/>
                <w:sz w:val="24"/>
                <w:szCs w:val="24"/>
              </w:rPr>
              <w:t xml:space="preserve">NAME  </w:t>
            </w:r>
          </w:p>
        </w:tc>
        <w:tc>
          <w:tcPr>
            <w:tcW w:w="4610" w:type="dxa"/>
            <w:tcBorders>
              <w:top w:val="single" w:color="auto" w:sz="12" w:space="0"/>
              <w:bottom w:val="single" w:color="auto" w:sz="4" w:space="0"/>
            </w:tcBorders>
          </w:tcPr>
          <w:p w14:paraId="1A62A1EB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hint="eastAsia" w:eastAsia="仿宋"/>
                <w:b/>
                <w:bCs/>
                <w:sz w:val="24"/>
                <w:szCs w:val="24"/>
              </w:rPr>
              <w:t>(</w:t>
            </w:r>
            <w:r>
              <w:rPr>
                <w:rFonts w:eastAsia="仿宋"/>
                <w:b/>
                <w:bCs/>
                <w:sz w:val="24"/>
                <w:szCs w:val="24"/>
              </w:rPr>
              <w:t xml:space="preserve">5’-3’) </w:t>
            </w:r>
          </w:p>
        </w:tc>
      </w:tr>
      <w:tr w14:paraId="09825F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single" w:color="auto" w:sz="12" w:space="0"/>
              <w:bottom w:val="nil"/>
            </w:tcBorders>
          </w:tcPr>
          <w:p w14:paraId="1D2F398D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HMMR-F</w:t>
            </w:r>
          </w:p>
        </w:tc>
        <w:tc>
          <w:tcPr>
            <w:tcW w:w="4610" w:type="dxa"/>
            <w:tcBorders>
              <w:top w:val="single" w:color="auto" w:sz="12" w:space="0"/>
              <w:bottom w:val="nil"/>
            </w:tcBorders>
          </w:tcPr>
          <w:p w14:paraId="42AB27A7">
            <w:pPr>
              <w:spacing w:line="360" w:lineRule="auto"/>
              <w:jc w:val="left"/>
              <w:rPr>
                <w:rFonts w:hint="eastAsia"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ATGATGGCTAAGCAAGAAGGC</w:t>
            </w:r>
          </w:p>
        </w:tc>
      </w:tr>
      <w:tr w14:paraId="5BBF2C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bottom w:val="nil"/>
            </w:tcBorders>
          </w:tcPr>
          <w:p w14:paraId="371E3E8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HMMR-R</w:t>
            </w:r>
          </w:p>
        </w:tc>
        <w:tc>
          <w:tcPr>
            <w:tcW w:w="4610" w:type="dxa"/>
            <w:tcBorders>
              <w:top w:val="nil"/>
              <w:bottom w:val="nil"/>
            </w:tcBorders>
          </w:tcPr>
          <w:p w14:paraId="36B3084E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TTTCCCTTGAGACTCTTCGAGA</w:t>
            </w:r>
          </w:p>
        </w:tc>
      </w:tr>
      <w:tr w14:paraId="144E28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</w:tcBorders>
          </w:tcPr>
          <w:p w14:paraId="44E070D2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β-actin-F</w:t>
            </w:r>
          </w:p>
        </w:tc>
        <w:tc>
          <w:tcPr>
            <w:tcW w:w="4610" w:type="dxa"/>
            <w:tcBorders>
              <w:top w:val="nil"/>
            </w:tcBorders>
          </w:tcPr>
          <w:p w14:paraId="3701903A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ATCATGAAGTGTGACGTGGAC</w:t>
            </w:r>
          </w:p>
        </w:tc>
      </w:tr>
      <w:tr w14:paraId="26FF9A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bottom w:val="nil"/>
            </w:tcBorders>
          </w:tcPr>
          <w:p w14:paraId="4C1AE7F4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β-actin-R</w:t>
            </w:r>
          </w:p>
        </w:tc>
        <w:tc>
          <w:tcPr>
            <w:tcW w:w="4610" w:type="dxa"/>
            <w:tcBorders>
              <w:bottom w:val="nil"/>
            </w:tcBorders>
          </w:tcPr>
          <w:p w14:paraId="1DD27B2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GACTCGTCATACTCCTGCTTG</w:t>
            </w:r>
          </w:p>
        </w:tc>
      </w:tr>
      <w:tr w14:paraId="2AB82F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bottom w:val="nil"/>
            </w:tcBorders>
          </w:tcPr>
          <w:p w14:paraId="2489D216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U6-F</w:t>
            </w:r>
          </w:p>
        </w:tc>
        <w:tc>
          <w:tcPr>
            <w:tcW w:w="4610" w:type="dxa"/>
            <w:tcBorders>
              <w:top w:val="nil"/>
              <w:bottom w:val="nil"/>
            </w:tcBorders>
          </w:tcPr>
          <w:p w14:paraId="28FAE0D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TGCGGGTGCTCGCTTCGGCAGC</w:t>
            </w:r>
          </w:p>
        </w:tc>
      </w:tr>
      <w:tr w14:paraId="262F7DD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tcBorders>
              <w:top w:val="nil"/>
              <w:bottom w:val="single" w:color="auto" w:sz="12" w:space="0"/>
            </w:tcBorders>
          </w:tcPr>
          <w:p w14:paraId="1CBD46EE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miR-9-5p-F</w:t>
            </w:r>
          </w:p>
        </w:tc>
        <w:tc>
          <w:tcPr>
            <w:tcW w:w="4610" w:type="dxa"/>
            <w:tcBorders>
              <w:top w:val="nil"/>
              <w:bottom w:val="single" w:color="auto" w:sz="12" w:space="0"/>
            </w:tcBorders>
          </w:tcPr>
          <w:p w14:paraId="3DCB0AC9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UCUUUGGUUAUCUAGCUGUAUGA</w:t>
            </w:r>
          </w:p>
        </w:tc>
      </w:tr>
    </w:tbl>
    <w:p w14:paraId="3B1D9667">
      <w:pPr>
        <w:spacing w:line="480" w:lineRule="auto"/>
        <w:rPr>
          <w:rFonts w:eastAsia="宋体"/>
          <w:b/>
          <w:bCs/>
          <w:color w:val="000000"/>
          <w:kern w:val="24"/>
          <w:sz w:val="24"/>
        </w:rPr>
      </w:pPr>
    </w:p>
    <w:p w14:paraId="15040A74">
      <w:pPr>
        <w:spacing w:line="480" w:lineRule="auto"/>
        <w:rPr>
          <w:rFonts w:eastAsia="宋体"/>
          <w:b/>
          <w:bCs/>
          <w:color w:val="000000"/>
          <w:kern w:val="24"/>
          <w:sz w:val="24"/>
        </w:rPr>
      </w:pPr>
    </w:p>
    <w:p w14:paraId="35976BC6">
      <w:pPr>
        <w:jc w:val="left"/>
        <w:rPr>
          <w:rFonts w:eastAsia="宋体"/>
          <w:b/>
          <w:bCs/>
          <w:color w:val="000000"/>
          <w:kern w:val="24"/>
          <w:sz w:val="24"/>
        </w:rPr>
      </w:pPr>
      <w:r>
        <w:rPr>
          <w:rFonts w:eastAsia="宋体"/>
          <w:b/>
          <w:bCs/>
          <w:color w:val="000000"/>
          <w:kern w:val="24"/>
          <w:sz w:val="24"/>
        </w:rPr>
        <w:br w:type="page"/>
      </w:r>
    </w:p>
    <w:p w14:paraId="5A769950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Supplementary Table </w:t>
      </w:r>
      <w:r>
        <w:rPr>
          <w:rFonts w:hint="eastAsia"/>
          <w:b/>
          <w:bCs/>
          <w:sz w:val="24"/>
        </w:rPr>
        <w:t>2</w:t>
      </w:r>
      <w:r>
        <w:rPr>
          <w:b/>
          <w:bCs/>
          <w:sz w:val="24"/>
        </w:rPr>
        <w:t>： Primary and secondary antibodies used in this study</w:t>
      </w:r>
    </w:p>
    <w:tbl>
      <w:tblPr>
        <w:tblStyle w:val="8"/>
        <w:tblW w:w="805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1826"/>
        <w:gridCol w:w="2882"/>
        <w:gridCol w:w="940"/>
      </w:tblGrid>
      <w:tr w14:paraId="3E869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4BAB6380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Antibody</w:t>
            </w:r>
          </w:p>
        </w:tc>
        <w:tc>
          <w:tcPr>
            <w:tcW w:w="18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406685A3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Source</w:t>
            </w:r>
          </w:p>
        </w:tc>
        <w:tc>
          <w:tcPr>
            <w:tcW w:w="288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58C4D9AD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Identifier</w:t>
            </w:r>
          </w:p>
        </w:tc>
        <w:tc>
          <w:tcPr>
            <w:tcW w:w="94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61431F1E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Host</w:t>
            </w:r>
          </w:p>
        </w:tc>
      </w:tr>
      <w:tr w14:paraId="67AB2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40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70E4CCBB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HMMR</w:t>
            </w:r>
          </w:p>
        </w:tc>
        <w:tc>
          <w:tcPr>
            <w:tcW w:w="183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0BDEF9C4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Bclonal</w:t>
            </w:r>
          </w:p>
        </w:tc>
        <w:tc>
          <w:tcPr>
            <w:tcW w:w="2889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109D29E5">
            <w:pPr>
              <w:spacing w:line="480" w:lineRule="auto"/>
              <w:jc w:val="left"/>
              <w:rPr>
                <w:sz w:val="24"/>
                <w:szCs w:val="24"/>
              </w:rPr>
            </w:pPr>
            <w:bookmarkStart w:id="0" w:name="OLE_LINK2"/>
            <w:r>
              <w:rPr>
                <w:sz w:val="24"/>
                <w:szCs w:val="24"/>
              </w:rPr>
              <w:t xml:space="preserve">Catalog No: </w:t>
            </w:r>
            <w:bookmarkEnd w:id="0"/>
            <w:r>
              <w:rPr>
                <w:rFonts w:hint="eastAsia"/>
                <w:color w:val="000000"/>
                <w:sz w:val="24"/>
              </w:rPr>
              <w:t>A11666</w:t>
            </w:r>
          </w:p>
        </w:tc>
        <w:tc>
          <w:tcPr>
            <w:tcW w:w="94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29202FE9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7D7D7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565C5360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Slug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485C8F41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Proteintech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7ACCAB1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12129-1-AP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09B3197E">
            <w:pPr>
              <w:spacing w:line="48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2FE6B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3FA6781A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E-cadherin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243CF667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Proteintech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62035E9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20874-1-AP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24458529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03AFC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578600AF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N-cadherin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495EAC0C">
            <w:pPr>
              <w:spacing w:line="480" w:lineRule="auto"/>
              <w:jc w:val="left"/>
              <w:rPr>
                <w:sz w:val="24"/>
                <w:szCs w:val="24"/>
              </w:rPr>
            </w:pPr>
            <w:bookmarkStart w:id="1" w:name="OLE_LINK4" w:colFirst="1" w:colLast="1"/>
            <w:r>
              <w:rPr>
                <w:sz w:val="24"/>
                <w:szCs w:val="24"/>
              </w:rPr>
              <w:t>Proteintech</w:t>
            </w:r>
          </w:p>
          <w:bookmarkEnd w:id="1"/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F7832D5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rFonts w:hint="eastAsia"/>
                <w:sz w:val="24"/>
                <w:szCs w:val="24"/>
              </w:rPr>
              <w:t>66219-1-Ig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0DDA4BF6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Mouse</w:t>
            </w:r>
          </w:p>
        </w:tc>
      </w:tr>
      <w:tr w14:paraId="58517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0319FF05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bCs/>
              </w:rPr>
              <w:t>VIMENTIN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3FAE361F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Proteintech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24C221C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Catalog No: </w:t>
            </w:r>
            <w:bookmarkStart w:id="2" w:name="OLE_LINK3"/>
            <w:r>
              <w:rPr>
                <w:rFonts w:hint="eastAsia"/>
                <w:sz w:val="24"/>
                <w:szCs w:val="24"/>
              </w:rPr>
              <w:t>10366-1-AP</w:t>
            </w:r>
            <w:bookmarkEnd w:id="2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4163950F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463C6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0F168B31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MMP9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2C30E6EE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Proteintech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D8FDC4C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rPr>
                <w:rFonts w:hint="eastAsia"/>
                <w:sz w:val="24"/>
                <w:szCs w:val="24"/>
              </w:rPr>
              <w:t>10375-2-AP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11475103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18232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7B16797E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JAK1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7A85BFDC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Proteintech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EC43868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rPr>
                <w:rFonts w:hint="eastAsia"/>
                <w:sz w:val="24"/>
                <w:szCs w:val="24"/>
              </w:rPr>
              <w:t>66466-1-Ig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0E082810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Mouse</w:t>
            </w:r>
          </w:p>
        </w:tc>
      </w:tr>
      <w:tr w14:paraId="60E56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4C4E81FA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STAT1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125E19A5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Proteintech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E165DF8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rPr>
                <w:rFonts w:hint="eastAsia"/>
                <w:sz w:val="24"/>
                <w:szCs w:val="24"/>
              </w:rPr>
              <w:t>10144-2-AP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7291842F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66108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4A2E981D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Phospho-STAT1-Y701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7E18CE1A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Bclonal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B0916DA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t xml:space="preserve"> </w:t>
            </w:r>
            <w:r>
              <w:rPr>
                <w:rFonts w:hint="eastAsia"/>
              </w:rPr>
              <w:t>AP0135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65065DC9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</w:tr>
      <w:tr w14:paraId="12F4D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700C5677">
            <w:pPr>
              <w:spacing w:line="480" w:lineRule="auto"/>
              <w:jc w:val="left"/>
              <w:rPr>
                <w:sz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β-actin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49F96B6D">
            <w:pPr>
              <w:spacing w:line="480" w:lineRule="auto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Proteintech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9225987">
            <w:pPr>
              <w:spacing w:line="480" w:lineRule="auto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Catalog No: </w:t>
            </w:r>
            <w:r>
              <w:rPr>
                <w:color w:val="000000"/>
                <w:sz w:val="24"/>
              </w:rPr>
              <w:t>66009-1-Ig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4B15D2F2">
            <w:pPr>
              <w:spacing w:line="480" w:lineRule="auto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 xml:space="preserve">Mouse </w:t>
            </w:r>
          </w:p>
        </w:tc>
      </w:tr>
      <w:tr w14:paraId="40E87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479EABDB">
            <w:pPr>
              <w:spacing w:line="48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Anti-mouse IgG, HRP-linked Antibody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64F74EFF">
            <w:pPr>
              <w:spacing w:line="48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Cell Signaling Technology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BDD1035">
            <w:pPr>
              <w:spacing w:line="48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  <w:lang w:val="en-US"/>
              </w:rPr>
              <w:t>7076P2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4097A2D3">
            <w:pPr>
              <w:spacing w:line="48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Goat</w:t>
            </w:r>
          </w:p>
        </w:tc>
      </w:tr>
      <w:tr w14:paraId="185D8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056333AB">
            <w:pPr>
              <w:spacing w:line="480" w:lineRule="auto"/>
              <w:jc w:val="left"/>
              <w:rPr>
                <w:sz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Anti-rabbit IgG, HRP-linked Antibody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4EAFED06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Cell Signaling Technology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7D163B9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rPr>
                <w:sz w:val="24"/>
                <w:szCs w:val="24"/>
                <w:lang w:val="en-US"/>
              </w:rPr>
              <w:t>7074P2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5BB776F9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Goat</w:t>
            </w:r>
          </w:p>
        </w:tc>
      </w:tr>
    </w:tbl>
    <w:p w14:paraId="46C5D312">
      <w:pPr>
        <w:spacing w:line="480" w:lineRule="auto"/>
        <w:rPr>
          <w:rFonts w:eastAsia="宋体"/>
          <w:b/>
          <w:bCs/>
          <w:color w:val="000000"/>
          <w:kern w:val="24"/>
          <w:sz w:val="24"/>
        </w:rPr>
      </w:pPr>
    </w:p>
    <w:p w14:paraId="0B4B54E4">
      <w:pPr>
        <w:spacing w:line="480" w:lineRule="auto"/>
        <w:rPr>
          <w:rFonts w:eastAsia="宋体"/>
          <w:b/>
          <w:bCs/>
          <w:color w:val="000000"/>
          <w:kern w:val="24"/>
          <w:sz w:val="24"/>
        </w:rPr>
      </w:pPr>
    </w:p>
    <w:p w14:paraId="43E90979">
      <w:pPr>
        <w:spacing w:line="480" w:lineRule="auto"/>
        <w:rPr>
          <w:rFonts w:eastAsia="宋体"/>
          <w:b/>
          <w:bCs/>
          <w:color w:val="000000"/>
          <w:kern w:val="24"/>
          <w:sz w:val="24"/>
        </w:rPr>
      </w:pPr>
    </w:p>
    <w:p w14:paraId="1A05A659">
      <w:pPr>
        <w:spacing w:line="480" w:lineRule="auto"/>
        <w:rPr>
          <w:rFonts w:eastAsia="宋体"/>
          <w:b/>
          <w:bCs/>
          <w:color w:val="000000"/>
          <w:kern w:val="24"/>
          <w:sz w:val="24"/>
        </w:rPr>
      </w:pPr>
    </w:p>
    <w:p w14:paraId="265F0768">
      <w:pPr>
        <w:spacing w:line="480" w:lineRule="auto"/>
        <w:rPr>
          <w:b/>
          <w:bCs/>
          <w:sz w:val="28"/>
        </w:rPr>
      </w:pPr>
      <w:r>
        <w:rPr>
          <w:rFonts w:hint="eastAsia" w:eastAsia="宋体"/>
          <w:b/>
          <w:bCs/>
          <w:color w:val="000000"/>
          <w:kern w:val="24"/>
          <w:sz w:val="24"/>
        </w:rPr>
        <w:t>Supplementary Table 3:</w:t>
      </w:r>
      <w:r>
        <w:rPr>
          <w:rFonts w:eastAsia="宋体"/>
          <w:b/>
          <w:bCs/>
          <w:color w:val="000000"/>
          <w:kern w:val="24"/>
          <w:sz w:val="24"/>
        </w:rPr>
        <w:t xml:space="preserve"> siRNA/shRNA sequences in this study</w:t>
      </w:r>
    </w:p>
    <w:tbl>
      <w:tblPr>
        <w:tblStyle w:val="8"/>
        <w:tblW w:w="8856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5204"/>
      </w:tblGrid>
      <w:tr w14:paraId="5AF0D00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tcBorders>
              <w:top w:val="single" w:color="auto" w:sz="12" w:space="0"/>
              <w:bottom w:val="single" w:color="auto" w:sz="12" w:space="0"/>
            </w:tcBorders>
          </w:tcPr>
          <w:p w14:paraId="6217E655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Name</w:t>
            </w:r>
          </w:p>
        </w:tc>
        <w:tc>
          <w:tcPr>
            <w:tcW w:w="5204" w:type="dxa"/>
            <w:tcBorders>
              <w:top w:val="single" w:color="auto" w:sz="12" w:space="0"/>
              <w:bottom w:val="single" w:color="auto" w:sz="12" w:space="0"/>
            </w:tcBorders>
          </w:tcPr>
          <w:p w14:paraId="4CE39A32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Sequence</w:t>
            </w:r>
          </w:p>
        </w:tc>
      </w:tr>
      <w:tr w14:paraId="3937F9D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single" w:color="auto" w:sz="12" w:space="0"/>
              <w:bottom w:val="nil"/>
            </w:tcBorders>
          </w:tcPr>
          <w:p w14:paraId="470DFDE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sh</w:t>
            </w:r>
            <w:r>
              <w:rPr>
                <w:bCs/>
                <w:sz w:val="24"/>
                <w:szCs w:val="24"/>
              </w:rPr>
              <w:t>RNAHMMR</w:t>
            </w:r>
          </w:p>
        </w:tc>
        <w:tc>
          <w:tcPr>
            <w:tcW w:w="5204" w:type="dxa"/>
            <w:tcBorders>
              <w:top w:val="single" w:color="auto" w:sz="12" w:space="0"/>
              <w:bottom w:val="nil"/>
            </w:tcBorders>
          </w:tcPr>
          <w:p w14:paraId="5C6B4CB9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color w:val="000000"/>
                <w:sz w:val="24"/>
                <w:szCs w:val="24"/>
              </w:rPr>
              <w:t>gatccgCCCTTGAAACGATTCAATGACTCAA</w:t>
            </w:r>
          </w:p>
          <w:p w14:paraId="1DC93486">
            <w:pPr>
              <w:spacing w:line="480" w:lineRule="auto"/>
              <w:rPr>
                <w:bCs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GAGGTCATTGAATCGTTTCAAGGGttttttg</w:t>
            </w:r>
            <w: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  <w:tr w14:paraId="5FBFB24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652" w:type="dxa"/>
            <w:tcBorders>
              <w:top w:val="nil"/>
              <w:bottom w:val="nil"/>
            </w:tcBorders>
          </w:tcPr>
          <w:p w14:paraId="6E1CDDD5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si</w:t>
            </w:r>
            <w:r>
              <w:rPr>
                <w:bCs/>
                <w:sz w:val="24"/>
                <w:szCs w:val="24"/>
              </w:rPr>
              <w:t>RNAHMMR-1</w:t>
            </w:r>
          </w:p>
        </w:tc>
        <w:tc>
          <w:tcPr>
            <w:tcW w:w="5204" w:type="dxa"/>
            <w:tcBorders>
              <w:top w:val="nil"/>
              <w:bottom w:val="nil"/>
            </w:tcBorders>
          </w:tcPr>
          <w:p w14:paraId="3C03516E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CCCTTGAAACGATTCAATGAC</w:t>
            </w:r>
            <w: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  <w:tr w14:paraId="2D49438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tcBorders>
              <w:top w:val="nil"/>
              <w:bottom w:val="single" w:color="auto" w:sz="12" w:space="0"/>
            </w:tcBorders>
          </w:tcPr>
          <w:p w14:paraId="78515353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si</w:t>
            </w:r>
            <w:r>
              <w:rPr>
                <w:bCs/>
                <w:sz w:val="24"/>
                <w:szCs w:val="24"/>
              </w:rPr>
              <w:t>RNAHMMR-2</w:t>
            </w:r>
          </w:p>
        </w:tc>
        <w:tc>
          <w:tcPr>
            <w:tcW w:w="5204" w:type="dxa"/>
            <w:tcBorders>
              <w:top w:val="nil"/>
              <w:bottom w:val="single" w:color="auto" w:sz="12" w:space="0"/>
            </w:tcBorders>
          </w:tcPr>
          <w:p w14:paraId="737DBFB3">
            <w:pPr>
              <w:spacing w:line="480" w:lineRule="auto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bCs/>
                <w:sz w:val="24"/>
                <w:szCs w:val="24"/>
              </w:rPr>
              <w:t>5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  <w:r>
              <w:rPr>
                <w:color w:val="000000"/>
                <w:sz w:val="24"/>
                <w:szCs w:val="24"/>
              </w:rPr>
              <w:t>- CCAGGACTAATGAACTACTAA -3</w:t>
            </w:r>
            <w:r>
              <w:rPr>
                <w:color w:val="000000"/>
                <w:kern w:val="24"/>
                <w:sz w:val="28"/>
                <w:szCs w:val="28"/>
              </w:rPr>
              <w:t>′</w:t>
            </w:r>
          </w:p>
        </w:tc>
      </w:tr>
    </w:tbl>
    <w:p w14:paraId="35D533FF">
      <w:pPr>
        <w:spacing w:line="480" w:lineRule="auto"/>
        <w:rPr>
          <w:b/>
          <w:bCs/>
          <w:sz w:val="24"/>
          <w:szCs w:val="24"/>
        </w:rPr>
      </w:pPr>
    </w:p>
    <w:p w14:paraId="2405563A">
      <w:pPr>
        <w:spacing w:line="480" w:lineRule="auto"/>
        <w:rPr>
          <w:b/>
          <w:bCs/>
          <w:sz w:val="24"/>
          <w:szCs w:val="24"/>
        </w:rPr>
      </w:pPr>
    </w:p>
    <w:p w14:paraId="1020FBE5">
      <w:pPr>
        <w:spacing w:line="480" w:lineRule="auto"/>
        <w:rPr>
          <w:b/>
          <w:bCs/>
          <w:sz w:val="24"/>
          <w:szCs w:val="24"/>
        </w:rPr>
      </w:pPr>
    </w:p>
    <w:p w14:paraId="7B5FF445">
      <w:pPr>
        <w:spacing w:line="480" w:lineRule="auto"/>
        <w:rPr>
          <w:b/>
          <w:bCs/>
          <w:sz w:val="24"/>
          <w:szCs w:val="24"/>
        </w:rPr>
      </w:pPr>
    </w:p>
    <w:p w14:paraId="51A2AE12">
      <w:pPr>
        <w:spacing w:line="480" w:lineRule="auto"/>
        <w:rPr>
          <w:b/>
          <w:bCs/>
          <w:sz w:val="24"/>
          <w:szCs w:val="24"/>
        </w:rPr>
      </w:pPr>
    </w:p>
    <w:p w14:paraId="77ACB10D">
      <w:pPr>
        <w:spacing w:line="480" w:lineRule="auto"/>
        <w:rPr>
          <w:b/>
          <w:bCs/>
          <w:sz w:val="24"/>
          <w:szCs w:val="24"/>
        </w:rPr>
      </w:pPr>
    </w:p>
    <w:p w14:paraId="08CFC1F3">
      <w:pPr>
        <w:spacing w:line="480" w:lineRule="auto"/>
        <w:rPr>
          <w:b/>
          <w:bCs/>
          <w:sz w:val="24"/>
          <w:szCs w:val="24"/>
        </w:rPr>
      </w:pPr>
    </w:p>
    <w:p w14:paraId="52F9D7A2">
      <w:pPr>
        <w:spacing w:line="480" w:lineRule="auto"/>
        <w:rPr>
          <w:b/>
          <w:bCs/>
          <w:sz w:val="24"/>
          <w:szCs w:val="24"/>
        </w:rPr>
      </w:pPr>
    </w:p>
    <w:p w14:paraId="72611C9B">
      <w:pPr>
        <w:spacing w:line="480" w:lineRule="auto"/>
        <w:rPr>
          <w:b/>
          <w:bCs/>
          <w:sz w:val="24"/>
          <w:szCs w:val="24"/>
        </w:rPr>
      </w:pPr>
    </w:p>
    <w:p w14:paraId="1A633771">
      <w:pPr>
        <w:spacing w:line="480" w:lineRule="auto"/>
        <w:rPr>
          <w:b/>
          <w:bCs/>
          <w:sz w:val="24"/>
          <w:szCs w:val="24"/>
        </w:rPr>
      </w:pPr>
    </w:p>
    <w:p w14:paraId="2C8388AB">
      <w:pPr>
        <w:spacing w:line="480" w:lineRule="auto"/>
        <w:rPr>
          <w:b/>
          <w:bCs/>
          <w:sz w:val="24"/>
          <w:szCs w:val="24"/>
        </w:rPr>
      </w:pPr>
    </w:p>
    <w:p w14:paraId="1F9B76FE">
      <w:pPr>
        <w:spacing w:line="480" w:lineRule="auto"/>
        <w:rPr>
          <w:b/>
          <w:bCs/>
          <w:sz w:val="24"/>
          <w:szCs w:val="24"/>
        </w:rPr>
      </w:pPr>
    </w:p>
    <w:p w14:paraId="2FFB1E41">
      <w:pPr>
        <w:spacing w:line="480" w:lineRule="auto"/>
        <w:rPr>
          <w:b/>
          <w:bCs/>
          <w:sz w:val="24"/>
          <w:szCs w:val="24"/>
        </w:rPr>
      </w:pPr>
    </w:p>
    <w:p w14:paraId="2B76423B">
      <w:pPr>
        <w:spacing w:line="480" w:lineRule="auto"/>
        <w:rPr>
          <w:b/>
          <w:bCs/>
          <w:sz w:val="24"/>
          <w:szCs w:val="24"/>
        </w:rPr>
      </w:pPr>
    </w:p>
    <w:p w14:paraId="6D003789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Supplementary Table </w:t>
      </w:r>
      <w:r>
        <w:rPr>
          <w:rFonts w:hint="eastAsia"/>
          <w:b/>
          <w:bCs/>
          <w:sz w:val="24"/>
          <w:szCs w:val="24"/>
        </w:rPr>
        <w:t>4:</w:t>
      </w:r>
      <w:r>
        <w:rPr>
          <w:b/>
          <w:bCs/>
          <w:sz w:val="24"/>
          <w:szCs w:val="24"/>
        </w:rPr>
        <w:t xml:space="preserve"> Drugs and reagents </w:t>
      </w:r>
    </w:p>
    <w:tbl>
      <w:tblPr>
        <w:tblStyle w:val="8"/>
        <w:tblW w:w="875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2693"/>
        <w:gridCol w:w="2516"/>
      </w:tblGrid>
      <w:tr w14:paraId="753E3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3F1D0F40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Drug / Reagent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3692B3B2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Source</w:t>
            </w:r>
          </w:p>
        </w:tc>
        <w:tc>
          <w:tcPr>
            <w:tcW w:w="251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05C1CDC4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Identifier / formulation</w:t>
            </w:r>
          </w:p>
        </w:tc>
      </w:tr>
      <w:tr w14:paraId="5715D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4B609C5A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Ruxolitinib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0246F686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MedChemExpress</w:t>
            </w:r>
          </w:p>
        </w:tc>
        <w:tc>
          <w:tcPr>
            <w:tcW w:w="2516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12D75AC5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t xml:space="preserve"> </w:t>
            </w:r>
            <w:r>
              <w:rPr>
                <w:sz w:val="24"/>
                <w:szCs w:val="24"/>
              </w:rPr>
              <w:t>HY-</w:t>
            </w:r>
            <w:r>
              <w:rPr>
                <w:rFonts w:hint="eastAsia"/>
                <w:sz w:val="24"/>
                <w:szCs w:val="24"/>
              </w:rPr>
              <w:t>50856</w:t>
            </w:r>
          </w:p>
        </w:tc>
      </w:tr>
      <w:tr w14:paraId="21CC0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2706ACE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Lipofectamine™ 3000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0CE4C2A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Thermo</w:t>
            </w:r>
            <w:r>
              <w:rPr>
                <w:sz w:val="24"/>
                <w:szCs w:val="24"/>
              </w:rPr>
              <w:t>F</w:t>
            </w:r>
            <w:r>
              <w:rPr>
                <w:rFonts w:hint="eastAsia"/>
                <w:sz w:val="24"/>
                <w:szCs w:val="24"/>
              </w:rPr>
              <w:t>isher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14:paraId="10C68206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</w:t>
            </w:r>
            <w:r>
              <w:t xml:space="preserve"> </w:t>
            </w:r>
            <w:r>
              <w:rPr>
                <w:sz w:val="24"/>
                <w:szCs w:val="24"/>
              </w:rPr>
              <w:t>L3000075</w:t>
            </w:r>
          </w:p>
        </w:tc>
      </w:tr>
      <w:tr w14:paraId="29172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084E6031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jetPRIME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®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40DCB1C6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Polyplus-transfection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®</w:t>
            </w:r>
          </w:p>
        </w:tc>
        <w:tc>
          <w:tcPr>
            <w:tcW w:w="251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3B21446D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Catalog No:101000001</w:t>
            </w:r>
          </w:p>
        </w:tc>
      </w:tr>
    </w:tbl>
    <w:p w14:paraId="7F111F42">
      <w:pPr>
        <w:jc w:val="left"/>
        <w:rPr>
          <w:sz w:val="28"/>
        </w:rPr>
      </w:pPr>
    </w:p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00000000"/>
    <w:rsid w:val="34927DA9"/>
    <w:rsid w:val="6D70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4">
    <w:name w:val="heading 4"/>
    <w:basedOn w:val="1"/>
    <w:next w:val="1"/>
    <w:qFormat/>
    <w:uiPriority w:val="0"/>
    <w:pPr>
      <w:spacing w:beforeAutospacing="1" w:afterAutospacing="1"/>
      <w:jc w:val="left"/>
      <w:outlineLvl w:val="3"/>
    </w:pPr>
    <w:rPr>
      <w:rFonts w:hint="eastAsia" w:ascii="宋体" w:hAnsi="宋体"/>
      <w:b/>
      <w:kern w:val="0"/>
      <w:sz w:val="24"/>
      <w:szCs w:val="24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标题 1 字符"/>
    <w:basedOn w:val="9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170</Words>
  <Characters>1341</Characters>
  <Paragraphs>139</Paragraphs>
  <TotalTime>1</TotalTime>
  <ScaleCrop>false</ScaleCrop>
  <LinksUpToDate>false</LinksUpToDate>
  <CharactersWithSpaces>1426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2024-05-08T10:52:00Z</dcterms:created>
  <dc:creator>SMJ</dc:creator>
  <cp:lastModifiedBy>悠悠我心</cp:lastModifiedBy>
  <dcterms:modified xsi:type="dcterms:W3CDTF">2024-08-04T10:35:01Z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BFC98D320A294309B3D5B546097D9491_13</vt:lpwstr>
  </property>
</Properties>
</file>