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F5882E" w14:textId="77777777" w:rsidR="00F279DA" w:rsidRPr="00801FFC" w:rsidRDefault="00F279DA" w:rsidP="00F279DA">
      <w:pPr>
        <w:spacing w:before="100" w:beforeAutospacing="1" w:after="100" w:afterAutospacing="1" w:line="480" w:lineRule="auto"/>
        <w:rPr>
          <w:rFonts w:ascii="Helvetica" w:hAnsi="Helvetica" w:cs="Times New Roman"/>
          <w:b/>
          <w:bCs/>
          <w:sz w:val="24"/>
          <w:szCs w:val="24"/>
        </w:rPr>
      </w:pPr>
      <w:r w:rsidRPr="00801FFC">
        <w:rPr>
          <w:rFonts w:ascii="Helvetica" w:hAnsi="Helvetica" w:cs="Times New Roman"/>
          <w:b/>
          <w:bCs/>
          <w:sz w:val="24"/>
          <w:szCs w:val="24"/>
        </w:rPr>
        <w:t xml:space="preserve">Extended data </w:t>
      </w:r>
    </w:p>
    <w:p w14:paraId="5C76524F" w14:textId="77777777" w:rsidR="00F279DA" w:rsidRPr="00801FFC" w:rsidRDefault="00F279DA" w:rsidP="00F279DA">
      <w:pPr>
        <w:spacing w:before="100" w:beforeAutospacing="1" w:after="100" w:afterAutospacing="1" w:line="480" w:lineRule="auto"/>
        <w:rPr>
          <w:rFonts w:ascii="Helvetica" w:hAnsi="Helvetica" w:cs="Times New Roman"/>
          <w:b/>
          <w:bCs/>
          <w:sz w:val="24"/>
          <w:szCs w:val="24"/>
        </w:rPr>
      </w:pPr>
      <w:r w:rsidRPr="00801FFC">
        <w:rPr>
          <w:rFonts w:ascii="Helvetica" w:hAnsi="Helvetica" w:cs="Times New Roman"/>
          <w:b/>
          <w:bCs/>
          <w:sz w:val="24"/>
          <w:szCs w:val="24"/>
        </w:rPr>
        <w:t xml:space="preserve">Extended Data Table 1:  </w:t>
      </w:r>
      <w:r w:rsidRPr="00801FFC">
        <w:rPr>
          <w:rFonts w:ascii="Helvetica" w:hAnsi="Helvetica" w:cs="Times New Roman"/>
          <w:sz w:val="24"/>
          <w:szCs w:val="24"/>
        </w:rPr>
        <w:t xml:space="preserve">Demographic and clinical characteristics </w:t>
      </w:r>
    </w:p>
    <w:p w14:paraId="42407571" w14:textId="77777777" w:rsidR="00F279DA" w:rsidRDefault="00F279DA" w:rsidP="00F279DA">
      <w:pPr>
        <w:spacing w:before="100" w:beforeAutospacing="1" w:after="100" w:afterAutospacing="1" w:line="480" w:lineRule="auto"/>
        <w:rPr>
          <w:rFonts w:ascii="Helvetica" w:hAnsi="Helvetica" w:cs="Times New Roman"/>
          <w:sz w:val="24"/>
          <w:szCs w:val="24"/>
        </w:rPr>
      </w:pPr>
      <w:r w:rsidRPr="00801FFC">
        <w:rPr>
          <w:rFonts w:ascii="Helvetica" w:hAnsi="Helvetica" w:cs="Times New Roman"/>
          <w:sz w:val="24"/>
          <w:szCs w:val="24"/>
          <w:vertAlign w:val="superscript"/>
        </w:rPr>
        <w:t>†</w:t>
      </w:r>
      <w:r w:rsidRPr="00801FFC">
        <w:rPr>
          <w:rFonts w:ascii="Helvetica" w:hAnsi="Helvetica" w:cs="Times New Roman"/>
          <w:sz w:val="24"/>
          <w:szCs w:val="24"/>
        </w:rPr>
        <w:t xml:space="preserve">Eye-closed dataset, </w:t>
      </w:r>
      <w:r w:rsidRPr="00801FFC">
        <w:rPr>
          <w:rFonts w:ascii="Helvetica" w:hAnsi="Helvetica" w:cs="Times New Roman"/>
          <w:sz w:val="24"/>
          <w:szCs w:val="24"/>
          <w:vertAlign w:val="superscript"/>
        </w:rPr>
        <w:t>#</w:t>
      </w:r>
      <w:r w:rsidRPr="00801FFC">
        <w:rPr>
          <w:rFonts w:ascii="Helvetica" w:hAnsi="Helvetica" w:cs="Times New Roman"/>
          <w:sz w:val="24"/>
          <w:szCs w:val="24"/>
        </w:rPr>
        <w:t>Eye-open dataset, *</w:t>
      </w:r>
      <w:r>
        <w:rPr>
          <w:rFonts w:ascii="Helvetica" w:hAnsi="Helvetica" w:cs="Times New Roman"/>
          <w:sz w:val="24"/>
          <w:szCs w:val="24"/>
        </w:rPr>
        <w:t>Wireless dataset</w:t>
      </w:r>
      <w:r w:rsidRPr="00801FFC">
        <w:rPr>
          <w:rFonts w:ascii="Helvetica" w:hAnsi="Helvetica" w:cs="Times New Roman"/>
          <w:sz w:val="24"/>
          <w:szCs w:val="24"/>
        </w:rPr>
        <w:t xml:space="preserve">, </w:t>
      </w:r>
      <w:r w:rsidRPr="00801FFC">
        <w:rPr>
          <w:rFonts w:ascii="Helvetica" w:hAnsi="Helvetica" w:cs="Times New Roman"/>
          <w:sz w:val="24"/>
          <w:szCs w:val="24"/>
          <w:vertAlign w:val="superscript"/>
        </w:rPr>
        <w:t>a</w:t>
      </w:r>
      <w:r w:rsidRPr="00801FFC">
        <w:rPr>
          <w:rFonts w:ascii="Helvetica" w:hAnsi="Helvetica" w:cs="Times New Roman"/>
          <w:sz w:val="24"/>
          <w:szCs w:val="24"/>
        </w:rPr>
        <w:t>Not effective, refused to take.</w:t>
      </w:r>
    </w:p>
    <w:p w14:paraId="3DE65A99" w14:textId="77777777" w:rsidR="00F279DA" w:rsidRPr="000E1FA2" w:rsidRDefault="00F279DA" w:rsidP="00F279DA">
      <w:pPr>
        <w:spacing w:before="100" w:beforeAutospacing="1" w:after="100" w:afterAutospacing="1" w:line="480" w:lineRule="auto"/>
        <w:rPr>
          <w:rFonts w:ascii="Helvetica" w:hAnsi="Helvetica" w:cs="Times New Roman"/>
          <w:sz w:val="24"/>
          <w:szCs w:val="24"/>
        </w:rPr>
      </w:pPr>
      <w:r w:rsidRPr="00801FFC">
        <w:rPr>
          <w:rFonts w:ascii="Helvetica" w:hAnsi="Helvetica" w:cs="Times New Roman"/>
          <w:b/>
          <w:bCs/>
          <w:sz w:val="24"/>
          <w:szCs w:val="24"/>
        </w:rPr>
        <w:t xml:space="preserve">Extended Data Table </w:t>
      </w:r>
      <w:r>
        <w:rPr>
          <w:rFonts w:ascii="Helvetica" w:hAnsi="Helvetica" w:cs="Times New Roman"/>
          <w:b/>
          <w:bCs/>
          <w:sz w:val="24"/>
          <w:szCs w:val="24"/>
        </w:rPr>
        <w:t>2</w:t>
      </w:r>
      <w:r w:rsidRPr="00801FFC">
        <w:rPr>
          <w:rFonts w:ascii="Helvetica" w:hAnsi="Helvetica" w:cs="Times New Roman"/>
          <w:b/>
          <w:bCs/>
          <w:sz w:val="24"/>
          <w:szCs w:val="24"/>
        </w:rPr>
        <w:t xml:space="preserve">: </w:t>
      </w:r>
      <w:r>
        <w:rPr>
          <w:rFonts w:ascii="Helvetica" w:hAnsi="Helvetica" w:cs="Times New Roman"/>
          <w:sz w:val="24"/>
          <w:szCs w:val="24"/>
        </w:rPr>
        <w:t xml:space="preserve">BNST-NAc DBS induced </w:t>
      </w:r>
      <w:r w:rsidRPr="00801FFC">
        <w:rPr>
          <w:rFonts w:ascii="Helvetica" w:hAnsi="Helvetica" w:cs="Times New Roman"/>
          <w:sz w:val="24"/>
          <w:szCs w:val="24"/>
        </w:rPr>
        <w:t>volume of tissue activated (VTA)</w:t>
      </w:r>
      <w:r>
        <w:rPr>
          <w:rFonts w:ascii="Helvetica" w:hAnsi="Helvetica" w:cs="Times New Roman"/>
          <w:sz w:val="24"/>
          <w:szCs w:val="24"/>
        </w:rPr>
        <w:t xml:space="preserve"> and its overlap with (left and right) BNST and NAc a</w:t>
      </w:r>
      <w:r w:rsidRPr="00801FFC">
        <w:rPr>
          <w:rFonts w:ascii="Helvetica" w:hAnsi="Helvetica" w:cs="Times New Roman"/>
          <w:sz w:val="24"/>
          <w:szCs w:val="24"/>
        </w:rPr>
        <w:t>t the last follow-up</w:t>
      </w:r>
    </w:p>
    <w:p w14:paraId="492E84A9" w14:textId="77777777" w:rsidR="00F279DA" w:rsidRDefault="00F279DA" w:rsidP="00F279DA">
      <w:pPr>
        <w:spacing w:before="100" w:beforeAutospacing="1" w:after="100" w:afterAutospacing="1" w:line="480" w:lineRule="auto"/>
        <w:rPr>
          <w:rFonts w:ascii="Helvetica" w:hAnsi="Helvetica" w:cs="Times New Roman"/>
          <w:sz w:val="24"/>
          <w:szCs w:val="24"/>
        </w:rPr>
      </w:pPr>
      <w:r w:rsidRPr="00801FFC">
        <w:rPr>
          <w:rFonts w:ascii="Helvetica" w:hAnsi="Helvetica" w:cs="Times New Roman"/>
          <w:b/>
          <w:bCs/>
          <w:sz w:val="24"/>
          <w:szCs w:val="24"/>
        </w:rPr>
        <w:t xml:space="preserve">Extended Data Table </w:t>
      </w:r>
      <w:r>
        <w:rPr>
          <w:rFonts w:ascii="Helvetica" w:hAnsi="Helvetica" w:cs="Times New Roman"/>
          <w:b/>
          <w:bCs/>
          <w:sz w:val="24"/>
          <w:szCs w:val="24"/>
        </w:rPr>
        <w:t>3</w:t>
      </w:r>
      <w:r w:rsidRPr="00801FFC">
        <w:rPr>
          <w:rFonts w:ascii="Helvetica" w:hAnsi="Helvetica" w:cs="Times New Roman"/>
          <w:b/>
          <w:bCs/>
          <w:sz w:val="24"/>
          <w:szCs w:val="24"/>
        </w:rPr>
        <w:t xml:space="preserve">:  </w:t>
      </w:r>
      <w:r>
        <w:rPr>
          <w:rFonts w:ascii="Helvetica" w:hAnsi="Helvetica" w:cs="Times New Roman"/>
          <w:sz w:val="24"/>
          <w:szCs w:val="24"/>
        </w:rPr>
        <w:t>Stimulation parameters</w:t>
      </w:r>
    </w:p>
    <w:p w14:paraId="18A42283" w14:textId="77777777" w:rsidR="00F279DA" w:rsidRDefault="00F279DA" w:rsidP="00F279DA">
      <w:pPr>
        <w:spacing w:before="100" w:beforeAutospacing="1" w:after="100" w:afterAutospacing="1" w:line="480" w:lineRule="auto"/>
      </w:pPr>
      <w:r w:rsidRPr="00801FFC">
        <w:rPr>
          <w:rFonts w:ascii="Helvetica" w:hAnsi="Helvetica" w:cs="Times New Roman"/>
          <w:b/>
          <w:bCs/>
          <w:sz w:val="24"/>
          <w:szCs w:val="24"/>
        </w:rPr>
        <w:t xml:space="preserve">Extended Data Table </w:t>
      </w:r>
      <w:r>
        <w:rPr>
          <w:rFonts w:ascii="Helvetica" w:hAnsi="Helvetica" w:cs="Times New Roman"/>
          <w:b/>
          <w:bCs/>
          <w:sz w:val="24"/>
          <w:szCs w:val="24"/>
        </w:rPr>
        <w:t>4</w:t>
      </w:r>
      <w:r w:rsidRPr="00801FFC">
        <w:rPr>
          <w:rFonts w:ascii="Helvetica" w:hAnsi="Helvetica" w:cs="Times New Roman"/>
          <w:b/>
          <w:bCs/>
          <w:sz w:val="24"/>
          <w:szCs w:val="24"/>
        </w:rPr>
        <w:t xml:space="preserve">:  </w:t>
      </w:r>
      <w:r w:rsidRPr="00384B89">
        <w:rPr>
          <w:rFonts w:ascii="Helvetica" w:hAnsi="Helvetica" w:cs="Times New Roman"/>
          <w:sz w:val="24"/>
          <w:szCs w:val="24"/>
        </w:rPr>
        <w:t>Changes in the outcome measures during the open-label phase (n</w:t>
      </w:r>
      <w:r>
        <w:rPr>
          <w:rFonts w:ascii="Helvetica" w:hAnsi="Helvetica" w:cs="Times New Roman"/>
          <w:sz w:val="24"/>
          <w:szCs w:val="24"/>
        </w:rPr>
        <w:t xml:space="preserve"> </w:t>
      </w:r>
      <w:r w:rsidRPr="00384B89">
        <w:rPr>
          <w:rFonts w:ascii="Helvetica" w:hAnsi="Helvetica" w:cs="Times New Roman"/>
          <w:sz w:val="24"/>
          <w:szCs w:val="24"/>
        </w:rPr>
        <w:t>=</w:t>
      </w:r>
      <w:r>
        <w:rPr>
          <w:rFonts w:ascii="Helvetica" w:hAnsi="Helvetica" w:cs="Times New Roman"/>
          <w:sz w:val="24"/>
          <w:szCs w:val="24"/>
        </w:rPr>
        <w:t xml:space="preserve"> </w:t>
      </w:r>
      <w:r w:rsidRPr="00384B89">
        <w:rPr>
          <w:rFonts w:ascii="Helvetica" w:hAnsi="Helvetica" w:cs="Times New Roman"/>
          <w:sz w:val="24"/>
          <w:szCs w:val="24"/>
        </w:rPr>
        <w:t>26)</w:t>
      </w:r>
      <w:r w:rsidRPr="00384B89">
        <w:t xml:space="preserve"> </w:t>
      </w:r>
    </w:p>
    <w:p w14:paraId="6BCCAA45" w14:textId="77777777" w:rsidR="00F279DA" w:rsidRPr="00384B89" w:rsidRDefault="00F279DA" w:rsidP="00F279DA">
      <w:pPr>
        <w:spacing w:before="100" w:beforeAutospacing="1" w:after="100" w:afterAutospacing="1" w:line="480" w:lineRule="auto"/>
        <w:rPr>
          <w:rFonts w:ascii="Helvetica" w:hAnsi="Helvetica" w:cs="Times New Roman"/>
          <w:b/>
          <w:bCs/>
          <w:sz w:val="24"/>
          <w:szCs w:val="24"/>
        </w:rPr>
      </w:pPr>
      <w:r w:rsidRPr="00384B89">
        <w:rPr>
          <w:rFonts w:ascii="Helvetica" w:hAnsi="Helvetica" w:cs="Times New Roman"/>
          <w:sz w:val="24"/>
          <w:szCs w:val="24"/>
          <w:vertAlign w:val="superscript"/>
        </w:rPr>
        <w:t>a</w:t>
      </w:r>
      <w:r>
        <w:rPr>
          <w:rFonts w:ascii="Helvetica" w:hAnsi="Helvetica" w:cs="Times New Roman"/>
          <w:sz w:val="24"/>
          <w:szCs w:val="24"/>
        </w:rPr>
        <w:t>H</w:t>
      </w:r>
      <w:r w:rsidRPr="00384B89">
        <w:rPr>
          <w:rFonts w:ascii="Helvetica" w:hAnsi="Helvetica" w:cs="Times New Roman"/>
          <w:sz w:val="24"/>
          <w:szCs w:val="24"/>
        </w:rPr>
        <w:t>igher scores in DARS, WHOQOL-BREF and SF-36 means better state.</w:t>
      </w:r>
    </w:p>
    <w:p w14:paraId="25ACF920" w14:textId="77777777" w:rsidR="00F279DA" w:rsidRPr="00801FFC" w:rsidRDefault="00F279DA" w:rsidP="00F279DA">
      <w:pPr>
        <w:spacing w:before="100" w:beforeAutospacing="1" w:after="100" w:afterAutospacing="1" w:line="480" w:lineRule="auto"/>
        <w:rPr>
          <w:rFonts w:ascii="Helvetica" w:hAnsi="Helvetica" w:cs="Times New Roman"/>
          <w:b/>
          <w:bCs/>
          <w:sz w:val="24"/>
          <w:szCs w:val="24"/>
        </w:rPr>
      </w:pPr>
      <w:r w:rsidRPr="00801FFC">
        <w:rPr>
          <w:rFonts w:ascii="Helvetica" w:hAnsi="Helvetica" w:cs="Times New Roman"/>
          <w:b/>
          <w:bCs/>
          <w:sz w:val="24"/>
          <w:szCs w:val="24"/>
        </w:rPr>
        <w:t xml:space="preserve">Extended Data Table </w:t>
      </w:r>
      <w:r>
        <w:rPr>
          <w:rFonts w:ascii="Helvetica" w:hAnsi="Helvetica" w:cs="Times New Roman"/>
          <w:b/>
          <w:bCs/>
          <w:sz w:val="24"/>
          <w:szCs w:val="24"/>
        </w:rPr>
        <w:t>5</w:t>
      </w:r>
      <w:r w:rsidRPr="00801FFC">
        <w:rPr>
          <w:rFonts w:ascii="Helvetica" w:hAnsi="Helvetica" w:cs="Times New Roman"/>
          <w:b/>
          <w:bCs/>
          <w:sz w:val="24"/>
          <w:szCs w:val="24"/>
        </w:rPr>
        <w:t xml:space="preserve">:  </w:t>
      </w:r>
      <w:r w:rsidRPr="00384B89">
        <w:rPr>
          <w:rFonts w:ascii="Helvetica" w:hAnsi="Helvetica" w:cs="Times New Roman"/>
          <w:sz w:val="24"/>
          <w:szCs w:val="24"/>
        </w:rPr>
        <w:t xml:space="preserve">Mean </w:t>
      </w:r>
      <w:r>
        <w:rPr>
          <w:rFonts w:ascii="Helvetica" w:hAnsi="Helvetica" w:cs="Times New Roman"/>
          <w:sz w:val="24"/>
          <w:szCs w:val="24"/>
        </w:rPr>
        <w:t>s</w:t>
      </w:r>
      <w:r w:rsidRPr="00384B89">
        <w:rPr>
          <w:rFonts w:ascii="Helvetica" w:hAnsi="Helvetica" w:cs="Times New Roman"/>
          <w:sz w:val="24"/>
          <w:szCs w:val="24"/>
        </w:rPr>
        <w:t xml:space="preserve">cores </w:t>
      </w:r>
      <w:r>
        <w:rPr>
          <w:rFonts w:ascii="Helvetica" w:hAnsi="Helvetica" w:cs="Times New Roman"/>
          <w:sz w:val="24"/>
          <w:szCs w:val="24"/>
        </w:rPr>
        <w:t>d</w:t>
      </w:r>
      <w:r w:rsidRPr="00384B89">
        <w:rPr>
          <w:rFonts w:ascii="Helvetica" w:hAnsi="Helvetica" w:cs="Times New Roman"/>
          <w:sz w:val="24"/>
          <w:szCs w:val="24"/>
        </w:rPr>
        <w:t xml:space="preserve">uring the </w:t>
      </w:r>
      <w:r>
        <w:rPr>
          <w:rFonts w:ascii="Helvetica" w:hAnsi="Helvetica" w:cs="Times New Roman"/>
          <w:sz w:val="24"/>
          <w:szCs w:val="24"/>
        </w:rPr>
        <w:t>c</w:t>
      </w:r>
      <w:r w:rsidRPr="00384B89">
        <w:rPr>
          <w:rFonts w:ascii="Helvetica" w:hAnsi="Helvetica" w:cs="Times New Roman"/>
          <w:sz w:val="24"/>
          <w:szCs w:val="24"/>
        </w:rPr>
        <w:t xml:space="preserve">rossover </w:t>
      </w:r>
      <w:r>
        <w:rPr>
          <w:rFonts w:ascii="Helvetica" w:hAnsi="Helvetica" w:cs="Times New Roman"/>
          <w:sz w:val="24"/>
          <w:szCs w:val="24"/>
        </w:rPr>
        <w:t>t</w:t>
      </w:r>
      <w:r w:rsidRPr="00384B89">
        <w:rPr>
          <w:rFonts w:ascii="Helvetica" w:hAnsi="Helvetica" w:cs="Times New Roman"/>
          <w:sz w:val="24"/>
          <w:szCs w:val="24"/>
        </w:rPr>
        <w:t>rial (n</w:t>
      </w:r>
      <w:r>
        <w:rPr>
          <w:rFonts w:ascii="Helvetica" w:hAnsi="Helvetica" w:cs="Times New Roman"/>
          <w:sz w:val="24"/>
          <w:szCs w:val="24"/>
        </w:rPr>
        <w:t xml:space="preserve"> </w:t>
      </w:r>
      <w:r w:rsidRPr="00384B89">
        <w:rPr>
          <w:rFonts w:ascii="Helvetica" w:hAnsi="Helvetica" w:cs="Times New Roman"/>
          <w:sz w:val="24"/>
          <w:szCs w:val="24"/>
        </w:rPr>
        <w:t>=</w:t>
      </w:r>
      <w:r>
        <w:rPr>
          <w:rFonts w:ascii="Helvetica" w:hAnsi="Helvetica" w:cs="Times New Roman"/>
          <w:sz w:val="24"/>
          <w:szCs w:val="24"/>
        </w:rPr>
        <w:t xml:space="preserve"> </w:t>
      </w:r>
      <w:r w:rsidRPr="00384B89">
        <w:rPr>
          <w:rFonts w:ascii="Helvetica" w:hAnsi="Helvetica" w:cs="Times New Roman"/>
          <w:sz w:val="24"/>
          <w:szCs w:val="24"/>
        </w:rPr>
        <w:t>18)</w:t>
      </w:r>
    </w:p>
    <w:p w14:paraId="77DE155E" w14:textId="77777777" w:rsidR="00F279DA" w:rsidRPr="00801FFC" w:rsidRDefault="00F279DA" w:rsidP="00F279DA">
      <w:pPr>
        <w:spacing w:before="100" w:beforeAutospacing="1" w:after="100" w:afterAutospacing="1" w:line="480" w:lineRule="auto"/>
        <w:rPr>
          <w:rFonts w:ascii="Helvetica" w:hAnsi="Helvetica" w:cs="Times New Roman"/>
          <w:b/>
          <w:bCs/>
          <w:sz w:val="24"/>
          <w:szCs w:val="24"/>
        </w:rPr>
      </w:pPr>
      <w:r w:rsidRPr="00801FFC">
        <w:rPr>
          <w:rFonts w:ascii="Helvetica" w:hAnsi="Helvetica" w:cs="Times New Roman"/>
          <w:b/>
          <w:bCs/>
          <w:sz w:val="24"/>
          <w:szCs w:val="24"/>
        </w:rPr>
        <w:t xml:space="preserve">Extended Data Table </w:t>
      </w:r>
      <w:r>
        <w:rPr>
          <w:rFonts w:ascii="Helvetica" w:hAnsi="Helvetica" w:cs="Times New Roman"/>
          <w:b/>
          <w:bCs/>
          <w:sz w:val="24"/>
          <w:szCs w:val="24"/>
        </w:rPr>
        <w:t>6</w:t>
      </w:r>
      <w:r w:rsidRPr="00801FFC">
        <w:rPr>
          <w:rFonts w:ascii="Helvetica" w:hAnsi="Helvetica" w:cs="Times New Roman"/>
          <w:b/>
          <w:bCs/>
          <w:sz w:val="24"/>
          <w:szCs w:val="24"/>
        </w:rPr>
        <w:t xml:space="preserve">:  </w:t>
      </w:r>
      <w:r w:rsidRPr="00384B89">
        <w:rPr>
          <w:rFonts w:ascii="Helvetica" w:hAnsi="Helvetica" w:cs="Times New Roman"/>
          <w:sz w:val="24"/>
          <w:szCs w:val="24"/>
        </w:rPr>
        <w:t xml:space="preserve">Adverse </w:t>
      </w:r>
      <w:r>
        <w:rPr>
          <w:rFonts w:ascii="Helvetica" w:hAnsi="Helvetica" w:cs="Times New Roman"/>
          <w:sz w:val="24"/>
          <w:szCs w:val="24"/>
        </w:rPr>
        <w:t>e</w:t>
      </w:r>
      <w:r w:rsidRPr="00384B89">
        <w:rPr>
          <w:rFonts w:ascii="Helvetica" w:hAnsi="Helvetica" w:cs="Times New Roman"/>
          <w:sz w:val="24"/>
          <w:szCs w:val="24"/>
        </w:rPr>
        <w:t>vents</w:t>
      </w:r>
    </w:p>
    <w:p w14:paraId="1DE6A1B3" w14:textId="77777777" w:rsidR="00F279DA" w:rsidRPr="00801FFC" w:rsidRDefault="00F279DA" w:rsidP="00F279DA">
      <w:pPr>
        <w:spacing w:before="100" w:beforeAutospacing="1" w:after="100" w:afterAutospacing="1" w:line="480" w:lineRule="auto"/>
        <w:rPr>
          <w:rFonts w:ascii="Helvetica" w:hAnsi="Helvetica" w:cs="Times New Roman"/>
          <w:sz w:val="24"/>
          <w:szCs w:val="24"/>
        </w:rPr>
      </w:pPr>
      <w:r w:rsidRPr="00801FFC">
        <w:rPr>
          <w:rFonts w:ascii="Helvetica" w:hAnsi="Helvetica" w:cs="Times New Roman"/>
          <w:sz w:val="24"/>
          <w:szCs w:val="24"/>
        </w:rPr>
        <w:br w:type="page"/>
      </w:r>
    </w:p>
    <w:p w14:paraId="33D60EE5" w14:textId="77777777" w:rsidR="00F279DA" w:rsidRDefault="00F279DA" w:rsidP="00F279DA">
      <w:pPr>
        <w:spacing w:before="100" w:beforeAutospacing="1" w:after="100" w:afterAutospacing="1" w:line="480" w:lineRule="auto"/>
        <w:rPr>
          <w:rFonts w:ascii="Helvetica" w:hAnsi="Helvetica" w:cs="Times New Roman"/>
          <w:b/>
          <w:bCs/>
          <w:sz w:val="24"/>
          <w:szCs w:val="24"/>
        </w:rPr>
      </w:pPr>
      <w:r>
        <w:rPr>
          <w:rFonts w:ascii="Helvetica" w:hAnsi="Helvetica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BE59206" wp14:editId="611FE24B">
            <wp:extent cx="5274310" cy="4749165"/>
            <wp:effectExtent l="0" t="0" r="0" b="635"/>
            <wp:docPr id="194552981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5529819" name="图片 194552981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4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0629E1" w14:textId="77777777" w:rsidR="00F279DA" w:rsidRDefault="00F279DA" w:rsidP="00F279DA">
      <w:pPr>
        <w:spacing w:before="100" w:beforeAutospacing="1" w:after="100" w:afterAutospacing="1" w:line="480" w:lineRule="auto"/>
        <w:rPr>
          <w:rFonts w:ascii="Helvetica" w:hAnsi="Helvetica" w:cs="Times New Roman"/>
          <w:sz w:val="24"/>
          <w:szCs w:val="24"/>
        </w:rPr>
      </w:pPr>
      <w:r w:rsidRPr="008A3642">
        <w:rPr>
          <w:rFonts w:ascii="Helvetica" w:hAnsi="Helvetica" w:cs="Times New Roman"/>
          <w:b/>
          <w:bCs/>
          <w:sz w:val="24"/>
          <w:szCs w:val="24"/>
        </w:rPr>
        <w:t xml:space="preserve">Extended Data Fig. 1: a. </w:t>
      </w:r>
      <w:bookmarkStart w:id="0" w:name="OLE_LINK18"/>
      <w:bookmarkStart w:id="1" w:name="OLE_LINK19"/>
      <w:bookmarkStart w:id="2" w:name="OLE_LINK20"/>
      <w:bookmarkStart w:id="3" w:name="OLE_LINK21"/>
      <w:r w:rsidRPr="008A3642">
        <w:rPr>
          <w:rFonts w:ascii="Helvetica" w:hAnsi="Helvetica" w:cs="Times New Roman"/>
          <w:sz w:val="24"/>
          <w:szCs w:val="24"/>
        </w:rPr>
        <w:t>Example</w:t>
      </w:r>
      <w:r w:rsidRPr="008A3642">
        <w:rPr>
          <w:rFonts w:ascii="Helvetica" w:hAnsi="Helvetica" w:cs="Times New Roman"/>
          <w:b/>
          <w:bCs/>
          <w:sz w:val="24"/>
          <w:szCs w:val="24"/>
        </w:rPr>
        <w:t xml:space="preserve"> </w:t>
      </w:r>
      <w:bookmarkEnd w:id="0"/>
      <w:bookmarkEnd w:id="1"/>
      <w:bookmarkEnd w:id="2"/>
      <w:bookmarkEnd w:id="3"/>
      <w:r w:rsidRPr="008A3642">
        <w:rPr>
          <w:rFonts w:ascii="Helvetica" w:hAnsi="Helvetica" w:cs="Times New Roman"/>
          <w:sz w:val="24"/>
          <w:szCs w:val="24"/>
        </w:rPr>
        <w:t>B</w:t>
      </w:r>
      <w:r w:rsidRPr="009644A5">
        <w:rPr>
          <w:rFonts w:ascii="Helvetica" w:hAnsi="Helvetica" w:cs="Times New Roman"/>
          <w:sz w:val="24"/>
          <w:szCs w:val="24"/>
        </w:rPr>
        <w:t>NST-NAc DBS induced VTA at final follow-up, showing significant overlap on the BNST and extending to the NAc and VIC.</w:t>
      </w:r>
      <w:r>
        <w:rPr>
          <w:rFonts w:ascii="Helvetica" w:hAnsi="Helvetica" w:cs="Times New Roman"/>
          <w:sz w:val="24"/>
          <w:szCs w:val="24"/>
        </w:rPr>
        <w:t xml:space="preserve"> </w:t>
      </w:r>
      <w:r>
        <w:rPr>
          <w:rFonts w:ascii="Helvetica" w:hAnsi="Helvetica" w:cs="Times New Roman"/>
          <w:b/>
          <w:bCs/>
          <w:sz w:val="24"/>
          <w:szCs w:val="24"/>
        </w:rPr>
        <w:t>b</w:t>
      </w:r>
      <w:r w:rsidRPr="00801FFC">
        <w:rPr>
          <w:rFonts w:ascii="Helvetica" w:hAnsi="Helvetica" w:cs="Times New Roman"/>
          <w:b/>
          <w:bCs/>
          <w:sz w:val="24"/>
          <w:szCs w:val="24"/>
        </w:rPr>
        <w:t xml:space="preserve">. </w:t>
      </w:r>
      <w:r w:rsidRPr="00801FFC">
        <w:rPr>
          <w:rFonts w:ascii="Helvetica" w:hAnsi="Helvetica" w:cs="Times New Roman"/>
          <w:sz w:val="24"/>
          <w:szCs w:val="24"/>
        </w:rPr>
        <w:t xml:space="preserve">Correlation matrix of the </w:t>
      </w:r>
      <w:r>
        <w:rPr>
          <w:rFonts w:ascii="Helvetica" w:hAnsi="Helvetica" w:cs="Times New Roman"/>
          <w:sz w:val="24"/>
          <w:szCs w:val="24"/>
        </w:rPr>
        <w:t>d</w:t>
      </w:r>
      <w:r w:rsidRPr="00801FFC">
        <w:rPr>
          <w:rFonts w:ascii="Helvetica" w:hAnsi="Helvetica" w:cs="Times New Roman"/>
          <w:sz w:val="24"/>
          <w:szCs w:val="24"/>
        </w:rPr>
        <w:t>epression (HAMD, MADRS), anxiety (HAMA) and anhedonia (DARS) scores at pre-</w:t>
      </w:r>
      <w:r>
        <w:rPr>
          <w:rFonts w:ascii="Helvetica" w:hAnsi="Helvetica" w:cs="Times New Roman"/>
          <w:sz w:val="24"/>
          <w:szCs w:val="24"/>
        </w:rPr>
        <w:t xml:space="preserve"> and </w:t>
      </w:r>
      <w:r w:rsidRPr="00801FFC">
        <w:rPr>
          <w:rFonts w:ascii="Helvetica" w:hAnsi="Helvetica" w:cs="Times New Roman"/>
          <w:sz w:val="24"/>
          <w:szCs w:val="24"/>
        </w:rPr>
        <w:t>postoperative 3-month</w:t>
      </w:r>
      <w:r>
        <w:rPr>
          <w:rFonts w:ascii="Helvetica" w:hAnsi="Helvetica" w:cs="Times New Roman"/>
          <w:sz w:val="24"/>
          <w:szCs w:val="24"/>
        </w:rPr>
        <w:t xml:space="preserve"> (n = 26)</w:t>
      </w:r>
      <w:r w:rsidRPr="00801FFC">
        <w:rPr>
          <w:rFonts w:ascii="Helvetica" w:hAnsi="Helvetica" w:cs="Times New Roman"/>
          <w:sz w:val="24"/>
          <w:szCs w:val="24"/>
        </w:rPr>
        <w:t xml:space="preserve">, 6-month </w:t>
      </w:r>
      <w:r>
        <w:rPr>
          <w:rFonts w:ascii="Helvetica" w:hAnsi="Helvetica" w:cs="Times New Roman"/>
          <w:sz w:val="24"/>
          <w:szCs w:val="24"/>
        </w:rPr>
        <w:t xml:space="preserve">(n = 26) </w:t>
      </w:r>
      <w:r w:rsidRPr="00801FFC">
        <w:rPr>
          <w:rFonts w:ascii="Helvetica" w:hAnsi="Helvetica" w:cs="Times New Roman"/>
          <w:sz w:val="24"/>
          <w:szCs w:val="24"/>
        </w:rPr>
        <w:t>and 1-year</w:t>
      </w:r>
      <w:r>
        <w:rPr>
          <w:rFonts w:ascii="Helvetica" w:hAnsi="Helvetica" w:cs="Times New Roman"/>
          <w:sz w:val="24"/>
          <w:szCs w:val="24"/>
        </w:rPr>
        <w:t xml:space="preserve"> (n = 21)</w:t>
      </w:r>
      <w:r w:rsidRPr="00801FFC">
        <w:rPr>
          <w:rFonts w:ascii="Helvetica" w:hAnsi="Helvetica" w:cs="Times New Roman"/>
          <w:sz w:val="24"/>
          <w:szCs w:val="24"/>
        </w:rPr>
        <w:t xml:space="preserve">. X symbol indicates non-significant. </w:t>
      </w:r>
      <w:r>
        <w:rPr>
          <w:rFonts w:ascii="Helvetica" w:hAnsi="Helvetica" w:cs="Times New Roman"/>
          <w:b/>
          <w:bCs/>
          <w:sz w:val="24"/>
          <w:szCs w:val="24"/>
        </w:rPr>
        <w:t>c</w:t>
      </w:r>
      <w:r w:rsidRPr="00801FFC">
        <w:rPr>
          <w:rFonts w:ascii="Helvetica" w:hAnsi="Helvetica" w:cs="Times New Roman"/>
          <w:b/>
          <w:bCs/>
          <w:sz w:val="24"/>
          <w:szCs w:val="24"/>
        </w:rPr>
        <w:t xml:space="preserve">. </w:t>
      </w:r>
      <w:r w:rsidRPr="00801FFC">
        <w:rPr>
          <w:rFonts w:ascii="Helvetica" w:hAnsi="Helvetica" w:cs="Times New Roman"/>
          <w:sz w:val="24"/>
          <w:szCs w:val="24"/>
        </w:rPr>
        <w:t xml:space="preserve">Granger causality (GC) of theta band of top-down (Frontal EEG -&gt; BNST) and bottom-up (BNST -&gt; Frontal EEG) and correlations with frontal EEG and BNST theta power and frontal-BNST theta coherence. </w:t>
      </w:r>
      <w:bookmarkStart w:id="4" w:name="OLE_LINK29"/>
      <w:bookmarkStart w:id="5" w:name="OLE_LINK30"/>
      <w:r w:rsidRPr="00801FFC">
        <w:rPr>
          <w:rFonts w:ascii="Helvetica" w:hAnsi="Helvetica" w:cs="Times New Roman"/>
          <w:sz w:val="24"/>
          <w:szCs w:val="24"/>
        </w:rPr>
        <w:t>*</w:t>
      </w:r>
      <w:r>
        <w:rPr>
          <w:rFonts w:ascii="Helvetica" w:hAnsi="Helvetica" w:cs="Times New Roman"/>
          <w:sz w:val="24"/>
          <w:szCs w:val="24"/>
        </w:rPr>
        <w:t xml:space="preserve">p </w:t>
      </w:r>
      <w:r w:rsidRPr="00801FFC">
        <w:rPr>
          <w:rFonts w:ascii="Helvetica" w:hAnsi="Helvetica" w:cs="Times New Roman"/>
          <w:sz w:val="24"/>
          <w:szCs w:val="24"/>
        </w:rPr>
        <w:t>&lt;</w:t>
      </w:r>
      <w:r>
        <w:rPr>
          <w:rFonts w:ascii="Helvetica" w:hAnsi="Helvetica" w:cs="Times New Roman"/>
          <w:sz w:val="24"/>
          <w:szCs w:val="24"/>
        </w:rPr>
        <w:t xml:space="preserve"> </w:t>
      </w:r>
      <w:r w:rsidRPr="00801FFC">
        <w:rPr>
          <w:rFonts w:ascii="Helvetica" w:hAnsi="Helvetica" w:cs="Times New Roman"/>
          <w:sz w:val="24"/>
          <w:szCs w:val="24"/>
        </w:rPr>
        <w:t>0.05, **</w:t>
      </w:r>
      <w:r>
        <w:rPr>
          <w:rFonts w:ascii="Helvetica" w:hAnsi="Helvetica" w:cs="Times New Roman"/>
          <w:sz w:val="24"/>
          <w:szCs w:val="24"/>
        </w:rPr>
        <w:t xml:space="preserve">p </w:t>
      </w:r>
      <w:r w:rsidRPr="00801FFC">
        <w:rPr>
          <w:rFonts w:ascii="Helvetica" w:hAnsi="Helvetica" w:cs="Times New Roman"/>
          <w:sz w:val="24"/>
          <w:szCs w:val="24"/>
        </w:rPr>
        <w:t>&lt;</w:t>
      </w:r>
      <w:r>
        <w:rPr>
          <w:rFonts w:ascii="Helvetica" w:hAnsi="Helvetica" w:cs="Times New Roman"/>
          <w:sz w:val="24"/>
          <w:szCs w:val="24"/>
        </w:rPr>
        <w:t xml:space="preserve"> </w:t>
      </w:r>
      <w:r w:rsidRPr="00801FFC">
        <w:rPr>
          <w:rFonts w:ascii="Helvetica" w:hAnsi="Helvetica" w:cs="Times New Roman"/>
          <w:sz w:val="24"/>
          <w:szCs w:val="24"/>
        </w:rPr>
        <w:t>0.01.</w:t>
      </w:r>
      <w:bookmarkEnd w:id="4"/>
      <w:bookmarkEnd w:id="5"/>
      <w:r>
        <w:rPr>
          <w:rFonts w:ascii="Helvetica" w:hAnsi="Helvetica" w:cs="Times New Roman"/>
          <w:sz w:val="24"/>
          <w:szCs w:val="24"/>
        </w:rPr>
        <w:t xml:space="preserve"> </w:t>
      </w:r>
      <w:r>
        <w:rPr>
          <w:rFonts w:ascii="Helvetica" w:hAnsi="Helvetica" w:cs="Times New Roman"/>
          <w:b/>
          <w:bCs/>
          <w:sz w:val="24"/>
          <w:szCs w:val="24"/>
        </w:rPr>
        <w:t>d</w:t>
      </w:r>
      <w:r w:rsidRPr="00801FFC">
        <w:rPr>
          <w:rFonts w:ascii="Helvetica" w:hAnsi="Helvetica" w:cs="Times New Roman"/>
          <w:b/>
          <w:bCs/>
          <w:sz w:val="24"/>
          <w:szCs w:val="24"/>
        </w:rPr>
        <w:t xml:space="preserve">. </w:t>
      </w:r>
      <w:r w:rsidRPr="00801FFC">
        <w:rPr>
          <w:rFonts w:ascii="Helvetica" w:hAnsi="Helvetica" w:cs="Times New Roman"/>
          <w:sz w:val="24"/>
          <w:szCs w:val="24"/>
        </w:rPr>
        <w:t xml:space="preserve">Fiber tracts (blue) related to lower frontal EEG-BNST theta coherence power (predicting better clinical outcomes) overlaid with fiber tracts with the open-source tracts </w:t>
      </w:r>
      <w:r w:rsidRPr="00801FFC">
        <w:rPr>
          <w:rFonts w:ascii="Helvetica" w:hAnsi="Helvetica" w:cs="Times New Roman"/>
          <w:sz w:val="24"/>
          <w:szCs w:val="24"/>
        </w:rPr>
        <w:lastRenderedPageBreak/>
        <w:t>available for optimal OCD DBS targets (red).</w:t>
      </w:r>
    </w:p>
    <w:p w14:paraId="2581698B" w14:textId="77777777" w:rsidR="00F279DA" w:rsidRPr="00B866A7" w:rsidRDefault="00F279DA" w:rsidP="00F279DA">
      <w:pPr>
        <w:widowControl/>
        <w:jc w:val="left"/>
        <w:rPr>
          <w:rFonts w:ascii="Helvetica" w:hAnsi="Helvetica" w:cs="Times New Roman"/>
          <w:sz w:val="24"/>
          <w:szCs w:val="24"/>
        </w:rPr>
      </w:pPr>
      <w:r>
        <w:rPr>
          <w:rFonts w:ascii="Helvetica" w:hAnsi="Helvetica" w:cs="Times New Roman"/>
          <w:sz w:val="24"/>
          <w:szCs w:val="24"/>
        </w:rPr>
        <w:br w:type="page"/>
      </w:r>
    </w:p>
    <w:p w14:paraId="70BAB3F0" w14:textId="77777777" w:rsidR="00F279DA" w:rsidRDefault="00F279DA" w:rsidP="00F279DA">
      <w:pPr>
        <w:spacing w:before="100" w:beforeAutospacing="1" w:after="100" w:afterAutospacing="1" w:line="480" w:lineRule="auto"/>
        <w:jc w:val="center"/>
        <w:rPr>
          <w:rFonts w:ascii="Helvetica" w:hAnsi="Helvetica" w:cs="Times New Roman"/>
          <w:b/>
          <w:bCs/>
          <w:sz w:val="24"/>
          <w:szCs w:val="24"/>
        </w:rPr>
      </w:pPr>
      <w:r>
        <w:rPr>
          <w:rFonts w:ascii="Helvetica" w:hAnsi="Helvetica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F3949AA" wp14:editId="73CBC03E">
            <wp:extent cx="5270400" cy="5090400"/>
            <wp:effectExtent l="0" t="0" r="635" b="2540"/>
            <wp:docPr id="351429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42945" name="图片 35142945"/>
                    <pic:cNvPicPr/>
                  </pic:nvPicPr>
                  <pic:blipFill rotWithShape="1">
                    <a:blip r:embed="rId5"/>
                    <a:srcRect l="6329"/>
                    <a:stretch/>
                  </pic:blipFill>
                  <pic:spPr bwMode="auto">
                    <a:xfrm>
                      <a:off x="0" y="0"/>
                      <a:ext cx="5270400" cy="509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95F21A" w14:textId="77777777" w:rsidR="00F279DA" w:rsidRDefault="00F279DA" w:rsidP="00F279DA">
      <w:pPr>
        <w:spacing w:before="100" w:beforeAutospacing="1" w:after="100" w:afterAutospacing="1" w:line="480" w:lineRule="auto"/>
        <w:rPr>
          <w:rFonts w:ascii="Helvetica" w:hAnsi="Helvetica" w:cs="Times New Roman"/>
          <w:sz w:val="24"/>
          <w:szCs w:val="24"/>
        </w:rPr>
      </w:pPr>
      <w:r w:rsidRPr="00801FFC">
        <w:rPr>
          <w:rFonts w:ascii="Helvetica" w:hAnsi="Helvetica" w:cs="Times New Roman"/>
          <w:b/>
          <w:bCs/>
          <w:sz w:val="24"/>
          <w:szCs w:val="24"/>
        </w:rPr>
        <w:t xml:space="preserve">Extended Data Fig. 2: a. </w:t>
      </w:r>
      <w:r w:rsidRPr="00801FFC">
        <w:rPr>
          <w:rFonts w:ascii="Helvetica" w:hAnsi="Helvetica" w:cs="Times New Roman"/>
          <w:sz w:val="24"/>
          <w:szCs w:val="24"/>
        </w:rPr>
        <w:t>Correlation matrix between 3-month clinical improvements and spectral activity features in the eye-open dataset (</w:t>
      </w:r>
      <w:r>
        <w:rPr>
          <w:rFonts w:ascii="Helvetica" w:hAnsi="Helvetica" w:cs="Times New Roman"/>
          <w:sz w:val="24"/>
          <w:szCs w:val="24"/>
        </w:rPr>
        <w:t xml:space="preserve">n </w:t>
      </w:r>
      <w:r w:rsidRPr="00801FFC">
        <w:rPr>
          <w:rFonts w:ascii="Helvetica" w:hAnsi="Helvetica" w:cs="Times New Roman"/>
          <w:sz w:val="24"/>
          <w:szCs w:val="24"/>
        </w:rPr>
        <w:t>=</w:t>
      </w:r>
      <w:r>
        <w:rPr>
          <w:rFonts w:ascii="Helvetica" w:hAnsi="Helvetica" w:cs="Times New Roman"/>
          <w:sz w:val="24"/>
          <w:szCs w:val="24"/>
        </w:rPr>
        <w:t xml:space="preserve"> </w:t>
      </w:r>
      <w:r w:rsidRPr="00801FFC">
        <w:rPr>
          <w:rFonts w:ascii="Helvetica" w:hAnsi="Helvetica" w:cs="Times New Roman"/>
          <w:sz w:val="24"/>
          <w:szCs w:val="24"/>
        </w:rPr>
        <w:t xml:space="preserve">15). </w:t>
      </w:r>
      <w:r w:rsidRPr="00577909">
        <w:rPr>
          <w:rFonts w:ascii="Helvetica" w:hAnsi="Helvetica" w:cs="Times New Roman"/>
          <w:b/>
          <w:bCs/>
          <w:sz w:val="24"/>
          <w:szCs w:val="24"/>
        </w:rPr>
        <w:t>b.</w:t>
      </w:r>
      <w:r w:rsidRPr="00577909">
        <w:rPr>
          <w:rFonts w:ascii="Helvetica" w:hAnsi="Helvetica" w:cs="Times New Roman"/>
          <w:sz w:val="24"/>
          <w:szCs w:val="24"/>
        </w:rPr>
        <w:t xml:space="preserve"> </w:t>
      </w:r>
      <w:r>
        <w:rPr>
          <w:rFonts w:ascii="Helvetica" w:hAnsi="Helvetica" w:cs="Times New Roman"/>
          <w:sz w:val="24"/>
          <w:szCs w:val="24"/>
        </w:rPr>
        <w:t>M</w:t>
      </w:r>
      <w:r w:rsidRPr="00B6194F">
        <w:rPr>
          <w:rFonts w:ascii="Helvetica" w:hAnsi="Helvetica" w:cs="Times New Roman"/>
          <w:sz w:val="24"/>
          <w:szCs w:val="24"/>
        </w:rPr>
        <w:t xml:space="preserve">ediation model </w:t>
      </w:r>
      <w:r>
        <w:rPr>
          <w:rFonts w:ascii="Helvetica" w:hAnsi="Helvetica" w:cs="Times New Roman"/>
          <w:sz w:val="24"/>
          <w:szCs w:val="24"/>
        </w:rPr>
        <w:t>of</w:t>
      </w:r>
      <w:r w:rsidRPr="00B6194F">
        <w:rPr>
          <w:rFonts w:ascii="Helvetica" w:hAnsi="Helvetica" w:cs="Times New Roman"/>
          <w:sz w:val="24"/>
          <w:szCs w:val="24"/>
        </w:rPr>
        <w:t xml:space="preserve"> the indirect effect of </w:t>
      </w:r>
      <w:r>
        <w:rPr>
          <w:rFonts w:ascii="Helvetica" w:hAnsi="Helvetica" w:cs="Times New Roman"/>
          <w:sz w:val="24"/>
          <w:szCs w:val="24"/>
        </w:rPr>
        <w:t>negative emotional</w:t>
      </w:r>
      <w:r w:rsidRPr="00B6194F">
        <w:rPr>
          <w:rFonts w:ascii="Helvetica" w:hAnsi="Helvetica" w:cs="Times New Roman"/>
          <w:sz w:val="24"/>
          <w:szCs w:val="24"/>
        </w:rPr>
        <w:t xml:space="preserve"> bias on clinical outcomes via </w:t>
      </w:r>
      <w:r>
        <w:rPr>
          <w:rFonts w:ascii="Helvetica" w:hAnsi="Helvetica" w:cs="Times New Roman"/>
          <w:sz w:val="24"/>
          <w:szCs w:val="24"/>
        </w:rPr>
        <w:t>theta biomarkers</w:t>
      </w:r>
      <w:r w:rsidRPr="00B6194F">
        <w:rPr>
          <w:rFonts w:ascii="Helvetica" w:hAnsi="Helvetica" w:cs="Times New Roman"/>
          <w:sz w:val="24"/>
          <w:szCs w:val="24"/>
        </w:rPr>
        <w:t>.</w:t>
      </w:r>
      <w:r>
        <w:rPr>
          <w:rFonts w:ascii="Helvetica" w:hAnsi="Helvetica" w:cs="Times New Roman"/>
          <w:sz w:val="24"/>
          <w:szCs w:val="24"/>
        </w:rPr>
        <w:t xml:space="preserve"> </w:t>
      </w:r>
      <w:r w:rsidRPr="00801FFC">
        <w:rPr>
          <w:rFonts w:ascii="Helvetica" w:hAnsi="Helvetica" w:cs="Times New Roman"/>
          <w:sz w:val="24"/>
          <w:szCs w:val="24"/>
        </w:rPr>
        <w:t>*</w:t>
      </w:r>
      <w:r>
        <w:rPr>
          <w:rFonts w:ascii="Helvetica" w:hAnsi="Helvetica" w:cs="Times New Roman"/>
          <w:sz w:val="24"/>
          <w:szCs w:val="24"/>
        </w:rPr>
        <w:t xml:space="preserve">p </w:t>
      </w:r>
      <w:r w:rsidRPr="00801FFC">
        <w:rPr>
          <w:rFonts w:ascii="Helvetica" w:hAnsi="Helvetica" w:cs="Times New Roman"/>
          <w:sz w:val="24"/>
          <w:szCs w:val="24"/>
        </w:rPr>
        <w:t>&lt;</w:t>
      </w:r>
      <w:r>
        <w:rPr>
          <w:rFonts w:ascii="Helvetica" w:hAnsi="Helvetica" w:cs="Times New Roman"/>
          <w:sz w:val="24"/>
          <w:szCs w:val="24"/>
        </w:rPr>
        <w:t xml:space="preserve"> </w:t>
      </w:r>
      <w:r w:rsidRPr="00801FFC">
        <w:rPr>
          <w:rFonts w:ascii="Helvetica" w:hAnsi="Helvetica" w:cs="Times New Roman"/>
          <w:sz w:val="24"/>
          <w:szCs w:val="24"/>
        </w:rPr>
        <w:t>0.05, **</w:t>
      </w:r>
      <w:r>
        <w:rPr>
          <w:rFonts w:ascii="Helvetica" w:hAnsi="Helvetica" w:cs="Times New Roman"/>
          <w:sz w:val="24"/>
          <w:szCs w:val="24"/>
        </w:rPr>
        <w:t xml:space="preserve">p </w:t>
      </w:r>
      <w:r w:rsidRPr="00801FFC">
        <w:rPr>
          <w:rFonts w:ascii="Helvetica" w:hAnsi="Helvetica" w:cs="Times New Roman"/>
          <w:sz w:val="24"/>
          <w:szCs w:val="24"/>
        </w:rPr>
        <w:t>&lt;</w:t>
      </w:r>
      <w:r>
        <w:rPr>
          <w:rFonts w:ascii="Helvetica" w:hAnsi="Helvetica" w:cs="Times New Roman"/>
          <w:sz w:val="24"/>
          <w:szCs w:val="24"/>
        </w:rPr>
        <w:t xml:space="preserve"> </w:t>
      </w:r>
      <w:r w:rsidRPr="00801FFC">
        <w:rPr>
          <w:rFonts w:ascii="Helvetica" w:hAnsi="Helvetica" w:cs="Times New Roman"/>
          <w:sz w:val="24"/>
          <w:szCs w:val="24"/>
        </w:rPr>
        <w:t>0.01.</w:t>
      </w:r>
      <w:r>
        <w:rPr>
          <w:rFonts w:ascii="Helvetica" w:hAnsi="Helvetica" w:cs="Times New Roman"/>
          <w:sz w:val="24"/>
          <w:szCs w:val="24"/>
        </w:rPr>
        <w:t xml:space="preserve"> </w:t>
      </w:r>
      <w:r>
        <w:rPr>
          <w:rFonts w:ascii="Helvetica" w:hAnsi="Helvetica" w:cs="Times New Roman"/>
          <w:b/>
          <w:bCs/>
          <w:sz w:val="24"/>
          <w:szCs w:val="24"/>
        </w:rPr>
        <w:t>c</w:t>
      </w:r>
      <w:r w:rsidRPr="00801FFC">
        <w:rPr>
          <w:rFonts w:ascii="Helvetica" w:hAnsi="Helvetica" w:cs="Times New Roman"/>
          <w:b/>
          <w:bCs/>
          <w:sz w:val="24"/>
          <w:szCs w:val="24"/>
        </w:rPr>
        <w:t xml:space="preserve">. </w:t>
      </w:r>
      <w:r w:rsidRPr="00801FFC">
        <w:rPr>
          <w:rFonts w:ascii="Helvetica" w:hAnsi="Helvetica" w:cs="Times New Roman"/>
          <w:sz w:val="24"/>
          <w:szCs w:val="24"/>
        </w:rPr>
        <w:t>Linear regression prediction of 3-month (</w:t>
      </w:r>
      <w:r>
        <w:rPr>
          <w:rFonts w:ascii="Helvetica" w:hAnsi="Helvetica" w:cs="Times New Roman"/>
          <w:sz w:val="24"/>
          <w:szCs w:val="24"/>
        </w:rPr>
        <w:t xml:space="preserve">n </w:t>
      </w:r>
      <w:r w:rsidRPr="00801FFC">
        <w:rPr>
          <w:rFonts w:ascii="Helvetica" w:hAnsi="Helvetica" w:cs="Times New Roman"/>
          <w:sz w:val="24"/>
          <w:szCs w:val="24"/>
        </w:rPr>
        <w:t>=</w:t>
      </w:r>
      <w:r>
        <w:rPr>
          <w:rFonts w:ascii="Helvetica" w:hAnsi="Helvetica" w:cs="Times New Roman"/>
          <w:sz w:val="24"/>
          <w:szCs w:val="24"/>
        </w:rPr>
        <w:t xml:space="preserve"> </w:t>
      </w:r>
      <w:r w:rsidRPr="00801FFC">
        <w:rPr>
          <w:rFonts w:ascii="Helvetica" w:hAnsi="Helvetica" w:cs="Times New Roman"/>
          <w:sz w:val="24"/>
          <w:szCs w:val="24"/>
        </w:rPr>
        <w:t>15)</w:t>
      </w:r>
      <w:r>
        <w:rPr>
          <w:rFonts w:ascii="Helvetica" w:hAnsi="Helvetica" w:cs="Times New Roman"/>
          <w:sz w:val="24"/>
          <w:szCs w:val="24"/>
        </w:rPr>
        <w:t>, 6-month</w:t>
      </w:r>
      <w:r w:rsidRPr="00801FFC">
        <w:rPr>
          <w:rFonts w:ascii="Helvetica" w:hAnsi="Helvetica" w:cs="Times New Roman"/>
          <w:sz w:val="24"/>
          <w:szCs w:val="24"/>
        </w:rPr>
        <w:t xml:space="preserve"> (</w:t>
      </w:r>
      <w:r>
        <w:rPr>
          <w:rFonts w:ascii="Helvetica" w:hAnsi="Helvetica" w:cs="Times New Roman"/>
          <w:sz w:val="24"/>
          <w:szCs w:val="24"/>
        </w:rPr>
        <w:t xml:space="preserve">n </w:t>
      </w:r>
      <w:r w:rsidRPr="00801FFC">
        <w:rPr>
          <w:rFonts w:ascii="Helvetica" w:hAnsi="Helvetica" w:cs="Times New Roman"/>
          <w:sz w:val="24"/>
          <w:szCs w:val="24"/>
        </w:rPr>
        <w:t>=</w:t>
      </w:r>
      <w:r>
        <w:rPr>
          <w:rFonts w:ascii="Helvetica" w:hAnsi="Helvetica" w:cs="Times New Roman"/>
          <w:sz w:val="24"/>
          <w:szCs w:val="24"/>
        </w:rPr>
        <w:t xml:space="preserve"> </w:t>
      </w:r>
      <w:r w:rsidRPr="00801FFC">
        <w:rPr>
          <w:rFonts w:ascii="Helvetica" w:hAnsi="Helvetica" w:cs="Times New Roman"/>
          <w:sz w:val="24"/>
          <w:szCs w:val="24"/>
        </w:rPr>
        <w:t>15)</w:t>
      </w:r>
      <w:r>
        <w:rPr>
          <w:rFonts w:ascii="Helvetica" w:hAnsi="Helvetica" w:cs="Times New Roman"/>
          <w:sz w:val="24"/>
          <w:szCs w:val="24"/>
        </w:rPr>
        <w:t>, 1-year</w:t>
      </w:r>
      <w:r w:rsidRPr="00801FFC">
        <w:rPr>
          <w:rFonts w:ascii="Helvetica" w:hAnsi="Helvetica" w:cs="Times New Roman"/>
          <w:sz w:val="24"/>
          <w:szCs w:val="24"/>
        </w:rPr>
        <w:t xml:space="preserve"> (</w:t>
      </w:r>
      <w:r>
        <w:rPr>
          <w:rFonts w:ascii="Helvetica" w:hAnsi="Helvetica" w:cs="Times New Roman"/>
          <w:sz w:val="24"/>
          <w:szCs w:val="24"/>
        </w:rPr>
        <w:t xml:space="preserve">n </w:t>
      </w:r>
      <w:r w:rsidRPr="00801FFC">
        <w:rPr>
          <w:rFonts w:ascii="Helvetica" w:hAnsi="Helvetica" w:cs="Times New Roman"/>
          <w:sz w:val="24"/>
          <w:szCs w:val="24"/>
        </w:rPr>
        <w:t>=</w:t>
      </w:r>
      <w:r>
        <w:rPr>
          <w:rFonts w:ascii="Helvetica" w:hAnsi="Helvetica" w:cs="Times New Roman"/>
          <w:sz w:val="24"/>
          <w:szCs w:val="24"/>
        </w:rPr>
        <w:t xml:space="preserve"> </w:t>
      </w:r>
      <w:r w:rsidRPr="00801FFC">
        <w:rPr>
          <w:rFonts w:ascii="Helvetica" w:hAnsi="Helvetica" w:cs="Times New Roman"/>
          <w:sz w:val="24"/>
          <w:szCs w:val="24"/>
        </w:rPr>
        <w:t>1</w:t>
      </w:r>
      <w:r>
        <w:rPr>
          <w:rFonts w:ascii="Helvetica" w:hAnsi="Helvetica" w:cs="Times New Roman"/>
          <w:sz w:val="24"/>
          <w:szCs w:val="24"/>
        </w:rPr>
        <w:t>4</w:t>
      </w:r>
      <w:r w:rsidRPr="00801FFC">
        <w:rPr>
          <w:rFonts w:ascii="Helvetica" w:hAnsi="Helvetica" w:cs="Times New Roman"/>
          <w:sz w:val="24"/>
          <w:szCs w:val="24"/>
        </w:rPr>
        <w:t>)</w:t>
      </w:r>
      <w:r>
        <w:rPr>
          <w:rFonts w:ascii="Helvetica" w:hAnsi="Helvetica" w:cs="Times New Roman"/>
          <w:sz w:val="24"/>
          <w:szCs w:val="24"/>
        </w:rPr>
        <w:t xml:space="preserve"> </w:t>
      </w:r>
      <w:r w:rsidRPr="00801FFC">
        <w:rPr>
          <w:rFonts w:ascii="Helvetica" w:hAnsi="Helvetica" w:cs="Times New Roman"/>
          <w:sz w:val="24"/>
          <w:szCs w:val="24"/>
        </w:rPr>
        <w:t xml:space="preserve">clinical improvements by BNST theta power and theta coherence between frontal EEG and BNST in the eye-open dataset. </w:t>
      </w:r>
    </w:p>
    <w:p w14:paraId="2475A949" w14:textId="77777777" w:rsidR="00F279DA" w:rsidRDefault="00F279DA" w:rsidP="00F279DA">
      <w:pPr>
        <w:widowControl/>
        <w:jc w:val="center"/>
        <w:rPr>
          <w:rFonts w:ascii="Helvetica" w:hAnsi="Helvetica" w:cs="Times New Roman"/>
          <w:sz w:val="24"/>
          <w:szCs w:val="24"/>
        </w:rPr>
      </w:pPr>
      <w:r>
        <w:rPr>
          <w:rFonts w:ascii="Helvetica" w:hAnsi="Helvetica" w:cs="Times New Roman"/>
          <w:sz w:val="24"/>
          <w:szCs w:val="24"/>
        </w:rPr>
        <w:br w:type="page"/>
      </w:r>
    </w:p>
    <w:p w14:paraId="50EC2731" w14:textId="77777777" w:rsidR="00F279DA" w:rsidRPr="0063341E" w:rsidRDefault="00F279DA" w:rsidP="00F279DA">
      <w:pPr>
        <w:widowControl/>
        <w:jc w:val="center"/>
        <w:rPr>
          <w:rFonts w:ascii="Helvetica" w:hAnsi="Helvetica" w:cs="Times New Roman"/>
          <w:b/>
          <w:bCs/>
          <w:sz w:val="24"/>
          <w:szCs w:val="24"/>
        </w:rPr>
      </w:pPr>
      <w:r>
        <w:rPr>
          <w:rFonts w:ascii="Helvetica" w:hAnsi="Helvetica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A9B0148" wp14:editId="578D239C">
            <wp:extent cx="4014000" cy="5302800"/>
            <wp:effectExtent l="0" t="0" r="0" b="6350"/>
            <wp:docPr id="15208965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0896559" name="图片 1520896559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14000" cy="530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05BC47" w14:textId="73AE3158" w:rsidR="00755780" w:rsidRPr="00F279DA" w:rsidRDefault="00F279DA" w:rsidP="00F279DA">
      <w:pPr>
        <w:spacing w:before="100" w:beforeAutospacing="1" w:after="100" w:afterAutospacing="1" w:line="480" w:lineRule="auto"/>
        <w:rPr>
          <w:rFonts w:ascii="Helvetica" w:hAnsi="Helvetica" w:cs="Times New Roman"/>
          <w:sz w:val="24"/>
          <w:szCs w:val="24"/>
        </w:rPr>
      </w:pPr>
      <w:r w:rsidRPr="00801FFC">
        <w:rPr>
          <w:rFonts w:ascii="Helvetica" w:hAnsi="Helvetica" w:cs="Times New Roman"/>
          <w:b/>
          <w:bCs/>
          <w:sz w:val="24"/>
          <w:szCs w:val="24"/>
        </w:rPr>
        <w:t xml:space="preserve">Extended Data Fig. </w:t>
      </w:r>
      <w:r>
        <w:rPr>
          <w:rFonts w:ascii="Helvetica" w:hAnsi="Helvetica" w:cs="Times New Roman"/>
          <w:b/>
          <w:bCs/>
          <w:sz w:val="24"/>
          <w:szCs w:val="24"/>
        </w:rPr>
        <w:t>3</w:t>
      </w:r>
      <w:r w:rsidRPr="00801FFC">
        <w:rPr>
          <w:rFonts w:ascii="Helvetica" w:hAnsi="Helvetica" w:cs="Times New Roman"/>
          <w:b/>
          <w:bCs/>
          <w:sz w:val="24"/>
          <w:szCs w:val="24"/>
        </w:rPr>
        <w:t>: a.</w:t>
      </w:r>
      <w:r>
        <w:rPr>
          <w:rFonts w:ascii="Helvetica" w:hAnsi="Helvetica" w:cs="Times New Roman"/>
          <w:b/>
          <w:bCs/>
          <w:sz w:val="24"/>
          <w:szCs w:val="24"/>
        </w:rPr>
        <w:t xml:space="preserve"> </w:t>
      </w:r>
      <w:r>
        <w:rPr>
          <w:rFonts w:ascii="Helvetica" w:hAnsi="Helvetica" w:cs="Times New Roman"/>
          <w:sz w:val="24"/>
          <w:szCs w:val="24"/>
        </w:rPr>
        <w:t>Bar plot representing</w:t>
      </w:r>
      <w:r w:rsidRPr="00801FFC">
        <w:rPr>
          <w:rFonts w:ascii="Helvetica" w:hAnsi="Helvetica" w:cs="Times New Roman"/>
          <w:sz w:val="24"/>
          <w:szCs w:val="24"/>
        </w:rPr>
        <w:t xml:space="preserve"> </w:t>
      </w:r>
      <w:r>
        <w:rPr>
          <w:rFonts w:ascii="Helvetica" w:hAnsi="Helvetica" w:cs="Times New Roman"/>
          <w:sz w:val="24"/>
          <w:szCs w:val="24"/>
        </w:rPr>
        <w:t>c</w:t>
      </w:r>
      <w:r w:rsidRPr="00801FFC">
        <w:rPr>
          <w:rFonts w:ascii="Helvetica" w:hAnsi="Helvetica" w:cs="Times New Roman"/>
          <w:sz w:val="24"/>
          <w:szCs w:val="24"/>
        </w:rPr>
        <w:t>orrelation</w:t>
      </w:r>
      <w:r>
        <w:rPr>
          <w:rFonts w:ascii="Helvetica" w:hAnsi="Helvetica" w:cs="Times New Roman"/>
          <w:sz w:val="24"/>
          <w:szCs w:val="24"/>
        </w:rPr>
        <w:t xml:space="preserve"> (Spearman’s or Pearson’s r) </w:t>
      </w:r>
      <w:r w:rsidRPr="00801FFC">
        <w:rPr>
          <w:rFonts w:ascii="Helvetica" w:hAnsi="Helvetica" w:cs="Times New Roman"/>
          <w:sz w:val="24"/>
          <w:szCs w:val="24"/>
        </w:rPr>
        <w:t xml:space="preserve">between </w:t>
      </w:r>
      <w:r>
        <w:rPr>
          <w:rFonts w:ascii="Helvetica" w:hAnsi="Helvetica" w:cs="Times New Roman"/>
          <w:sz w:val="24"/>
          <w:szCs w:val="24"/>
        </w:rPr>
        <w:t>d</w:t>
      </w:r>
      <w:r w:rsidRPr="00801FFC">
        <w:rPr>
          <w:rFonts w:ascii="Helvetica" w:hAnsi="Helvetica" w:cs="Times New Roman"/>
          <w:sz w:val="24"/>
          <w:szCs w:val="24"/>
        </w:rPr>
        <w:t>epression</w:t>
      </w:r>
      <w:r>
        <w:rPr>
          <w:rFonts w:ascii="Helvetica" w:hAnsi="Helvetica" w:cs="Times New Roman" w:hint="eastAsia"/>
          <w:sz w:val="24"/>
          <w:szCs w:val="24"/>
        </w:rPr>
        <w:t xml:space="preserve"> </w:t>
      </w:r>
      <w:r w:rsidRPr="00801FFC">
        <w:rPr>
          <w:rFonts w:ascii="Helvetica" w:hAnsi="Helvetica" w:cs="Times New Roman"/>
          <w:sz w:val="24"/>
          <w:szCs w:val="24"/>
        </w:rPr>
        <w:t xml:space="preserve">(HAMD, MADRS), anxiety (HAMA) and anhedonia (DARS) </w:t>
      </w:r>
      <w:r>
        <w:rPr>
          <w:rFonts w:ascii="Helvetica" w:hAnsi="Helvetica" w:cs="Times New Roman"/>
          <w:sz w:val="24"/>
          <w:szCs w:val="24"/>
        </w:rPr>
        <w:t xml:space="preserve">improvements and quality-of-life and disability outcomes at 3, 6 months and 1 year. </w:t>
      </w:r>
      <w:r w:rsidRPr="008A3642">
        <w:rPr>
          <w:rFonts w:ascii="Helvetica" w:hAnsi="Helvetica" w:cs="Times New Roman"/>
          <w:sz w:val="24"/>
          <w:szCs w:val="24"/>
          <w:vertAlign w:val="superscript"/>
        </w:rPr>
        <w:t>+</w:t>
      </w:r>
      <w:r>
        <w:rPr>
          <w:rFonts w:ascii="Helvetica" w:hAnsi="Helvetica" w:cs="Times New Roman"/>
          <w:sz w:val="24"/>
          <w:szCs w:val="24"/>
        </w:rPr>
        <w:t xml:space="preserve">p </w:t>
      </w:r>
      <w:r w:rsidRPr="00801FFC">
        <w:rPr>
          <w:rFonts w:ascii="Helvetica" w:hAnsi="Helvetica" w:cs="Times New Roman"/>
          <w:sz w:val="24"/>
          <w:szCs w:val="24"/>
        </w:rPr>
        <w:t>&lt;</w:t>
      </w:r>
      <w:r>
        <w:rPr>
          <w:rFonts w:ascii="Helvetica" w:hAnsi="Helvetica" w:cs="Times New Roman"/>
          <w:sz w:val="24"/>
          <w:szCs w:val="24"/>
        </w:rPr>
        <w:t xml:space="preserve"> </w:t>
      </w:r>
      <w:r w:rsidRPr="00801FFC">
        <w:rPr>
          <w:rFonts w:ascii="Helvetica" w:hAnsi="Helvetica" w:cs="Times New Roman"/>
          <w:sz w:val="24"/>
          <w:szCs w:val="24"/>
        </w:rPr>
        <w:t xml:space="preserve">0.05, </w:t>
      </w:r>
      <w:r w:rsidRPr="008A3642">
        <w:rPr>
          <w:rFonts w:ascii="Helvetica" w:hAnsi="Helvetica" w:cs="Times New Roman"/>
          <w:sz w:val="24"/>
          <w:szCs w:val="24"/>
          <w:vertAlign w:val="superscript"/>
        </w:rPr>
        <w:t>++</w:t>
      </w:r>
      <w:r>
        <w:rPr>
          <w:rFonts w:ascii="Helvetica" w:hAnsi="Helvetica" w:cs="Times New Roman"/>
          <w:sz w:val="24"/>
          <w:szCs w:val="24"/>
        </w:rPr>
        <w:t xml:space="preserve">p </w:t>
      </w:r>
      <w:r w:rsidRPr="00801FFC">
        <w:rPr>
          <w:rFonts w:ascii="Helvetica" w:hAnsi="Helvetica" w:cs="Times New Roman"/>
          <w:sz w:val="24"/>
          <w:szCs w:val="24"/>
        </w:rPr>
        <w:t>&lt;</w:t>
      </w:r>
      <w:r>
        <w:rPr>
          <w:rFonts w:ascii="Helvetica" w:hAnsi="Helvetica" w:cs="Times New Roman"/>
          <w:sz w:val="24"/>
          <w:szCs w:val="24"/>
        </w:rPr>
        <w:t xml:space="preserve"> </w:t>
      </w:r>
      <w:r w:rsidRPr="00801FFC">
        <w:rPr>
          <w:rFonts w:ascii="Helvetica" w:hAnsi="Helvetica" w:cs="Times New Roman"/>
          <w:sz w:val="24"/>
          <w:szCs w:val="24"/>
        </w:rPr>
        <w:t>0.01</w:t>
      </w:r>
      <w:r>
        <w:rPr>
          <w:rFonts w:ascii="Helvetica" w:hAnsi="Helvetica" w:cs="Times New Roman"/>
          <w:sz w:val="24"/>
          <w:szCs w:val="24"/>
        </w:rPr>
        <w:t xml:space="preserve">, </w:t>
      </w:r>
      <w:r w:rsidRPr="008A3642">
        <w:rPr>
          <w:rFonts w:ascii="Helvetica" w:hAnsi="Helvetica" w:cs="Times New Roman"/>
          <w:sz w:val="24"/>
          <w:szCs w:val="24"/>
          <w:vertAlign w:val="superscript"/>
        </w:rPr>
        <w:t>+++</w:t>
      </w:r>
      <w:r>
        <w:rPr>
          <w:rFonts w:ascii="Helvetica" w:hAnsi="Helvetica" w:cs="Times New Roman"/>
          <w:sz w:val="24"/>
          <w:szCs w:val="24"/>
        </w:rPr>
        <w:t xml:space="preserve">p </w:t>
      </w:r>
      <w:r w:rsidRPr="00801FFC">
        <w:rPr>
          <w:rFonts w:ascii="Helvetica" w:hAnsi="Helvetica" w:cs="Times New Roman"/>
          <w:sz w:val="24"/>
          <w:szCs w:val="24"/>
        </w:rPr>
        <w:t>&lt;</w:t>
      </w:r>
      <w:r>
        <w:rPr>
          <w:rFonts w:ascii="Helvetica" w:hAnsi="Helvetica" w:cs="Times New Roman"/>
          <w:sz w:val="24"/>
          <w:szCs w:val="24"/>
        </w:rPr>
        <w:t xml:space="preserve"> </w:t>
      </w:r>
      <w:r w:rsidRPr="00801FFC">
        <w:rPr>
          <w:rFonts w:ascii="Helvetica" w:hAnsi="Helvetica" w:cs="Times New Roman"/>
          <w:sz w:val="24"/>
          <w:szCs w:val="24"/>
        </w:rPr>
        <w:t>0.0</w:t>
      </w:r>
      <w:r>
        <w:rPr>
          <w:rFonts w:ascii="Helvetica" w:hAnsi="Helvetica" w:cs="Times New Roman"/>
          <w:sz w:val="24"/>
          <w:szCs w:val="24"/>
        </w:rPr>
        <w:t>0</w:t>
      </w:r>
      <w:r w:rsidRPr="00801FFC">
        <w:rPr>
          <w:rFonts w:ascii="Helvetica" w:hAnsi="Helvetica" w:cs="Times New Roman"/>
          <w:sz w:val="24"/>
          <w:szCs w:val="24"/>
        </w:rPr>
        <w:t>1</w:t>
      </w:r>
      <w:r>
        <w:rPr>
          <w:rFonts w:ascii="Helvetica" w:hAnsi="Helvetica" w:cs="Times New Roman"/>
          <w:sz w:val="24"/>
          <w:szCs w:val="24"/>
        </w:rPr>
        <w:t xml:space="preserve">. </w:t>
      </w:r>
      <w:r w:rsidRPr="00801FFC">
        <w:rPr>
          <w:rFonts w:ascii="Helvetica" w:hAnsi="Helvetica" w:cs="Times New Roman"/>
          <w:b/>
          <w:bCs/>
          <w:sz w:val="24"/>
          <w:szCs w:val="24"/>
        </w:rPr>
        <w:t>a.</w:t>
      </w:r>
      <w:r>
        <w:rPr>
          <w:rFonts w:ascii="Helvetica" w:hAnsi="Helvetica" w:cs="Times New Roman"/>
          <w:b/>
          <w:bCs/>
          <w:sz w:val="24"/>
          <w:szCs w:val="24"/>
        </w:rPr>
        <w:t xml:space="preserve"> </w:t>
      </w:r>
      <w:r w:rsidRPr="00801FFC">
        <w:rPr>
          <w:rFonts w:ascii="Helvetica" w:hAnsi="Helvetica" w:cs="Times New Roman"/>
          <w:sz w:val="24"/>
          <w:szCs w:val="24"/>
        </w:rPr>
        <w:t>Linear regression prediction of 3-month</w:t>
      </w:r>
      <w:r>
        <w:rPr>
          <w:rFonts w:ascii="Helvetica" w:hAnsi="Helvetica" w:cs="Times New Roman"/>
          <w:sz w:val="24"/>
          <w:szCs w:val="24"/>
        </w:rPr>
        <w:t xml:space="preserve"> (n = 17)</w:t>
      </w:r>
      <w:r w:rsidRPr="00801FFC">
        <w:rPr>
          <w:rFonts w:ascii="Helvetica" w:hAnsi="Helvetica" w:cs="Times New Roman"/>
          <w:sz w:val="24"/>
          <w:szCs w:val="24"/>
        </w:rPr>
        <w:t>, 6-month</w:t>
      </w:r>
      <w:r>
        <w:rPr>
          <w:rFonts w:ascii="Helvetica" w:hAnsi="Helvetica" w:cs="Times New Roman"/>
          <w:sz w:val="24"/>
          <w:szCs w:val="24"/>
        </w:rPr>
        <w:t xml:space="preserve"> (n = 17)</w:t>
      </w:r>
      <w:r w:rsidRPr="00801FFC">
        <w:rPr>
          <w:rFonts w:ascii="Helvetica" w:hAnsi="Helvetica" w:cs="Times New Roman"/>
          <w:sz w:val="24"/>
          <w:szCs w:val="24"/>
        </w:rPr>
        <w:t xml:space="preserve"> and 1-year</w:t>
      </w:r>
      <w:r>
        <w:rPr>
          <w:rFonts w:ascii="Helvetica" w:hAnsi="Helvetica" w:cs="Times New Roman"/>
          <w:sz w:val="24"/>
          <w:szCs w:val="24"/>
        </w:rPr>
        <w:t xml:space="preserve"> (n = 15)</w:t>
      </w:r>
      <w:r w:rsidRPr="00801FFC">
        <w:rPr>
          <w:rFonts w:ascii="Helvetica" w:hAnsi="Helvetica" w:cs="Times New Roman"/>
          <w:sz w:val="24"/>
          <w:szCs w:val="24"/>
        </w:rPr>
        <w:t xml:space="preserve"> </w:t>
      </w:r>
      <w:r>
        <w:rPr>
          <w:rFonts w:ascii="Helvetica" w:hAnsi="Helvetica" w:cs="Times New Roman"/>
          <w:sz w:val="24"/>
          <w:szCs w:val="24"/>
        </w:rPr>
        <w:t xml:space="preserve">SDS </w:t>
      </w:r>
      <w:r w:rsidRPr="00801FFC">
        <w:rPr>
          <w:rFonts w:ascii="Helvetica" w:hAnsi="Helvetica" w:cs="Times New Roman"/>
          <w:sz w:val="24"/>
          <w:szCs w:val="24"/>
        </w:rPr>
        <w:t>improvements</w:t>
      </w:r>
      <w:r>
        <w:rPr>
          <w:rFonts w:ascii="Helvetica" w:hAnsi="Helvetica" w:cs="Times New Roman"/>
          <w:sz w:val="24"/>
          <w:szCs w:val="24"/>
        </w:rPr>
        <w:t xml:space="preserve"> </w:t>
      </w:r>
      <w:r w:rsidRPr="00801FFC">
        <w:rPr>
          <w:rFonts w:ascii="Helvetica" w:hAnsi="Helvetica" w:cs="Times New Roman"/>
          <w:sz w:val="24"/>
          <w:szCs w:val="24"/>
        </w:rPr>
        <w:t>by</w:t>
      </w:r>
      <w:r>
        <w:rPr>
          <w:rFonts w:ascii="Helvetica" w:hAnsi="Helvetica" w:cs="Times New Roman"/>
          <w:sz w:val="24"/>
          <w:szCs w:val="24"/>
        </w:rPr>
        <w:t xml:space="preserve"> negative emotional bias, </w:t>
      </w:r>
      <w:r w:rsidRPr="00801FFC">
        <w:rPr>
          <w:rFonts w:ascii="Helvetica" w:hAnsi="Helvetica" w:cs="Times New Roman"/>
          <w:sz w:val="24"/>
          <w:szCs w:val="24"/>
        </w:rPr>
        <w:t>BNST theta power and theta coherence between frontal EEG and BNST in the eye-</w:t>
      </w:r>
      <w:r>
        <w:rPr>
          <w:rFonts w:ascii="Helvetica" w:hAnsi="Helvetica" w:cs="Times New Roman"/>
          <w:sz w:val="24"/>
          <w:szCs w:val="24"/>
        </w:rPr>
        <w:t>closed</w:t>
      </w:r>
      <w:r w:rsidRPr="00801FFC">
        <w:rPr>
          <w:rFonts w:ascii="Helvetica" w:hAnsi="Helvetica" w:cs="Times New Roman"/>
          <w:sz w:val="24"/>
          <w:szCs w:val="24"/>
        </w:rPr>
        <w:t xml:space="preserve"> dataset. Shading represents 95% CI.</w:t>
      </w:r>
    </w:p>
    <w:sectPr w:rsidR="00755780" w:rsidRPr="00F279DA" w:rsidSect="00F279DA">
      <w:footerReference w:type="even" r:id="rId7"/>
      <w:footerReference w:type="default" r:id="rId8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829977789"/>
      <w:docPartObj>
        <w:docPartGallery w:val="Page Numbers (Bottom of Page)"/>
        <w:docPartUnique/>
      </w:docPartObj>
    </w:sdtPr>
    <w:sdtContent>
      <w:p w14:paraId="5C9C0C8F" w14:textId="77777777" w:rsidR="00000000" w:rsidRDefault="00000000" w:rsidP="0037340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99AB193" w14:textId="77777777" w:rsidR="00000000" w:rsidRDefault="00000000" w:rsidP="00F0728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455562163"/>
      <w:docPartObj>
        <w:docPartGallery w:val="Page Numbers (Bottom of Page)"/>
        <w:docPartUnique/>
      </w:docPartObj>
    </w:sdtPr>
    <w:sdtContent>
      <w:p w14:paraId="537D645B" w14:textId="77777777" w:rsidR="00000000" w:rsidRDefault="00000000" w:rsidP="0037340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C7FE3EF" w14:textId="77777777" w:rsidR="00000000" w:rsidRDefault="00000000" w:rsidP="00F07287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9DA"/>
    <w:rsid w:val="00304686"/>
    <w:rsid w:val="00331A6B"/>
    <w:rsid w:val="00755780"/>
    <w:rsid w:val="00857596"/>
    <w:rsid w:val="00F27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D8E03A"/>
  <w15:chartTrackingRefBased/>
  <w15:docId w15:val="{32596AB7-24DD-4943-BD44-DB5C12124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9DA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79DA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79DA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79DA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79DA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79DA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79DA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79DA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79DA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79DA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79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79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79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79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79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79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79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79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79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79D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279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79DA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279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79DA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279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79DA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279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79D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79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79DA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F279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279DA"/>
    <w:rPr>
      <w:rFonts w:eastAsiaTheme="minorEastAsia"/>
      <w:sz w:val="18"/>
      <w:szCs w:val="18"/>
      <w:lang w:eastAsia="zh-CN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F279DA"/>
  </w:style>
  <w:style w:type="character" w:styleId="LineNumber">
    <w:name w:val="line number"/>
    <w:basedOn w:val="DefaultParagraphFont"/>
    <w:uiPriority w:val="99"/>
    <w:semiHidden/>
    <w:unhideWhenUsed/>
    <w:rsid w:val="00F279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370</Words>
  <Characters>2109</Characters>
  <Application>Microsoft Office Word</Application>
  <DocSecurity>0</DocSecurity>
  <Lines>17</Lines>
  <Paragraphs>4</Paragraphs>
  <ScaleCrop>false</ScaleCrop>
  <Company>Springer Nature</Company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2024-10-09T08:31:00Z</dcterms:created>
  <dcterms:modified xsi:type="dcterms:W3CDTF">2024-10-09T08:31:00Z</dcterms:modified>
</cp:coreProperties>
</file>