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D08FA" w:rsidRDefault="005F4E0B">
      <w:pPr>
        <w:spacing w:before="0" w:after="160" w:line="259" w:lineRule="auto"/>
      </w:pPr>
      <w:r>
        <w:t>Supporting information for:</w:t>
      </w:r>
    </w:p>
    <w:p w14:paraId="00000002" w14:textId="77777777" w:rsidR="000D08FA" w:rsidRDefault="005F4E0B">
      <w:pPr>
        <w:jc w:val="left"/>
        <w:rPr>
          <w:i/>
        </w:rPr>
      </w:pPr>
      <w:r>
        <w:rPr>
          <w:sz w:val="48"/>
          <w:szCs w:val="48"/>
        </w:rPr>
        <w:t xml:space="preserve">Multichannel bioelectronic sensing using engineered </w:t>
      </w:r>
      <w:r>
        <w:rPr>
          <w:i/>
          <w:sz w:val="48"/>
          <w:szCs w:val="48"/>
        </w:rPr>
        <w:t>Escherichia coli</w:t>
      </w:r>
    </w:p>
    <w:p w14:paraId="00000003" w14:textId="09837A8D" w:rsidR="000D08FA" w:rsidRDefault="005F4E0B">
      <w:pPr>
        <w:jc w:val="left"/>
      </w:pPr>
      <w:r>
        <w:t>Xu Zhang</w:t>
      </w:r>
      <w:r>
        <w:rPr>
          <w:vertAlign w:val="superscript"/>
        </w:rPr>
        <w:t>1</w:t>
      </w:r>
      <w:r>
        <w:t>, Marimikel Charrier</w:t>
      </w:r>
      <w:r w:rsidR="000D492C" w:rsidRPr="000D492C">
        <w:rPr>
          <w:vertAlign w:val="superscript"/>
        </w:rPr>
        <w:t>1</w:t>
      </w:r>
      <w:r>
        <w:t>, Caroline M. Ajo-Franklin</w:t>
      </w:r>
      <w:r>
        <w:rPr>
          <w:vertAlign w:val="superscript"/>
        </w:rPr>
        <w:t>1-4*</w:t>
      </w:r>
    </w:p>
    <w:p w14:paraId="00000004" w14:textId="77777777" w:rsidR="000D08FA" w:rsidRDefault="005F4E0B">
      <w:pPr>
        <w:jc w:val="left"/>
      </w:pPr>
      <w:r>
        <w:t>Affiliations:</w:t>
      </w:r>
    </w:p>
    <w:p w14:paraId="00000005" w14:textId="77777777" w:rsidR="000D08FA" w:rsidRDefault="005F4E0B">
      <w:pPr>
        <w:jc w:val="left"/>
      </w:pPr>
      <w:r>
        <w:rPr>
          <w:vertAlign w:val="superscript"/>
        </w:rPr>
        <w:t>1</w:t>
      </w:r>
      <w:r>
        <w:t xml:space="preserve">Department of BioSciences, </w:t>
      </w:r>
      <w:r>
        <w:rPr>
          <w:vertAlign w:val="superscript"/>
        </w:rPr>
        <w:t>2</w:t>
      </w:r>
      <w:r>
        <w:t xml:space="preserve">Department of Bioengineering, </w:t>
      </w:r>
      <w:r>
        <w:rPr>
          <w:vertAlign w:val="superscript"/>
        </w:rPr>
        <w:t>3</w:t>
      </w:r>
      <w:r>
        <w:t xml:space="preserve">Department of Chemical and Biomolecular Engineering, and </w:t>
      </w:r>
      <w:r>
        <w:rPr>
          <w:vertAlign w:val="superscript"/>
        </w:rPr>
        <w:t>4</w:t>
      </w:r>
      <w:r>
        <w:t>Rice Synthetic Biology Institute, Rice University, 6100 Main Street, Houston, TX, 77005, United States of America</w:t>
      </w:r>
    </w:p>
    <w:p w14:paraId="00000006" w14:textId="77777777" w:rsidR="000D08FA" w:rsidRDefault="005F4E0B">
      <w:pPr>
        <w:jc w:val="left"/>
      </w:pPr>
      <w:r>
        <w:t>*Corresponding author</w:t>
      </w:r>
    </w:p>
    <w:p w14:paraId="00000007" w14:textId="77777777" w:rsidR="000D08FA" w:rsidRDefault="005F4E0B">
      <w:pPr>
        <w:jc w:val="left"/>
      </w:pPr>
      <w:bookmarkStart w:id="0" w:name="_heading=h.oc30ucwl5yi8" w:colFirst="0" w:colLast="0"/>
      <w:bookmarkEnd w:id="0"/>
      <w:r>
        <w:t>E-mail: cajo-franklin@rice.edu</w:t>
      </w:r>
      <w:r>
        <w:br w:type="page"/>
      </w:r>
    </w:p>
    <w:p w14:paraId="00000008" w14:textId="77777777" w:rsidR="000D08FA" w:rsidRDefault="005F4E0B">
      <w:pPr>
        <w:jc w:val="center"/>
      </w:pPr>
      <w:r>
        <w:rPr>
          <w:noProof/>
        </w:rPr>
        <w:lastRenderedPageBreak/>
        <w:drawing>
          <wp:inline distT="0" distB="0" distL="0" distR="0" wp14:anchorId="16EEFD96" wp14:editId="698318C4">
            <wp:extent cx="5640130" cy="2852002"/>
            <wp:effectExtent l="0" t="0" r="0" b="0"/>
            <wp:docPr id="197133282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8"/>
                    <a:srcRect/>
                    <a:stretch>
                      <a:fillRect/>
                    </a:stretch>
                  </pic:blipFill>
                  <pic:spPr>
                    <a:xfrm>
                      <a:off x="0" y="0"/>
                      <a:ext cx="5640130" cy="2852002"/>
                    </a:xfrm>
                    <a:prstGeom prst="rect">
                      <a:avLst/>
                    </a:prstGeom>
                    <a:ln/>
                  </pic:spPr>
                </pic:pic>
              </a:graphicData>
            </a:graphic>
          </wp:inline>
        </w:drawing>
      </w:r>
    </w:p>
    <w:p w14:paraId="00000009" w14:textId="77777777" w:rsidR="000D08FA" w:rsidRDefault="005F4E0B">
      <w:pPr>
        <w:spacing w:before="240" w:after="240"/>
      </w:pPr>
      <w:r>
        <w:rPr>
          <w:b/>
        </w:rPr>
        <w:t>Fig S1.</w:t>
      </w:r>
      <w:r>
        <w:t xml:space="preserve"> Schematic of the genetic circuits for EET pathways with different sensing systems. </w:t>
      </w:r>
      <w:r>
        <w:br w:type="page"/>
      </w:r>
    </w:p>
    <w:p w14:paraId="0000000A" w14:textId="77777777" w:rsidR="000D08FA" w:rsidRDefault="005F4E0B">
      <w:pPr>
        <w:spacing w:after="120"/>
        <w:rPr>
          <w:b/>
        </w:rPr>
      </w:pPr>
      <w:r>
        <w:rPr>
          <w:b/>
        </w:rPr>
        <w:lastRenderedPageBreak/>
        <w:t>Supplementary Table 1. All plasmids used in this study.</w:t>
      </w:r>
    </w:p>
    <w:p w14:paraId="0000000B" w14:textId="77777777" w:rsidR="000D08FA" w:rsidRDefault="005F4E0B">
      <w:pPr>
        <w:spacing w:after="120"/>
      </w:pPr>
      <w:r>
        <w:t>KanR: kanamycin resistance gene, CmR: chloramphenicol resistance gene, pMB01: origin of replication, p15A: origin of replication, pT7: T7 promoter. CymA: gene of interest, MtrCAB: extracellular electron transfer pathway, ccmABCDEFGH: cytochrome c maturation (Ccm) system, ribADEHC: flavin synthesis pathway.</w:t>
      </w:r>
    </w:p>
    <w:tbl>
      <w:tblPr>
        <w:tblStyle w:val="a1"/>
        <w:tblW w:w="9360" w:type="dxa"/>
        <w:tblBorders>
          <w:top w:val="nil"/>
          <w:left w:val="nil"/>
          <w:bottom w:val="nil"/>
          <w:right w:val="nil"/>
          <w:insideH w:val="nil"/>
          <w:insideV w:val="nil"/>
        </w:tblBorders>
        <w:tblLayout w:type="fixed"/>
        <w:tblLook w:val="0600" w:firstRow="0" w:lastRow="0" w:firstColumn="0" w:lastColumn="0" w:noHBand="1" w:noVBand="1"/>
      </w:tblPr>
      <w:tblGrid>
        <w:gridCol w:w="2262"/>
        <w:gridCol w:w="3490"/>
        <w:gridCol w:w="3608"/>
      </w:tblGrid>
      <w:tr w:rsidR="000D08FA" w14:paraId="7EB16D9B" w14:textId="77777777">
        <w:trPr>
          <w:trHeight w:val="570"/>
        </w:trPr>
        <w:tc>
          <w:tcPr>
            <w:tcW w:w="2262" w:type="dxa"/>
            <w:tcBorders>
              <w:top w:val="single" w:sz="6" w:space="0" w:color="000000"/>
              <w:left w:val="nil"/>
              <w:bottom w:val="single" w:sz="6" w:space="0" w:color="000000"/>
              <w:right w:val="nil"/>
            </w:tcBorders>
            <w:tcMar>
              <w:top w:w="0" w:type="dxa"/>
              <w:left w:w="100" w:type="dxa"/>
              <w:bottom w:w="0" w:type="dxa"/>
              <w:right w:w="100" w:type="dxa"/>
            </w:tcMar>
          </w:tcPr>
          <w:p w14:paraId="0000000C" w14:textId="77777777" w:rsidR="000D08FA" w:rsidRDefault="005F4E0B">
            <w:pPr>
              <w:spacing w:after="120"/>
              <w:rPr>
                <w:b/>
              </w:rPr>
            </w:pPr>
            <w:r>
              <w:rPr>
                <w:b/>
              </w:rPr>
              <w:t>Name</w:t>
            </w:r>
          </w:p>
        </w:tc>
        <w:tc>
          <w:tcPr>
            <w:tcW w:w="3490" w:type="dxa"/>
            <w:tcBorders>
              <w:top w:val="single" w:sz="6" w:space="0" w:color="000000"/>
              <w:left w:val="nil"/>
              <w:bottom w:val="single" w:sz="6" w:space="0" w:color="000000"/>
              <w:right w:val="nil"/>
            </w:tcBorders>
            <w:tcMar>
              <w:top w:w="0" w:type="dxa"/>
              <w:left w:w="100" w:type="dxa"/>
              <w:bottom w:w="0" w:type="dxa"/>
              <w:right w:w="100" w:type="dxa"/>
            </w:tcMar>
          </w:tcPr>
          <w:p w14:paraId="0000000D" w14:textId="77777777" w:rsidR="000D08FA" w:rsidRDefault="005F4E0B">
            <w:pPr>
              <w:spacing w:after="120"/>
              <w:rPr>
                <w:b/>
              </w:rPr>
            </w:pPr>
            <w:r>
              <w:rPr>
                <w:b/>
              </w:rPr>
              <w:t>Description</w:t>
            </w:r>
          </w:p>
        </w:tc>
        <w:tc>
          <w:tcPr>
            <w:tcW w:w="3608" w:type="dxa"/>
            <w:tcBorders>
              <w:top w:val="single" w:sz="6" w:space="0" w:color="000000"/>
              <w:left w:val="nil"/>
              <w:bottom w:val="single" w:sz="6" w:space="0" w:color="000000"/>
              <w:right w:val="nil"/>
            </w:tcBorders>
            <w:tcMar>
              <w:top w:w="0" w:type="dxa"/>
              <w:left w:w="100" w:type="dxa"/>
              <w:bottom w:w="0" w:type="dxa"/>
              <w:right w:w="100" w:type="dxa"/>
            </w:tcMar>
          </w:tcPr>
          <w:p w14:paraId="0000000E" w14:textId="77777777" w:rsidR="000D08FA" w:rsidRDefault="005F4E0B">
            <w:pPr>
              <w:spacing w:after="120"/>
              <w:rPr>
                <w:b/>
              </w:rPr>
            </w:pPr>
            <w:r>
              <w:rPr>
                <w:b/>
              </w:rPr>
              <w:t>Plasmid details</w:t>
            </w:r>
          </w:p>
        </w:tc>
      </w:tr>
      <w:tr w:rsidR="000D08FA" w14:paraId="77C6DEE6" w14:textId="77777777">
        <w:trPr>
          <w:trHeight w:val="795"/>
        </w:trPr>
        <w:tc>
          <w:tcPr>
            <w:tcW w:w="2262" w:type="dxa"/>
            <w:tcBorders>
              <w:top w:val="nil"/>
              <w:left w:val="nil"/>
              <w:bottom w:val="nil"/>
              <w:right w:val="nil"/>
            </w:tcBorders>
            <w:tcMar>
              <w:top w:w="0" w:type="dxa"/>
              <w:left w:w="100" w:type="dxa"/>
              <w:bottom w:w="0" w:type="dxa"/>
              <w:right w:w="100" w:type="dxa"/>
            </w:tcMar>
          </w:tcPr>
          <w:p w14:paraId="0000000F" w14:textId="77777777" w:rsidR="000D08FA" w:rsidRDefault="005F4E0B">
            <w:pPr>
              <w:spacing w:after="120"/>
              <w:rPr>
                <w:b/>
              </w:rPr>
            </w:pPr>
            <w:r>
              <w:rPr>
                <w:b/>
              </w:rPr>
              <w:t>pMB01</w:t>
            </w:r>
          </w:p>
        </w:tc>
        <w:tc>
          <w:tcPr>
            <w:tcW w:w="3490" w:type="dxa"/>
            <w:tcBorders>
              <w:top w:val="nil"/>
              <w:left w:val="nil"/>
              <w:bottom w:val="nil"/>
              <w:right w:val="nil"/>
            </w:tcBorders>
            <w:tcMar>
              <w:top w:w="0" w:type="dxa"/>
              <w:left w:w="100" w:type="dxa"/>
              <w:bottom w:w="0" w:type="dxa"/>
              <w:right w:w="100" w:type="dxa"/>
            </w:tcMar>
          </w:tcPr>
          <w:p w14:paraId="00000010" w14:textId="77777777" w:rsidR="000D08FA" w:rsidRDefault="005F4E0B">
            <w:pPr>
              <w:spacing w:after="120"/>
              <w:jc w:val="left"/>
            </w:pPr>
            <w:r>
              <w:t>CymA expressing under IPTG regulation</w:t>
            </w:r>
          </w:p>
        </w:tc>
        <w:tc>
          <w:tcPr>
            <w:tcW w:w="3608" w:type="dxa"/>
            <w:tcBorders>
              <w:top w:val="nil"/>
              <w:left w:val="nil"/>
              <w:bottom w:val="nil"/>
              <w:right w:val="nil"/>
            </w:tcBorders>
            <w:tcMar>
              <w:top w:w="0" w:type="dxa"/>
              <w:left w:w="100" w:type="dxa"/>
              <w:bottom w:w="0" w:type="dxa"/>
              <w:right w:w="100" w:type="dxa"/>
            </w:tcMar>
          </w:tcPr>
          <w:p w14:paraId="00000011" w14:textId="77777777" w:rsidR="000D08FA" w:rsidRDefault="005F4E0B">
            <w:pPr>
              <w:spacing w:after="120"/>
            </w:pPr>
            <w:r>
              <w:t>lacI-pT7-CymA-pFAB656-MtrCAB-KanR-pMB01</w:t>
            </w:r>
          </w:p>
        </w:tc>
      </w:tr>
      <w:tr w:rsidR="000D08FA" w14:paraId="236206AE" w14:textId="77777777">
        <w:trPr>
          <w:trHeight w:val="780"/>
        </w:trPr>
        <w:tc>
          <w:tcPr>
            <w:tcW w:w="2262" w:type="dxa"/>
            <w:tcBorders>
              <w:top w:val="nil"/>
              <w:left w:val="nil"/>
              <w:bottom w:val="nil"/>
              <w:right w:val="nil"/>
            </w:tcBorders>
            <w:tcMar>
              <w:top w:w="0" w:type="dxa"/>
              <w:left w:w="100" w:type="dxa"/>
              <w:bottom w:w="0" w:type="dxa"/>
              <w:right w:w="100" w:type="dxa"/>
            </w:tcMar>
          </w:tcPr>
          <w:p w14:paraId="00000012" w14:textId="77777777" w:rsidR="000D08FA" w:rsidRDefault="005F4E0B">
            <w:pPr>
              <w:spacing w:after="120"/>
              <w:rPr>
                <w:b/>
              </w:rPr>
            </w:pPr>
            <w:r>
              <w:rPr>
                <w:b/>
              </w:rPr>
              <w:t>p15A01</w:t>
            </w:r>
          </w:p>
        </w:tc>
        <w:tc>
          <w:tcPr>
            <w:tcW w:w="3490" w:type="dxa"/>
            <w:tcBorders>
              <w:top w:val="nil"/>
              <w:left w:val="nil"/>
              <w:bottom w:val="nil"/>
              <w:right w:val="nil"/>
            </w:tcBorders>
            <w:tcMar>
              <w:top w:w="0" w:type="dxa"/>
              <w:left w:w="100" w:type="dxa"/>
              <w:bottom w:w="0" w:type="dxa"/>
              <w:right w:w="100" w:type="dxa"/>
            </w:tcMar>
          </w:tcPr>
          <w:p w14:paraId="00000013" w14:textId="77777777" w:rsidR="000D08FA" w:rsidRDefault="005F4E0B">
            <w:pPr>
              <w:spacing w:after="120"/>
              <w:jc w:val="left"/>
            </w:pPr>
            <w:r>
              <w:t>Flavin synthesis expressing plasmid under aTc regulation</w:t>
            </w:r>
          </w:p>
        </w:tc>
        <w:tc>
          <w:tcPr>
            <w:tcW w:w="3608" w:type="dxa"/>
            <w:tcBorders>
              <w:top w:val="nil"/>
              <w:left w:val="nil"/>
              <w:bottom w:val="nil"/>
              <w:right w:val="nil"/>
            </w:tcBorders>
            <w:tcMar>
              <w:top w:w="0" w:type="dxa"/>
              <w:left w:w="100" w:type="dxa"/>
              <w:bottom w:w="0" w:type="dxa"/>
              <w:right w:w="100" w:type="dxa"/>
            </w:tcMar>
          </w:tcPr>
          <w:p w14:paraId="00000014" w14:textId="77777777" w:rsidR="000D08FA" w:rsidRDefault="005F4E0B">
            <w:pPr>
              <w:spacing w:after="120"/>
            </w:pPr>
            <w:r>
              <w:t>tetR-pLtet01-ribADEHC-pM0640-ccmABCDEFGH-CmR-p15A</w:t>
            </w:r>
          </w:p>
        </w:tc>
      </w:tr>
      <w:tr w:rsidR="000D08FA" w14:paraId="02A7150F" w14:textId="77777777">
        <w:trPr>
          <w:trHeight w:val="780"/>
        </w:trPr>
        <w:tc>
          <w:tcPr>
            <w:tcW w:w="2262" w:type="dxa"/>
            <w:tcBorders>
              <w:top w:val="nil"/>
              <w:left w:val="nil"/>
              <w:bottom w:val="nil"/>
              <w:right w:val="nil"/>
            </w:tcBorders>
            <w:tcMar>
              <w:top w:w="0" w:type="dxa"/>
              <w:left w:w="100" w:type="dxa"/>
              <w:bottom w:w="0" w:type="dxa"/>
              <w:right w:w="100" w:type="dxa"/>
            </w:tcMar>
          </w:tcPr>
          <w:p w14:paraId="00000015" w14:textId="77777777" w:rsidR="000D08FA" w:rsidRDefault="005F4E0B">
            <w:pPr>
              <w:spacing w:after="120"/>
              <w:rPr>
                <w:b/>
              </w:rPr>
            </w:pPr>
            <w:r>
              <w:rPr>
                <w:b/>
              </w:rPr>
              <w:t>pMB07</w:t>
            </w:r>
          </w:p>
        </w:tc>
        <w:tc>
          <w:tcPr>
            <w:tcW w:w="3490" w:type="dxa"/>
            <w:tcBorders>
              <w:top w:val="nil"/>
              <w:left w:val="nil"/>
              <w:bottom w:val="nil"/>
              <w:right w:val="nil"/>
            </w:tcBorders>
            <w:tcMar>
              <w:top w:w="0" w:type="dxa"/>
              <w:left w:w="100" w:type="dxa"/>
              <w:bottom w:w="0" w:type="dxa"/>
              <w:right w:w="100" w:type="dxa"/>
            </w:tcMar>
          </w:tcPr>
          <w:p w14:paraId="00000016" w14:textId="77777777" w:rsidR="000D08FA" w:rsidRDefault="005F4E0B">
            <w:pPr>
              <w:spacing w:after="120"/>
              <w:jc w:val="left"/>
            </w:pPr>
            <w:r>
              <w:t>CymA expressing under As regulation</w:t>
            </w:r>
          </w:p>
        </w:tc>
        <w:tc>
          <w:tcPr>
            <w:tcW w:w="3608" w:type="dxa"/>
            <w:tcBorders>
              <w:top w:val="nil"/>
              <w:left w:val="nil"/>
              <w:bottom w:val="nil"/>
              <w:right w:val="nil"/>
            </w:tcBorders>
            <w:tcMar>
              <w:top w:w="0" w:type="dxa"/>
              <w:left w:w="100" w:type="dxa"/>
              <w:bottom w:w="0" w:type="dxa"/>
              <w:right w:w="100" w:type="dxa"/>
            </w:tcMar>
          </w:tcPr>
          <w:p w14:paraId="00000017" w14:textId="77777777" w:rsidR="000D08FA" w:rsidRDefault="005F4E0B">
            <w:pPr>
              <w:spacing w:after="120"/>
            </w:pPr>
            <w:r>
              <w:t>ArsR-ParsD-ABS-8-CymA-pFAB656-MtrCAB- KanR-pMB01</w:t>
            </w:r>
          </w:p>
        </w:tc>
      </w:tr>
      <w:tr w:rsidR="000D08FA" w14:paraId="5EDF9DBD" w14:textId="77777777">
        <w:trPr>
          <w:trHeight w:val="795"/>
        </w:trPr>
        <w:tc>
          <w:tcPr>
            <w:tcW w:w="2262" w:type="dxa"/>
            <w:tcBorders>
              <w:top w:val="nil"/>
              <w:left w:val="nil"/>
              <w:bottom w:val="single" w:sz="4" w:space="0" w:color="000000"/>
              <w:right w:val="nil"/>
            </w:tcBorders>
            <w:tcMar>
              <w:top w:w="0" w:type="dxa"/>
              <w:left w:w="100" w:type="dxa"/>
              <w:bottom w:w="0" w:type="dxa"/>
              <w:right w:w="100" w:type="dxa"/>
            </w:tcMar>
          </w:tcPr>
          <w:p w14:paraId="00000018" w14:textId="77777777" w:rsidR="000D08FA" w:rsidRDefault="000D08FA">
            <w:pPr>
              <w:spacing w:after="120"/>
              <w:rPr>
                <w:b/>
              </w:rPr>
            </w:pPr>
          </w:p>
        </w:tc>
        <w:tc>
          <w:tcPr>
            <w:tcW w:w="3490" w:type="dxa"/>
            <w:tcBorders>
              <w:top w:val="nil"/>
              <w:left w:val="nil"/>
              <w:bottom w:val="single" w:sz="4" w:space="0" w:color="000000"/>
              <w:right w:val="nil"/>
            </w:tcBorders>
            <w:tcMar>
              <w:top w:w="0" w:type="dxa"/>
              <w:left w:w="100" w:type="dxa"/>
              <w:bottom w:w="0" w:type="dxa"/>
              <w:right w:w="100" w:type="dxa"/>
            </w:tcMar>
          </w:tcPr>
          <w:p w14:paraId="00000019" w14:textId="77777777" w:rsidR="000D08FA" w:rsidRDefault="005F4E0B">
            <w:pPr>
              <w:spacing w:after="120"/>
              <w:jc w:val="left"/>
            </w:pPr>
            <w:r>
              <w:t>Flavin synthesis expressing plasmid under Cd regulation</w:t>
            </w:r>
          </w:p>
        </w:tc>
        <w:tc>
          <w:tcPr>
            <w:tcW w:w="3608" w:type="dxa"/>
            <w:tcBorders>
              <w:top w:val="nil"/>
              <w:left w:val="nil"/>
              <w:bottom w:val="single" w:sz="4" w:space="0" w:color="000000"/>
              <w:right w:val="nil"/>
            </w:tcBorders>
            <w:tcMar>
              <w:top w:w="0" w:type="dxa"/>
              <w:left w:w="100" w:type="dxa"/>
              <w:bottom w:w="0" w:type="dxa"/>
              <w:right w:w="100" w:type="dxa"/>
            </w:tcMar>
          </w:tcPr>
          <w:p w14:paraId="0000001A" w14:textId="77777777" w:rsidR="000D08FA" w:rsidRDefault="005F4E0B">
            <w:pPr>
              <w:spacing w:after="120"/>
            </w:pPr>
            <w:r>
              <w:t>CadC-pcadC-ribADEHC-pM0640-ccmABCDEFGH-CmR-p15A</w:t>
            </w:r>
          </w:p>
        </w:tc>
      </w:tr>
    </w:tbl>
    <w:p w14:paraId="0000001B" w14:textId="77777777" w:rsidR="000D08FA" w:rsidRDefault="005F4E0B">
      <w:pPr>
        <w:spacing w:line="240" w:lineRule="auto"/>
      </w:pPr>
      <w:r>
        <w:br w:type="page"/>
      </w:r>
    </w:p>
    <w:p w14:paraId="0000001C" w14:textId="77777777" w:rsidR="000D08FA" w:rsidRDefault="005F4E0B">
      <w:pPr>
        <w:spacing w:after="120"/>
        <w:rPr>
          <w:b/>
        </w:rPr>
      </w:pPr>
      <w:r>
        <w:rPr>
          <w:b/>
        </w:rPr>
        <w:lastRenderedPageBreak/>
        <w:t>Supplementary Table 1. Main primers to assemble plasmids used in this study.</w:t>
      </w:r>
    </w:p>
    <w:tbl>
      <w:tblPr>
        <w:tblStyle w:val="a2"/>
        <w:tblW w:w="9355" w:type="dxa"/>
        <w:tblBorders>
          <w:top w:val="nil"/>
          <w:left w:val="nil"/>
          <w:bottom w:val="nil"/>
          <w:right w:val="nil"/>
          <w:insideH w:val="nil"/>
          <w:insideV w:val="nil"/>
        </w:tblBorders>
        <w:tblLayout w:type="fixed"/>
        <w:tblLook w:val="0600" w:firstRow="0" w:lastRow="0" w:firstColumn="0" w:lastColumn="0" w:noHBand="1" w:noVBand="1"/>
      </w:tblPr>
      <w:tblGrid>
        <w:gridCol w:w="2065"/>
        <w:gridCol w:w="5130"/>
        <w:gridCol w:w="2160"/>
      </w:tblGrid>
      <w:tr w:rsidR="000D08FA" w14:paraId="43B34BD5" w14:textId="77777777">
        <w:trPr>
          <w:trHeight w:val="432"/>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1D" w14:textId="77777777" w:rsidR="000D08FA" w:rsidRDefault="005F4E0B">
            <w:pPr>
              <w:spacing w:after="120"/>
              <w:jc w:val="left"/>
            </w:pPr>
            <w:r>
              <w:t>pX25</w:t>
            </w:r>
          </w:p>
        </w:tc>
        <w:tc>
          <w:tcPr>
            <w:tcW w:w="5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1E" w14:textId="77777777" w:rsidR="000D08FA" w:rsidRDefault="005F4E0B">
            <w:pPr>
              <w:spacing w:after="120"/>
            </w:pPr>
            <w:r>
              <w:t>ttGAAGACttTTCCTGAAAGTATattgcgctcctgaGCG</w:t>
            </w:r>
          </w:p>
        </w:tc>
        <w:tc>
          <w:tcPr>
            <w:tcW w:w="2160" w:type="dxa"/>
            <w:vMerge w:val="restart"/>
            <w:tcBorders>
              <w:top w:val="single" w:sz="4" w:space="0" w:color="000000"/>
              <w:left w:val="single" w:sz="4" w:space="0" w:color="000000"/>
              <w:right w:val="single" w:sz="4" w:space="0" w:color="000000"/>
            </w:tcBorders>
          </w:tcPr>
          <w:p w14:paraId="0000001F" w14:textId="77777777" w:rsidR="000D08FA" w:rsidRDefault="005F4E0B">
            <w:pPr>
              <w:spacing w:after="120"/>
            </w:pPr>
            <w:r>
              <w:t>Golden Gate Assemble ParsD-ABS-8 with Mtr Plasmid</w:t>
            </w:r>
          </w:p>
        </w:tc>
      </w:tr>
      <w:tr w:rsidR="000D08FA" w14:paraId="5070F1A3" w14:textId="77777777">
        <w:trPr>
          <w:trHeight w:val="432"/>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0" w14:textId="77777777" w:rsidR="000D08FA" w:rsidRDefault="005F4E0B">
            <w:pPr>
              <w:spacing w:after="120"/>
              <w:jc w:val="left"/>
            </w:pPr>
            <w:r>
              <w:t>pX23.1</w:t>
            </w:r>
          </w:p>
        </w:tc>
        <w:tc>
          <w:tcPr>
            <w:tcW w:w="5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1" w14:textId="77777777" w:rsidR="000D08FA" w:rsidRDefault="005F4E0B">
            <w:pPr>
              <w:spacing w:after="120"/>
            </w:pPr>
            <w:r>
              <w:t>atGAAGACaatagcacttacacattcgttaagtcatatatg</w:t>
            </w:r>
          </w:p>
        </w:tc>
        <w:tc>
          <w:tcPr>
            <w:tcW w:w="2160" w:type="dxa"/>
            <w:vMerge/>
            <w:tcBorders>
              <w:top w:val="single" w:sz="4" w:space="0" w:color="000000"/>
              <w:left w:val="single" w:sz="4" w:space="0" w:color="000000"/>
              <w:right w:val="single" w:sz="4" w:space="0" w:color="000000"/>
            </w:tcBorders>
          </w:tcPr>
          <w:p w14:paraId="00000022" w14:textId="77777777" w:rsidR="000D08FA" w:rsidRDefault="000D08FA">
            <w:pPr>
              <w:widowControl w:val="0"/>
              <w:pBdr>
                <w:top w:val="nil"/>
                <w:left w:val="nil"/>
                <w:bottom w:val="nil"/>
                <w:right w:val="nil"/>
                <w:between w:val="nil"/>
              </w:pBdr>
              <w:spacing w:before="0" w:line="276" w:lineRule="auto"/>
              <w:jc w:val="left"/>
            </w:pPr>
          </w:p>
        </w:tc>
      </w:tr>
      <w:tr w:rsidR="000D08FA" w14:paraId="17F2CA17" w14:textId="77777777">
        <w:trPr>
          <w:trHeight w:val="432"/>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3" w14:textId="77777777" w:rsidR="000D08FA" w:rsidRDefault="005F4E0B">
            <w:pPr>
              <w:spacing w:after="120"/>
              <w:jc w:val="left"/>
            </w:pPr>
            <w:r>
              <w:t>pX22</w:t>
            </w:r>
          </w:p>
        </w:tc>
        <w:tc>
          <w:tcPr>
            <w:tcW w:w="5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4" w14:textId="77777777" w:rsidR="000D08FA" w:rsidRDefault="005F4E0B">
            <w:pPr>
              <w:spacing w:after="120"/>
            </w:pPr>
            <w:r>
              <w:t>ttGAAGACttgctatatcgccgacatcaccga</w:t>
            </w:r>
          </w:p>
        </w:tc>
        <w:tc>
          <w:tcPr>
            <w:tcW w:w="2160" w:type="dxa"/>
            <w:vMerge/>
            <w:tcBorders>
              <w:top w:val="single" w:sz="4" w:space="0" w:color="000000"/>
              <w:left w:val="single" w:sz="4" w:space="0" w:color="000000"/>
              <w:right w:val="single" w:sz="4" w:space="0" w:color="000000"/>
            </w:tcBorders>
          </w:tcPr>
          <w:p w14:paraId="00000025" w14:textId="77777777" w:rsidR="000D08FA" w:rsidRDefault="000D08FA">
            <w:pPr>
              <w:widowControl w:val="0"/>
              <w:pBdr>
                <w:top w:val="nil"/>
                <w:left w:val="nil"/>
                <w:bottom w:val="nil"/>
                <w:right w:val="nil"/>
                <w:between w:val="nil"/>
              </w:pBdr>
              <w:spacing w:before="0" w:line="276" w:lineRule="auto"/>
              <w:jc w:val="left"/>
            </w:pPr>
          </w:p>
        </w:tc>
      </w:tr>
      <w:tr w:rsidR="000D08FA" w14:paraId="583F9FF5" w14:textId="77777777">
        <w:trPr>
          <w:trHeight w:val="432"/>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6" w14:textId="77777777" w:rsidR="000D08FA" w:rsidRDefault="005F4E0B">
            <w:pPr>
              <w:spacing w:after="120"/>
              <w:jc w:val="left"/>
            </w:pPr>
            <w:r>
              <w:t>GG-cymA_REV</w:t>
            </w:r>
          </w:p>
        </w:tc>
        <w:tc>
          <w:tcPr>
            <w:tcW w:w="5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7" w14:textId="77777777" w:rsidR="000D08FA" w:rsidRDefault="005F4E0B">
            <w:pPr>
              <w:spacing w:after="120"/>
            </w:pPr>
            <w:r>
              <w:t>ttGAAGACttagtttaaatttcattttctcgtctcc</w:t>
            </w:r>
          </w:p>
        </w:tc>
        <w:tc>
          <w:tcPr>
            <w:tcW w:w="2160" w:type="dxa"/>
            <w:vMerge/>
            <w:tcBorders>
              <w:top w:val="single" w:sz="4" w:space="0" w:color="000000"/>
              <w:left w:val="single" w:sz="4" w:space="0" w:color="000000"/>
              <w:right w:val="single" w:sz="4" w:space="0" w:color="000000"/>
            </w:tcBorders>
          </w:tcPr>
          <w:p w14:paraId="00000028" w14:textId="77777777" w:rsidR="000D08FA" w:rsidRDefault="000D08FA">
            <w:pPr>
              <w:widowControl w:val="0"/>
              <w:pBdr>
                <w:top w:val="nil"/>
                <w:left w:val="nil"/>
                <w:bottom w:val="nil"/>
                <w:right w:val="nil"/>
                <w:between w:val="nil"/>
              </w:pBdr>
              <w:spacing w:before="0" w:line="276" w:lineRule="auto"/>
              <w:jc w:val="left"/>
            </w:pPr>
          </w:p>
        </w:tc>
      </w:tr>
      <w:tr w:rsidR="000D08FA" w14:paraId="1BE85E69" w14:textId="77777777">
        <w:trPr>
          <w:trHeight w:val="432"/>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9" w14:textId="77777777" w:rsidR="000D08FA" w:rsidRDefault="005F4E0B">
            <w:pPr>
              <w:spacing w:after="120"/>
              <w:jc w:val="left"/>
            </w:pPr>
            <w:r>
              <w:t>GG_mtrB_FWD</w:t>
            </w:r>
          </w:p>
        </w:tc>
        <w:tc>
          <w:tcPr>
            <w:tcW w:w="5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A" w14:textId="77777777" w:rsidR="000D08FA" w:rsidRDefault="005F4E0B">
            <w:pPr>
              <w:spacing w:after="120"/>
            </w:pPr>
            <w:r>
              <w:t>atGAAGACaaaactcaatttgatcactctagcg</w:t>
            </w:r>
          </w:p>
        </w:tc>
        <w:tc>
          <w:tcPr>
            <w:tcW w:w="2160" w:type="dxa"/>
            <w:vMerge/>
            <w:tcBorders>
              <w:top w:val="single" w:sz="4" w:space="0" w:color="000000"/>
              <w:left w:val="single" w:sz="4" w:space="0" w:color="000000"/>
              <w:right w:val="single" w:sz="4" w:space="0" w:color="000000"/>
            </w:tcBorders>
          </w:tcPr>
          <w:p w14:paraId="0000002B" w14:textId="77777777" w:rsidR="000D08FA" w:rsidRDefault="000D08FA">
            <w:pPr>
              <w:widowControl w:val="0"/>
              <w:pBdr>
                <w:top w:val="nil"/>
                <w:left w:val="nil"/>
                <w:bottom w:val="nil"/>
                <w:right w:val="nil"/>
                <w:between w:val="nil"/>
              </w:pBdr>
              <w:spacing w:before="0" w:line="276" w:lineRule="auto"/>
              <w:jc w:val="left"/>
            </w:pPr>
          </w:p>
        </w:tc>
      </w:tr>
      <w:tr w:rsidR="000D08FA" w14:paraId="3C7AA4E8" w14:textId="77777777">
        <w:trPr>
          <w:trHeight w:val="432"/>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C" w14:textId="77777777" w:rsidR="000D08FA" w:rsidRDefault="005F4E0B">
            <w:pPr>
              <w:spacing w:after="120"/>
              <w:jc w:val="left"/>
            </w:pPr>
            <w:r>
              <w:t>GG_cymA_FWD</w:t>
            </w:r>
          </w:p>
        </w:tc>
        <w:tc>
          <w:tcPr>
            <w:tcW w:w="5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D" w14:textId="77777777" w:rsidR="000D08FA" w:rsidRDefault="005F4E0B">
            <w:pPr>
              <w:spacing w:after="120"/>
            </w:pPr>
            <w:r>
              <w:t>atGAAGACaaGGAAAATTTTTatgaactggcgt</w:t>
            </w:r>
          </w:p>
        </w:tc>
        <w:tc>
          <w:tcPr>
            <w:tcW w:w="2160" w:type="dxa"/>
            <w:vMerge/>
            <w:tcBorders>
              <w:top w:val="single" w:sz="4" w:space="0" w:color="000000"/>
              <w:left w:val="single" w:sz="4" w:space="0" w:color="000000"/>
              <w:right w:val="single" w:sz="4" w:space="0" w:color="000000"/>
            </w:tcBorders>
          </w:tcPr>
          <w:p w14:paraId="0000002E" w14:textId="77777777" w:rsidR="000D08FA" w:rsidRDefault="000D08FA">
            <w:pPr>
              <w:widowControl w:val="0"/>
              <w:pBdr>
                <w:top w:val="nil"/>
                <w:left w:val="nil"/>
                <w:bottom w:val="nil"/>
                <w:right w:val="nil"/>
                <w:between w:val="nil"/>
              </w:pBdr>
              <w:spacing w:before="0" w:line="276" w:lineRule="auto"/>
              <w:jc w:val="left"/>
            </w:pPr>
          </w:p>
        </w:tc>
      </w:tr>
      <w:tr w:rsidR="000D08FA" w14:paraId="48152C0D" w14:textId="77777777" w:rsidTr="00FF6611">
        <w:trPr>
          <w:trHeight w:val="432"/>
        </w:trPr>
        <w:tc>
          <w:tcPr>
            <w:tcW w:w="206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2F" w14:textId="77777777" w:rsidR="000D08FA" w:rsidRDefault="005F4E0B">
            <w:pPr>
              <w:spacing w:after="120"/>
              <w:jc w:val="left"/>
            </w:pPr>
            <w:r>
              <w:t>PcadR_RF_FWD</w:t>
            </w:r>
          </w:p>
        </w:tc>
        <w:tc>
          <w:tcPr>
            <w:tcW w:w="5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0000030" w14:textId="77777777" w:rsidR="000D08FA" w:rsidRDefault="005F4E0B">
            <w:pPr>
              <w:spacing w:after="120"/>
            </w:pPr>
            <w:r>
              <w:t>CAAGAAACACGGGAGAATTCG</w:t>
            </w:r>
          </w:p>
        </w:tc>
        <w:tc>
          <w:tcPr>
            <w:tcW w:w="2160" w:type="dxa"/>
            <w:vMerge w:val="restart"/>
            <w:tcBorders>
              <w:top w:val="single" w:sz="4" w:space="0" w:color="000000"/>
              <w:left w:val="single" w:sz="4" w:space="0" w:color="000000"/>
              <w:bottom w:val="single" w:sz="4" w:space="0" w:color="000000"/>
              <w:right w:val="single" w:sz="4" w:space="0" w:color="000000"/>
            </w:tcBorders>
          </w:tcPr>
          <w:p w14:paraId="00000031" w14:textId="4FB9CD1E" w:rsidR="000D08FA" w:rsidRDefault="005F4E0B">
            <w:pPr>
              <w:spacing w:after="120"/>
            </w:pPr>
            <w:r>
              <w:t xml:space="preserve">Gibson Assemble </w:t>
            </w:r>
            <w:r w:rsidR="00D73333">
              <w:t>C</w:t>
            </w:r>
            <w:r>
              <w:t>adC-</w:t>
            </w:r>
            <w:r w:rsidR="00D73333">
              <w:t>C</w:t>
            </w:r>
            <w:r>
              <w:t>adCp onto RF plasmid</w:t>
            </w:r>
          </w:p>
        </w:tc>
      </w:tr>
      <w:tr w:rsidR="000D08FA" w14:paraId="6F47CB68" w14:textId="77777777" w:rsidTr="00FF6611">
        <w:trPr>
          <w:trHeight w:val="432"/>
        </w:trPr>
        <w:tc>
          <w:tcPr>
            <w:tcW w:w="2065" w:type="dxa"/>
            <w:tcBorders>
              <w:top w:val="single" w:sz="4" w:space="0" w:color="000000"/>
              <w:left w:val="single" w:sz="4" w:space="0" w:color="000000"/>
              <w:bottom w:val="single" w:sz="4" w:space="0" w:color="auto"/>
              <w:right w:val="single" w:sz="4" w:space="0" w:color="000000"/>
            </w:tcBorders>
            <w:shd w:val="clear" w:color="auto" w:fill="auto"/>
            <w:tcMar>
              <w:top w:w="0" w:type="dxa"/>
              <w:left w:w="100" w:type="dxa"/>
              <w:bottom w:w="0" w:type="dxa"/>
              <w:right w:w="100" w:type="dxa"/>
            </w:tcMar>
          </w:tcPr>
          <w:p w14:paraId="00000032" w14:textId="77777777" w:rsidR="000D08FA" w:rsidRDefault="005F4E0B">
            <w:pPr>
              <w:spacing w:after="120"/>
              <w:jc w:val="left"/>
            </w:pPr>
            <w:r>
              <w:t>PcadR_RF _REV</w:t>
            </w:r>
          </w:p>
        </w:tc>
        <w:tc>
          <w:tcPr>
            <w:tcW w:w="5130" w:type="dxa"/>
            <w:tcBorders>
              <w:top w:val="single" w:sz="4" w:space="0" w:color="000000"/>
              <w:left w:val="single" w:sz="4" w:space="0" w:color="000000"/>
              <w:bottom w:val="single" w:sz="4" w:space="0" w:color="auto"/>
              <w:right w:val="single" w:sz="4" w:space="0" w:color="000000"/>
            </w:tcBorders>
            <w:shd w:val="clear" w:color="auto" w:fill="auto"/>
            <w:tcMar>
              <w:top w:w="0" w:type="dxa"/>
              <w:left w:w="100" w:type="dxa"/>
              <w:bottom w:w="0" w:type="dxa"/>
              <w:right w:w="100" w:type="dxa"/>
            </w:tcMar>
          </w:tcPr>
          <w:p w14:paraId="00000033" w14:textId="77777777" w:rsidR="000D08FA" w:rsidRDefault="005F4E0B">
            <w:pPr>
              <w:spacing w:after="120"/>
            </w:pPr>
            <w:r>
              <w:t>TTATCAGGCCTACGTGGATC</w:t>
            </w:r>
          </w:p>
        </w:tc>
        <w:tc>
          <w:tcPr>
            <w:tcW w:w="2160" w:type="dxa"/>
            <w:vMerge/>
            <w:tcBorders>
              <w:top w:val="single" w:sz="4" w:space="0" w:color="000000"/>
              <w:left w:val="single" w:sz="4" w:space="0" w:color="000000"/>
              <w:bottom w:val="single" w:sz="4" w:space="0" w:color="auto"/>
              <w:right w:val="single" w:sz="4" w:space="0" w:color="000000"/>
            </w:tcBorders>
          </w:tcPr>
          <w:p w14:paraId="00000034" w14:textId="77777777" w:rsidR="000D08FA" w:rsidRDefault="000D08FA">
            <w:pPr>
              <w:widowControl w:val="0"/>
              <w:pBdr>
                <w:top w:val="nil"/>
                <w:left w:val="nil"/>
                <w:bottom w:val="nil"/>
                <w:right w:val="nil"/>
                <w:between w:val="nil"/>
              </w:pBdr>
              <w:spacing w:before="0" w:line="276" w:lineRule="auto"/>
              <w:jc w:val="left"/>
            </w:pPr>
          </w:p>
        </w:tc>
      </w:tr>
    </w:tbl>
    <w:p w14:paraId="00000035" w14:textId="77777777" w:rsidR="000D08FA" w:rsidRDefault="005F4E0B">
      <w:pPr>
        <w:spacing w:line="240" w:lineRule="auto"/>
        <w:rPr>
          <w:b/>
        </w:rPr>
      </w:pPr>
      <w:r>
        <w:br w:type="page"/>
      </w:r>
    </w:p>
    <w:p w14:paraId="00000036" w14:textId="77777777" w:rsidR="000D08FA" w:rsidRDefault="005F4E0B">
      <w:pPr>
        <w:spacing w:after="120"/>
        <w:rPr>
          <w:b/>
        </w:rPr>
      </w:pPr>
      <w:r>
        <w:rPr>
          <w:b/>
        </w:rPr>
        <w:lastRenderedPageBreak/>
        <w:t>Supplementary Table 2. DNA sequence for heavy metal responsive promoters</w:t>
      </w:r>
    </w:p>
    <w:tbl>
      <w:tblPr>
        <w:tblStyle w:val="a3"/>
        <w:tblW w:w="9435" w:type="dxa"/>
        <w:tblBorders>
          <w:top w:val="nil"/>
          <w:left w:val="nil"/>
          <w:bottom w:val="nil"/>
          <w:right w:val="nil"/>
          <w:insideH w:val="nil"/>
          <w:insideV w:val="nil"/>
        </w:tblBorders>
        <w:tblLayout w:type="fixed"/>
        <w:tblLook w:val="0600" w:firstRow="0" w:lastRow="0" w:firstColumn="0" w:lastColumn="0" w:noHBand="1" w:noVBand="1"/>
      </w:tblPr>
      <w:tblGrid>
        <w:gridCol w:w="2385"/>
        <w:gridCol w:w="7050"/>
      </w:tblGrid>
      <w:tr w:rsidR="000D08FA" w14:paraId="30534912" w14:textId="77777777">
        <w:trPr>
          <w:trHeight w:val="540"/>
        </w:trPr>
        <w:tc>
          <w:tcPr>
            <w:tcW w:w="2385" w:type="dxa"/>
            <w:tcBorders>
              <w:top w:val="single" w:sz="6" w:space="0" w:color="000000"/>
              <w:left w:val="nil"/>
              <w:bottom w:val="single" w:sz="6" w:space="0" w:color="000000"/>
              <w:right w:val="nil"/>
            </w:tcBorders>
            <w:tcMar>
              <w:top w:w="0" w:type="dxa"/>
              <w:left w:w="100" w:type="dxa"/>
              <w:bottom w:w="0" w:type="dxa"/>
              <w:right w:w="100" w:type="dxa"/>
            </w:tcMar>
          </w:tcPr>
          <w:p w14:paraId="00000037" w14:textId="77777777" w:rsidR="000D08FA" w:rsidRDefault="005F4E0B">
            <w:pPr>
              <w:spacing w:after="120"/>
              <w:rPr>
                <w:b/>
              </w:rPr>
            </w:pPr>
            <w:r>
              <w:rPr>
                <w:b/>
              </w:rPr>
              <w:t>Name</w:t>
            </w:r>
          </w:p>
        </w:tc>
        <w:tc>
          <w:tcPr>
            <w:tcW w:w="7050" w:type="dxa"/>
            <w:tcBorders>
              <w:top w:val="single" w:sz="6" w:space="0" w:color="000000"/>
              <w:left w:val="nil"/>
              <w:bottom w:val="single" w:sz="6" w:space="0" w:color="000000"/>
              <w:right w:val="nil"/>
            </w:tcBorders>
            <w:tcMar>
              <w:top w:w="0" w:type="dxa"/>
              <w:left w:w="100" w:type="dxa"/>
              <w:bottom w:w="0" w:type="dxa"/>
              <w:right w:w="100" w:type="dxa"/>
            </w:tcMar>
          </w:tcPr>
          <w:p w14:paraId="00000038" w14:textId="77777777" w:rsidR="000D08FA" w:rsidRDefault="005F4E0B">
            <w:pPr>
              <w:spacing w:after="120"/>
              <w:rPr>
                <w:b/>
              </w:rPr>
            </w:pPr>
            <w:r>
              <w:rPr>
                <w:b/>
              </w:rPr>
              <w:t>DNA sequence</w:t>
            </w:r>
          </w:p>
        </w:tc>
      </w:tr>
      <w:tr w:rsidR="000D08FA" w14:paraId="06270DC9" w14:textId="77777777">
        <w:trPr>
          <w:trHeight w:val="1365"/>
        </w:trPr>
        <w:tc>
          <w:tcPr>
            <w:tcW w:w="2385" w:type="dxa"/>
            <w:tcBorders>
              <w:top w:val="nil"/>
              <w:left w:val="nil"/>
              <w:bottom w:val="single" w:sz="6" w:space="0" w:color="000000"/>
              <w:right w:val="nil"/>
            </w:tcBorders>
            <w:tcMar>
              <w:top w:w="0" w:type="dxa"/>
              <w:left w:w="100" w:type="dxa"/>
              <w:bottom w:w="0" w:type="dxa"/>
              <w:right w:w="100" w:type="dxa"/>
            </w:tcMar>
          </w:tcPr>
          <w:p w14:paraId="00000039" w14:textId="77777777" w:rsidR="000D08FA" w:rsidRDefault="005F4E0B">
            <w:pPr>
              <w:spacing w:after="120"/>
              <w:jc w:val="left"/>
              <w:rPr>
                <w:b/>
              </w:rPr>
            </w:pPr>
            <w:r>
              <w:rPr>
                <w:b/>
              </w:rPr>
              <w:t xml:space="preserve">arsR gene from </w:t>
            </w:r>
            <w:r>
              <w:rPr>
                <w:b/>
                <w:i/>
              </w:rPr>
              <w:t>E.coli</w:t>
            </w:r>
          </w:p>
        </w:tc>
        <w:tc>
          <w:tcPr>
            <w:tcW w:w="7050" w:type="dxa"/>
            <w:tcBorders>
              <w:top w:val="nil"/>
              <w:left w:val="nil"/>
              <w:bottom w:val="single" w:sz="6" w:space="0" w:color="000000"/>
              <w:right w:val="nil"/>
            </w:tcBorders>
            <w:tcMar>
              <w:top w:w="0" w:type="dxa"/>
              <w:left w:w="100" w:type="dxa"/>
              <w:bottom w:w="0" w:type="dxa"/>
              <w:right w:w="100" w:type="dxa"/>
            </w:tcMar>
          </w:tcPr>
          <w:p w14:paraId="0000003A" w14:textId="77777777" w:rsidR="000D08FA" w:rsidRDefault="005F4E0B">
            <w:pPr>
              <w:spacing w:after="120"/>
            </w:pPr>
            <w:r>
              <w:t>ATGTCATTTCTGTTACCCATCCAATTGTTCAAAATTCTTGCTGATGAAACCCGTCTGGGCATCGTTTTACTGCTCAGCGAACTGGGAGAGTTATGCGTCTGCGATCTCTGCACTGCTCTCGACCAGTCGCAGCCCAAGATCTCCCGCCACCTGGCATTGCTGCGTGAAAGCGGGCTATTGCTGGACCGCAAGCAAGGTAAGTGGGTTCATTACCGCTTATCACCGCATATTCCAGCATGGGCGGCGAAAATTATTGATGAGGCCTGGCGATGTGAACAGGAAAAGGTTCAGGCGATTGTCCGCAACCTGGCTCGACAAAACTGTTCCGGGGACAGTAAGAACATTTGCAGTTAA</w:t>
            </w:r>
          </w:p>
        </w:tc>
      </w:tr>
      <w:tr w:rsidR="000D08FA" w14:paraId="23488E1F" w14:textId="77777777">
        <w:trPr>
          <w:trHeight w:val="810"/>
        </w:trPr>
        <w:tc>
          <w:tcPr>
            <w:tcW w:w="2385" w:type="dxa"/>
            <w:tcBorders>
              <w:top w:val="nil"/>
              <w:left w:val="nil"/>
              <w:bottom w:val="single" w:sz="6" w:space="0" w:color="000000"/>
              <w:right w:val="nil"/>
            </w:tcBorders>
            <w:tcMar>
              <w:top w:w="0" w:type="dxa"/>
              <w:left w:w="100" w:type="dxa"/>
              <w:bottom w:w="0" w:type="dxa"/>
              <w:right w:w="100" w:type="dxa"/>
            </w:tcMar>
          </w:tcPr>
          <w:p w14:paraId="0000003B" w14:textId="77777777" w:rsidR="000D08FA" w:rsidRDefault="005F4E0B">
            <w:pPr>
              <w:spacing w:after="120"/>
              <w:jc w:val="left"/>
              <w:rPr>
                <w:b/>
              </w:rPr>
            </w:pPr>
            <w:r>
              <w:rPr>
                <w:b/>
              </w:rPr>
              <w:t>ParsD-ABS-8</w:t>
            </w:r>
          </w:p>
        </w:tc>
        <w:tc>
          <w:tcPr>
            <w:tcW w:w="7050" w:type="dxa"/>
            <w:tcBorders>
              <w:top w:val="nil"/>
              <w:left w:val="nil"/>
              <w:bottom w:val="single" w:sz="6" w:space="0" w:color="000000"/>
              <w:right w:val="nil"/>
            </w:tcBorders>
            <w:tcMar>
              <w:top w:w="0" w:type="dxa"/>
              <w:left w:w="100" w:type="dxa"/>
              <w:bottom w:w="0" w:type="dxa"/>
              <w:right w:w="100" w:type="dxa"/>
            </w:tcMar>
          </w:tcPr>
          <w:p w14:paraId="0000003C" w14:textId="2DC31C26" w:rsidR="00D73333" w:rsidRDefault="005F4E0B">
            <w:pPr>
              <w:spacing w:after="120"/>
            </w:pPr>
            <w:r>
              <w:t>TGTTTTTGACTTATCCGCTTCGAAGAGAGATACTTACACATTCGTTAAGTCATATATGTTTTTGACTTATCCGC</w:t>
            </w:r>
          </w:p>
        </w:tc>
      </w:tr>
      <w:tr w:rsidR="000D08FA" w14:paraId="3180F449" w14:textId="77777777">
        <w:trPr>
          <w:trHeight w:val="1365"/>
        </w:trPr>
        <w:tc>
          <w:tcPr>
            <w:tcW w:w="2385" w:type="dxa"/>
            <w:tcBorders>
              <w:top w:val="nil"/>
              <w:left w:val="nil"/>
              <w:bottom w:val="single" w:sz="6" w:space="0" w:color="000000"/>
              <w:right w:val="nil"/>
            </w:tcBorders>
            <w:tcMar>
              <w:top w:w="0" w:type="dxa"/>
              <w:left w:w="100" w:type="dxa"/>
              <w:bottom w:w="0" w:type="dxa"/>
              <w:right w:w="100" w:type="dxa"/>
            </w:tcMar>
          </w:tcPr>
          <w:p w14:paraId="0000003D" w14:textId="77777777" w:rsidR="000D08FA" w:rsidRDefault="005F4E0B">
            <w:pPr>
              <w:spacing w:after="120"/>
              <w:jc w:val="left"/>
              <w:rPr>
                <w:b/>
              </w:rPr>
            </w:pPr>
            <w:r>
              <w:rPr>
                <w:b/>
              </w:rPr>
              <w:t>CadC gene from P.putida</w:t>
            </w:r>
          </w:p>
        </w:tc>
        <w:tc>
          <w:tcPr>
            <w:tcW w:w="7050" w:type="dxa"/>
            <w:tcBorders>
              <w:top w:val="nil"/>
              <w:left w:val="nil"/>
              <w:bottom w:val="single" w:sz="6" w:space="0" w:color="000000"/>
              <w:right w:val="nil"/>
            </w:tcBorders>
            <w:tcMar>
              <w:top w:w="0" w:type="dxa"/>
              <w:left w:w="100" w:type="dxa"/>
              <w:bottom w:w="0" w:type="dxa"/>
              <w:right w:w="100" w:type="dxa"/>
            </w:tcMar>
          </w:tcPr>
          <w:p w14:paraId="0000003E" w14:textId="77777777" w:rsidR="000D08FA" w:rsidRDefault="005F4E0B">
            <w:pPr>
              <w:spacing w:after="120"/>
            </w:pPr>
            <w:r>
              <w:t>ATGAAGAAGAAGGATACCTGCGAGATCTTCTGCTACGACGAGGAAAAGGTGAACCGCATCCAGGGCGACCTGCAGACCGTGGACATCAGCGGTGTGAGCCAGATCCTGAAGGCGATCGCGGACGAGAACCGTGCCAAGATCACCTACGCGCTGTGCCAGGACGAGGAACTGTGCGTGTGCGATATCGCCAACATCCTGGGCGTGACCATCGCCAACGCCAGCCACCATCTGCGCACCCTGTACAAGCAGGGCGTCGTGAACTTCCGCAAAGAGGGCAAGCTGGCCCTGTACAGCCTGGGCGACGAGCACATCCGCCAGATCATGATGATCGCCCTGGCGCACAAGAAAGAGGTGAAGGTCAACGTCTGA</w:t>
            </w:r>
          </w:p>
        </w:tc>
      </w:tr>
      <w:tr w:rsidR="000D08FA" w14:paraId="3B2850C3" w14:textId="77777777">
        <w:trPr>
          <w:trHeight w:val="540"/>
        </w:trPr>
        <w:tc>
          <w:tcPr>
            <w:tcW w:w="2385" w:type="dxa"/>
            <w:tcBorders>
              <w:top w:val="nil"/>
              <w:left w:val="nil"/>
              <w:bottom w:val="single" w:sz="6" w:space="0" w:color="000000"/>
              <w:right w:val="nil"/>
            </w:tcBorders>
            <w:tcMar>
              <w:top w:w="0" w:type="dxa"/>
              <w:left w:w="100" w:type="dxa"/>
              <w:bottom w:w="0" w:type="dxa"/>
              <w:right w:w="100" w:type="dxa"/>
            </w:tcMar>
          </w:tcPr>
          <w:p w14:paraId="0000003F" w14:textId="77777777" w:rsidR="000D08FA" w:rsidRDefault="005F4E0B">
            <w:pPr>
              <w:spacing w:after="120"/>
              <w:jc w:val="left"/>
              <w:rPr>
                <w:b/>
              </w:rPr>
            </w:pPr>
            <w:r>
              <w:rPr>
                <w:b/>
              </w:rPr>
              <w:t>pCadC</w:t>
            </w:r>
          </w:p>
        </w:tc>
        <w:tc>
          <w:tcPr>
            <w:tcW w:w="7050" w:type="dxa"/>
            <w:tcBorders>
              <w:top w:val="nil"/>
              <w:left w:val="nil"/>
              <w:bottom w:val="single" w:sz="6" w:space="0" w:color="000000"/>
              <w:right w:val="nil"/>
            </w:tcBorders>
            <w:tcMar>
              <w:top w:w="0" w:type="dxa"/>
              <w:left w:w="100" w:type="dxa"/>
              <w:bottom w:w="0" w:type="dxa"/>
              <w:right w:w="100" w:type="dxa"/>
            </w:tcMar>
          </w:tcPr>
          <w:p w14:paraId="00000040" w14:textId="77777777" w:rsidR="000D08FA" w:rsidRDefault="005F4E0B">
            <w:pPr>
              <w:spacing w:after="120"/>
            </w:pPr>
            <w:r>
              <w:t>CTTTTATTTTCATTCAAATATTTGCTTGCATGATGAGTCGAAAATGGTTATAATACACTCAAATAAATATTTGAAT</w:t>
            </w:r>
          </w:p>
        </w:tc>
      </w:tr>
    </w:tbl>
    <w:p w14:paraId="00000043" w14:textId="04C3BAB2" w:rsidR="000D08FA" w:rsidRDefault="000D08FA"/>
    <w:p w14:paraId="00000044" w14:textId="77777777" w:rsidR="000D08FA" w:rsidRDefault="005F4E0B">
      <w:pPr>
        <w:jc w:val="center"/>
      </w:pPr>
      <w:r>
        <w:rPr>
          <w:noProof/>
        </w:rPr>
        <w:lastRenderedPageBreak/>
        <w:drawing>
          <wp:inline distT="114300" distB="114300" distL="114300" distR="114300" wp14:anchorId="6559F6A9" wp14:editId="47589AF8">
            <wp:extent cx="3228975" cy="2633934"/>
            <wp:effectExtent l="0" t="0" r="0" b="0"/>
            <wp:docPr id="197133282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3228975" cy="2633934"/>
                    </a:xfrm>
                    <a:prstGeom prst="rect">
                      <a:avLst/>
                    </a:prstGeom>
                    <a:ln/>
                  </pic:spPr>
                </pic:pic>
              </a:graphicData>
            </a:graphic>
          </wp:inline>
        </w:drawing>
      </w:r>
    </w:p>
    <w:p w14:paraId="00000045" w14:textId="1F0FDA63" w:rsidR="000D08FA" w:rsidRDefault="005F4E0B">
      <w:r>
        <w:rPr>
          <w:b/>
        </w:rPr>
        <w:t>Fig S2</w:t>
      </w:r>
      <w:r>
        <w:t xml:space="preserve">. </w:t>
      </w:r>
      <w:r>
        <w:rPr>
          <w:b/>
        </w:rPr>
        <w:t>Assessing CymA expression.</w:t>
      </w:r>
      <w:r>
        <w:t xml:space="preserve"> When the CymA expression level increased, the blueness of the molybdenum nanoparticles increased as they are reduced, which indicates that the assay blueness is correlated with the CymA expression.</w:t>
      </w:r>
      <w:r>
        <w:br w:type="page"/>
      </w:r>
    </w:p>
    <w:p w14:paraId="00000046" w14:textId="77777777" w:rsidR="000D08FA" w:rsidRDefault="005F4E0B">
      <w:r>
        <w:rPr>
          <w:noProof/>
        </w:rPr>
        <w:lastRenderedPageBreak/>
        <w:drawing>
          <wp:inline distT="114300" distB="114300" distL="114300" distR="114300" wp14:anchorId="2D3DF350" wp14:editId="3CAC0806">
            <wp:extent cx="5491163" cy="4215171"/>
            <wp:effectExtent l="0" t="0" r="0" b="0"/>
            <wp:docPr id="197133282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5491163" cy="4215171"/>
                    </a:xfrm>
                    <a:prstGeom prst="rect">
                      <a:avLst/>
                    </a:prstGeom>
                    <a:ln/>
                  </pic:spPr>
                </pic:pic>
              </a:graphicData>
            </a:graphic>
          </wp:inline>
        </w:drawing>
      </w:r>
    </w:p>
    <w:p w14:paraId="00000047" w14:textId="77777777" w:rsidR="000D08FA" w:rsidRDefault="005F4E0B">
      <w:r>
        <w:rPr>
          <w:b/>
        </w:rPr>
        <w:t>Fig S3.</w:t>
      </w:r>
      <w:r>
        <w:t xml:space="preserve"> </w:t>
      </w:r>
      <w:r>
        <w:rPr>
          <w:b/>
        </w:rPr>
        <w:t>Characterization of CymA pathway under different analyte concentrations.</w:t>
      </w:r>
      <w:r>
        <w:t xml:space="preserve"> A or B, in vitro evaluation of the expression level of CymA under IPTG or As regulation, using a colorimetric molybdenum-based nanoparticle assay; C, OD</w:t>
      </w:r>
      <w:r>
        <w:rPr>
          <w:vertAlign w:val="subscript"/>
        </w:rPr>
        <w:t>600</w:t>
      </w:r>
      <w:r>
        <w:t xml:space="preserve"> represents the total amount of cells under different As induction levels, demonstrating that cells decrease as the As concentration increases. Scatter points show the mean values and error bars represent the standard deviation of n=4 biological replicates. </w:t>
      </w:r>
      <w:r>
        <w:br w:type="page"/>
      </w:r>
    </w:p>
    <w:p w14:paraId="00000048" w14:textId="77777777" w:rsidR="000D08FA" w:rsidRDefault="005F4E0B">
      <w:pPr>
        <w:spacing w:before="0" w:after="160" w:line="259" w:lineRule="auto"/>
        <w:jc w:val="center"/>
      </w:pPr>
      <w:r>
        <w:rPr>
          <w:noProof/>
        </w:rPr>
        <w:lastRenderedPageBreak/>
        <w:drawing>
          <wp:inline distT="114300" distB="114300" distL="114300" distR="114300" wp14:anchorId="2EBC9E5B" wp14:editId="1513CA2D">
            <wp:extent cx="5491163" cy="2085586"/>
            <wp:effectExtent l="0" t="0" r="0" b="0"/>
            <wp:docPr id="197133281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5491163" cy="2085586"/>
                    </a:xfrm>
                    <a:prstGeom prst="rect">
                      <a:avLst/>
                    </a:prstGeom>
                    <a:ln/>
                  </pic:spPr>
                </pic:pic>
              </a:graphicData>
            </a:graphic>
          </wp:inline>
        </w:drawing>
      </w:r>
    </w:p>
    <w:p w14:paraId="00000049" w14:textId="77777777" w:rsidR="000D08FA" w:rsidRDefault="005F4E0B">
      <w:pPr>
        <w:spacing w:before="0" w:after="160"/>
      </w:pPr>
      <w:r>
        <w:rPr>
          <w:b/>
        </w:rPr>
        <w:t>Fig S4:</w:t>
      </w:r>
      <w:r>
        <w:t xml:space="preserve"> </w:t>
      </w:r>
      <w:r>
        <w:rPr>
          <w:b/>
        </w:rPr>
        <w:t>Characterization of Flavin pathway under different analyte concentrations.</w:t>
      </w:r>
      <w:r>
        <w:t xml:space="preserve"> Extracellular flavin production as a function of aTc or Cd concentration, representing the flavin synthesis pathways expression levels. Scatter points show the mean values and error bars represent the standard deviation of n=4 biological replicates.</w:t>
      </w:r>
      <w:r>
        <w:br w:type="page"/>
      </w:r>
    </w:p>
    <w:p w14:paraId="0000004A" w14:textId="719FBF51" w:rsidR="000D08FA" w:rsidRDefault="00876D25" w:rsidP="00841C76">
      <w:pPr>
        <w:spacing w:before="0" w:after="160" w:line="259" w:lineRule="auto"/>
        <w:jc w:val="center"/>
      </w:pPr>
      <w:r w:rsidRPr="00876D25">
        <w:rPr>
          <w:noProof/>
        </w:rPr>
        <w:lastRenderedPageBreak/>
        <w:drawing>
          <wp:inline distT="0" distB="0" distL="0" distR="0" wp14:anchorId="6FA73F33" wp14:editId="31F01D86">
            <wp:extent cx="4987159" cy="1705012"/>
            <wp:effectExtent l="0" t="0" r="4445" b="0"/>
            <wp:docPr id="465018086" name="Picture 1" descr="A comparison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018086" name="Picture 1" descr="A comparison of a graph&#10;&#10;Description automatically generated"/>
                    <pic:cNvPicPr/>
                  </pic:nvPicPr>
                  <pic:blipFill>
                    <a:blip r:embed="rId12"/>
                    <a:stretch>
                      <a:fillRect/>
                    </a:stretch>
                  </pic:blipFill>
                  <pic:spPr>
                    <a:xfrm>
                      <a:off x="0" y="0"/>
                      <a:ext cx="5076890" cy="1735689"/>
                    </a:xfrm>
                    <a:prstGeom prst="rect">
                      <a:avLst/>
                    </a:prstGeom>
                  </pic:spPr>
                </pic:pic>
              </a:graphicData>
            </a:graphic>
          </wp:inline>
        </w:drawing>
      </w:r>
    </w:p>
    <w:p w14:paraId="0000004B" w14:textId="77777777" w:rsidR="000D08FA" w:rsidRDefault="005F4E0B">
      <w:r>
        <w:rPr>
          <w:b/>
        </w:rPr>
        <w:t>Fig S5.</w:t>
      </w:r>
      <w:r>
        <w:t xml:space="preserve"> </w:t>
      </w:r>
      <w:r>
        <w:rPr>
          <w:b/>
        </w:rPr>
        <w:t>Assessing specificity of the heavy metal-</w:t>
      </w:r>
      <w:r>
        <w:rPr>
          <w:b/>
          <w:i/>
        </w:rPr>
        <w:t>E. coli</w:t>
      </w:r>
      <w:r>
        <w:t>. A) An in vitro evaluation of the expression level of CymA under various metal ion conditions, using a colorimetric molybdenum-based nanoparticle assay. B) Extracellular flavin production from heavy metal</w:t>
      </w:r>
      <w:r>
        <w:rPr>
          <w:i/>
        </w:rPr>
        <w:t>-E. coli</w:t>
      </w:r>
      <w:r>
        <w:t xml:space="preserve"> under different metal ion conditions, representing the expression levels of flavin synthesis pathways. Columns show the relative ratios after normalization to the control condition where no metal ions are present. Error bars represent the standard deviation of n=6 biological replicates. </w:t>
      </w:r>
      <w:r>
        <w:br w:type="page"/>
      </w:r>
    </w:p>
    <w:p w14:paraId="6CA6F329" w14:textId="50AC87EA" w:rsidR="00BF4833" w:rsidRDefault="00BF4833">
      <w:r w:rsidRPr="00BF4833">
        <w:rPr>
          <w:noProof/>
        </w:rPr>
        <w:lastRenderedPageBreak/>
        <w:drawing>
          <wp:inline distT="0" distB="0" distL="0" distR="0" wp14:anchorId="05E6FDF1" wp14:editId="709EAA1B">
            <wp:extent cx="5591908" cy="2031249"/>
            <wp:effectExtent l="0" t="0" r="0" b="1270"/>
            <wp:docPr id="624180376" name="Picture 1" descr="A comparison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180376" name="Picture 1" descr="A comparison of a diagram&#10;&#10;Description automatically generated with medium confidence"/>
                    <pic:cNvPicPr/>
                  </pic:nvPicPr>
                  <pic:blipFill>
                    <a:blip r:embed="rId13"/>
                    <a:stretch>
                      <a:fillRect/>
                    </a:stretch>
                  </pic:blipFill>
                  <pic:spPr>
                    <a:xfrm>
                      <a:off x="0" y="0"/>
                      <a:ext cx="5606323" cy="2036485"/>
                    </a:xfrm>
                    <a:prstGeom prst="rect">
                      <a:avLst/>
                    </a:prstGeom>
                  </pic:spPr>
                </pic:pic>
              </a:graphicData>
            </a:graphic>
          </wp:inline>
        </w:drawing>
      </w:r>
    </w:p>
    <w:p w14:paraId="0000004E" w14:textId="1974B28B" w:rsidR="000D08FA" w:rsidRDefault="005F4E0B" w:rsidP="00E94603">
      <w:r>
        <w:rPr>
          <w:b/>
        </w:rPr>
        <w:t>Fig S6:</w:t>
      </w:r>
      <w:r>
        <w:t xml:space="preserve"> </w:t>
      </w:r>
      <w:r>
        <w:rPr>
          <w:b/>
        </w:rPr>
        <w:t xml:space="preserve">Current evolution curves generated by different analyte conditions. </w:t>
      </w:r>
      <w:r>
        <w:t>The electrical current signals at a constant potential at 0.2 V vs Ag/AgCl from two engineered strains A) inducer</w:t>
      </w:r>
      <w:r>
        <w:rPr>
          <w:i/>
        </w:rPr>
        <w:t>-E. coli</w:t>
      </w:r>
      <w:r>
        <w:t xml:space="preserve"> and B) heavy metal-</w:t>
      </w:r>
      <w:r>
        <w:rPr>
          <w:i/>
        </w:rPr>
        <w:t>E. coli</w:t>
      </w:r>
      <w:r>
        <w:t>. The different colors indicate different analyte conditions.</w:t>
      </w:r>
      <w:r>
        <w:br w:type="page"/>
      </w:r>
    </w:p>
    <w:p w14:paraId="347634E3" w14:textId="7CAB8602" w:rsidR="00D24BED" w:rsidRDefault="00D24BED">
      <w:pPr>
        <w:jc w:val="center"/>
      </w:pPr>
      <w:r w:rsidRPr="00D24BED">
        <w:rPr>
          <w:noProof/>
        </w:rPr>
        <w:lastRenderedPageBreak/>
        <w:drawing>
          <wp:inline distT="0" distB="0" distL="0" distR="0" wp14:anchorId="5B40E8A5" wp14:editId="594CA0EC">
            <wp:extent cx="4911969" cy="3626775"/>
            <wp:effectExtent l="0" t="0" r="3175" b="5715"/>
            <wp:docPr id="1031978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97897" name=""/>
                    <pic:cNvPicPr/>
                  </pic:nvPicPr>
                  <pic:blipFill>
                    <a:blip r:embed="rId14"/>
                    <a:stretch>
                      <a:fillRect/>
                    </a:stretch>
                  </pic:blipFill>
                  <pic:spPr>
                    <a:xfrm>
                      <a:off x="0" y="0"/>
                      <a:ext cx="4945931" cy="3651851"/>
                    </a:xfrm>
                    <a:prstGeom prst="rect">
                      <a:avLst/>
                    </a:prstGeom>
                  </pic:spPr>
                </pic:pic>
              </a:graphicData>
            </a:graphic>
          </wp:inline>
        </w:drawing>
      </w:r>
    </w:p>
    <w:p w14:paraId="0000004F" w14:textId="77777777" w:rsidR="000D08FA" w:rsidRDefault="00E94603">
      <w:sdt>
        <w:sdtPr>
          <w:tag w:val="goog_rdk_0"/>
          <w:id w:val="694041623"/>
        </w:sdtPr>
        <w:sdtEndPr/>
        <w:sdtContent/>
      </w:sdt>
      <w:r w:rsidR="005F4E0B">
        <w:rPr>
          <w:b/>
        </w:rPr>
        <w:t>Fig S7:</w:t>
      </w:r>
      <w:r w:rsidR="005F4E0B">
        <w:t xml:space="preserve"> </w:t>
      </w:r>
      <w:r w:rsidR="005F4E0B">
        <w:rPr>
          <w:b/>
        </w:rPr>
        <w:t>Expression levels generated by different analyte conditions.</w:t>
      </w:r>
      <w:r w:rsidR="005F4E0B">
        <w:t xml:space="preserve"> The evaluation of extracellular flavin concentrations and CymA expression in response to analytes for inducer-</w:t>
      </w:r>
      <w:r w:rsidR="005F4E0B">
        <w:rPr>
          <w:i/>
        </w:rPr>
        <w:t>E. coli</w:t>
      </w:r>
      <w:r w:rsidR="005F4E0B">
        <w:t xml:space="preserve"> and heavy metal-</w:t>
      </w:r>
      <w:r w:rsidR="005F4E0B">
        <w:rPr>
          <w:i/>
        </w:rPr>
        <w:t>E. coli</w:t>
      </w:r>
      <w:r w:rsidR="005F4E0B">
        <w:t xml:space="preserve">. Samples collected at the end of the operational process, columns show the mean values and error bars represent the standard deviation of n=3 biological replicates. </w:t>
      </w:r>
      <w:r w:rsidR="005F4E0B">
        <w:br w:type="page"/>
      </w:r>
    </w:p>
    <w:p w14:paraId="00000050" w14:textId="1A81BEC5" w:rsidR="000D08FA" w:rsidRPr="00E62C54" w:rsidRDefault="00071ADC">
      <w:pPr>
        <w:rPr>
          <w:b/>
          <w:bCs/>
        </w:rPr>
      </w:pPr>
      <w:r w:rsidRPr="00E62C54">
        <w:rPr>
          <w:b/>
          <w:bCs/>
        </w:rPr>
        <w:lastRenderedPageBreak/>
        <w:t xml:space="preserve">Development of </w:t>
      </w:r>
      <w:r w:rsidR="005F4E0B" w:rsidRPr="00E62C54">
        <w:rPr>
          <w:b/>
          <w:bCs/>
        </w:rPr>
        <w:t>Double Step Chronoamperometry</w:t>
      </w:r>
    </w:p>
    <w:p w14:paraId="00000051" w14:textId="77777777" w:rsidR="000D08FA" w:rsidRDefault="005F4E0B">
      <w:r>
        <w:t>Taking the CymA pathway as an example where its midpoint potential is around 0 mV vs Ag/AgCl, we have applied double potentials where localized 200 mV as oxidation dominance status, and 0 mV as the equilibrium. Assume that the mass transfer is a diffusion-driven process, we can simplify the Nernst-Plank equation as:</w:t>
      </w:r>
    </w:p>
    <w:p w14:paraId="00000052" w14:textId="681EA834" w:rsidR="000D08FA" w:rsidRDefault="00E94603">
      <w:pPr>
        <w:jc w:val="center"/>
        <w:rPr>
          <w:rFonts w:ascii="Cambria Math" w:eastAsia="Cambria Math" w:hAnsi="Cambria Math" w:cs="Cambria Math"/>
        </w:rPr>
      </w:pPr>
      <m:oMath>
        <m:sSub>
          <m:sSubPr>
            <m:ctrlPr>
              <w:rPr>
                <w:rFonts w:ascii="Cambria Math" w:eastAsia="Cambria Math" w:hAnsi="Cambria Math" w:cs="Cambria Math"/>
              </w:rPr>
            </m:ctrlPr>
          </m:sSubPr>
          <m:e>
            <m:r>
              <w:rPr>
                <w:rFonts w:ascii="Cambria Math" w:eastAsia="Cambria Math" w:hAnsi="Cambria Math" w:cs="Cambria Math"/>
              </w:rPr>
              <m:t>J</m:t>
            </m:r>
          </m:e>
          <m:sub>
            <m:r>
              <w:rPr>
                <w:rFonts w:ascii="Cambria Math" w:eastAsia="Cambria Math" w:hAnsi="Cambria Math" w:cs="Cambria Math"/>
              </w:rPr>
              <m:t>i</m:t>
            </m:r>
          </m:sub>
        </m:sSub>
        <m:d>
          <m:dPr>
            <m:ctrlPr>
              <w:rPr>
                <w:rFonts w:ascii="Cambria Math" w:eastAsia="Cambria Math" w:hAnsi="Cambria Math" w:cs="Cambria Math"/>
              </w:rPr>
            </m:ctrlPr>
          </m:dPr>
          <m:e>
            <m:r>
              <w:rPr>
                <w:rFonts w:ascii="Cambria Math" w:eastAsia="Cambria Math" w:hAnsi="Cambria Math" w:cs="Cambria Math"/>
              </w:rPr>
              <m:t>x</m:t>
            </m:r>
          </m:e>
        </m:d>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D</m:t>
            </m:r>
          </m:e>
          <m:sub>
            <m:r>
              <w:rPr>
                <w:rFonts w:ascii="Cambria Math" w:eastAsia="Cambria Math" w:hAnsi="Cambria Math" w:cs="Cambria Math"/>
              </w:rPr>
              <m:t>i</m:t>
            </m:r>
          </m:sub>
        </m:sSub>
        <m:f>
          <m:fPr>
            <m:ctrlPr>
              <w:rPr>
                <w:rFonts w:ascii="Cambria Math" w:eastAsia="Cambria Math" w:hAnsi="Cambria Math" w:cs="Cambria Math"/>
              </w:rPr>
            </m:ctrlPr>
          </m:fPr>
          <m:num>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C</m:t>
                </m:r>
              </m:e>
              <m:sub>
                <m:r>
                  <w:rPr>
                    <w:rFonts w:ascii="Cambria Math" w:eastAsia="Cambria Math" w:hAnsi="Cambria Math" w:cs="Cambria Math"/>
                  </w:rPr>
                  <m:t>i</m:t>
                </m:r>
              </m:sub>
            </m:sSub>
            <m:r>
              <w:rPr>
                <w:rFonts w:ascii="Cambria Math" w:eastAsia="Cambria Math" w:hAnsi="Cambria Math" w:cs="Cambria Math"/>
              </w:rPr>
              <m:t>(x)</m:t>
            </m:r>
          </m:num>
          <m:den>
            <m:r>
              <w:rPr>
                <w:rFonts w:ascii="Cambria Math" w:eastAsia="Cambria Math" w:hAnsi="Cambria Math" w:cs="Cambria Math"/>
              </w:rPr>
              <m:t>∂x</m:t>
            </m:r>
          </m:den>
        </m:f>
      </m:oMath>
      <w:r w:rsidR="00847506">
        <w:rPr>
          <w:rFonts w:ascii="Cambria Math" w:eastAsia="Cambria Math" w:hAnsi="Cambria Math" w:cs="Cambria Math"/>
        </w:rPr>
        <w:tab/>
      </w:r>
      <w:r w:rsidR="00847506">
        <w:rPr>
          <w:rFonts w:ascii="Cambria Math" w:eastAsia="Cambria Math" w:hAnsi="Cambria Math" w:cs="Cambria Math"/>
        </w:rPr>
        <w:tab/>
      </w:r>
      <w:r w:rsidR="00847506">
        <w:rPr>
          <w:rFonts w:ascii="Cambria Math" w:eastAsia="Cambria Math" w:hAnsi="Cambria Math" w:cs="Cambria Math"/>
        </w:rPr>
        <w:tab/>
        <w:t>(Eqn. S1)</w:t>
      </w:r>
    </w:p>
    <w:p w14:paraId="00000053" w14:textId="77777777" w:rsidR="000D08FA" w:rsidRDefault="005F4E0B">
      <w:r>
        <w:t>Where J</w:t>
      </w:r>
      <w:r>
        <w:rPr>
          <w:vertAlign w:val="subscript"/>
        </w:rPr>
        <w:t>i</w:t>
      </w:r>
      <w:r>
        <w:t>(x) is the flux of species I (mol.s</w:t>
      </w:r>
      <w:r>
        <w:rPr>
          <w:vertAlign w:val="superscript"/>
        </w:rPr>
        <w:t>-1</w:t>
      </w:r>
      <w:r>
        <w:t>cm</w:t>
      </w:r>
      <w:r>
        <w:rPr>
          <w:vertAlign w:val="superscript"/>
        </w:rPr>
        <w:t>-2</w:t>
      </w:r>
      <w:r>
        <w:t>) at distance x from the surface, Di is the diffusion coefficient (cm</w:t>
      </w:r>
      <w:r>
        <w:rPr>
          <w:vertAlign w:val="superscript"/>
        </w:rPr>
        <w:t>2</w:t>
      </w:r>
      <w:r>
        <w:t>/s),</w:t>
      </w:r>
      <m:oMath>
        <m:r>
          <w:rPr>
            <w:rFonts w:ascii="Cambria Math" w:hAnsi="Cambria Math"/>
          </w:rPr>
          <m:t>∂</m:t>
        </m:r>
        <m:sSub>
          <m:sSubPr>
            <m:ctrlPr>
              <w:rPr>
                <w:rFonts w:ascii="Cambria Math" w:eastAsia="Cambria Math" w:hAnsi="Cambria Math" w:cs="Cambria Math"/>
              </w:rPr>
            </m:ctrlPr>
          </m:sSubPr>
          <m:e>
            <m:r>
              <w:rPr>
                <w:rFonts w:ascii="Cambria Math" w:eastAsia="Cambria Math" w:hAnsi="Cambria Math" w:cs="Cambria Math"/>
              </w:rPr>
              <m:t>C</m:t>
            </m:r>
          </m:e>
          <m:sub>
            <m:r>
              <w:rPr>
                <w:rFonts w:ascii="Cambria Math" w:eastAsia="Cambria Math" w:hAnsi="Cambria Math" w:cs="Cambria Math"/>
              </w:rPr>
              <m:t>i</m:t>
            </m:r>
          </m:sub>
        </m:sSub>
        <m:r>
          <w:rPr>
            <w:rFonts w:ascii="Cambria Math" w:eastAsia="Cambria Math" w:hAnsi="Cambria Math" w:cs="Cambria Math"/>
          </w:rPr>
          <m:t>(x)/∂x</m:t>
        </m:r>
      </m:oMath>
      <w:r>
        <w:t xml:space="preserve"> is the concentration gradient at distance x.</w:t>
      </w:r>
    </w:p>
    <w:p w14:paraId="00000054" w14:textId="77777777" w:rsidR="000D08FA" w:rsidRDefault="005F4E0B">
      <w:r>
        <w:t>Assuming the rate of mass transfer is proportional to the concentration of gradient at the electrode surface, as given by the diffusive part</w:t>
      </w:r>
    </w:p>
    <w:p w14:paraId="00000055" w14:textId="0CD9EFC2" w:rsidR="000D08FA" w:rsidRDefault="00E94603">
      <w:pPr>
        <w:jc w:val="center"/>
        <w:rPr>
          <w:rFonts w:ascii="Cambria Math" w:eastAsia="Cambria Math" w:hAnsi="Cambria Math" w:cs="Cambria Math"/>
        </w:rPr>
      </w:pPr>
      <m:oMath>
        <m:sSub>
          <m:sSubPr>
            <m:ctrlPr>
              <w:rPr>
                <w:rFonts w:ascii="Cambria Math" w:eastAsia="Cambria Math" w:hAnsi="Cambria Math" w:cs="Cambria Math"/>
              </w:rPr>
            </m:ctrlPr>
          </m:sSubPr>
          <m:e>
            <m:r>
              <w:rPr>
                <w:rFonts w:ascii="Cambria Math" w:eastAsia="Cambria Math" w:hAnsi="Cambria Math" w:cs="Cambria Math"/>
              </w:rPr>
              <m:t>v</m:t>
            </m:r>
          </m:e>
          <m:sub>
            <m:r>
              <w:rPr>
                <w:rFonts w:ascii="Cambria Math" w:eastAsia="Cambria Math" w:hAnsi="Cambria Math" w:cs="Cambria Math"/>
              </w:rPr>
              <m:t>mt</m:t>
            </m:r>
          </m:sub>
        </m:sSub>
        <m:r>
          <w:rPr>
            <w:rFonts w:ascii="Cambria Math" w:eastAsia="Cambria Math" w:hAnsi="Cambria Math" w:cs="Cambria Math"/>
          </w:rPr>
          <m:t>∝</m:t>
        </m:r>
        <m:sSub>
          <m:sSubPr>
            <m:ctrlPr>
              <w:rPr>
                <w:rFonts w:ascii="Cambria Math" w:eastAsia="Cambria Math" w:hAnsi="Cambria Math" w:cs="Cambria Math"/>
              </w:rPr>
            </m:ctrlPr>
          </m:sSubPr>
          <m:e>
            <m:d>
              <m:dPr>
                <m:ctrlPr>
                  <w:rPr>
                    <w:rFonts w:ascii="Cambria Math" w:eastAsia="Cambria Math" w:hAnsi="Cambria Math" w:cs="Cambria Math"/>
                  </w:rPr>
                </m:ctrlPr>
              </m:dPr>
              <m:e>
                <m:r>
                  <w:rPr>
                    <w:rFonts w:ascii="Cambria Math" w:eastAsia="Cambria Math" w:hAnsi="Cambria Math" w:cs="Cambria Math"/>
                  </w:rPr>
                  <m:t>d</m:t>
                </m:r>
                <m:sSub>
                  <m:sSubPr>
                    <m:ctrlPr>
                      <w:rPr>
                        <w:rFonts w:ascii="Cambria Math" w:eastAsia="Cambria Math" w:hAnsi="Cambria Math" w:cs="Cambria Math"/>
                      </w:rPr>
                    </m:ctrlPr>
                  </m:sSubPr>
                  <m:e>
                    <m:r>
                      <w:rPr>
                        <w:rFonts w:ascii="Cambria Math" w:eastAsia="Cambria Math" w:hAnsi="Cambria Math" w:cs="Cambria Math"/>
                      </w:rPr>
                      <m:t>C</m:t>
                    </m:r>
                  </m:e>
                  <m:sub>
                    <m:r>
                      <w:rPr>
                        <w:rFonts w:ascii="Cambria Math" w:eastAsia="Cambria Math" w:hAnsi="Cambria Math" w:cs="Cambria Math"/>
                      </w:rPr>
                      <m:t>O</m:t>
                    </m:r>
                  </m:sub>
                </m:sSub>
                <m:r>
                  <w:rPr>
                    <w:rFonts w:ascii="Cambria Math" w:eastAsia="Cambria Math" w:hAnsi="Cambria Math" w:cs="Cambria Math"/>
                  </w:rPr>
                  <m:t>/dx</m:t>
                </m:r>
              </m:e>
            </m:d>
          </m:e>
          <m:sub>
            <m:r>
              <w:rPr>
                <w:rFonts w:ascii="Cambria Math" w:eastAsia="Cambria Math" w:hAnsi="Cambria Math" w:cs="Cambria Math"/>
              </w:rPr>
              <m:t>x=0</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D</m:t>
            </m:r>
          </m:e>
          <m:sub>
            <m:r>
              <w:rPr>
                <w:rFonts w:ascii="Cambria Math" w:eastAsia="Cambria Math" w:hAnsi="Cambria Math" w:cs="Cambria Math"/>
              </w:rPr>
              <m:t>O</m:t>
            </m:r>
          </m:sub>
        </m:sSub>
        <m:sSub>
          <m:sSubPr>
            <m:ctrlPr>
              <w:rPr>
                <w:rFonts w:ascii="Cambria Math" w:eastAsia="Cambria Math" w:hAnsi="Cambria Math" w:cs="Cambria Math"/>
              </w:rPr>
            </m:ctrlPr>
          </m:sSubPr>
          <m:e>
            <m:d>
              <m:dPr>
                <m:ctrlPr>
                  <w:rPr>
                    <w:rFonts w:ascii="Cambria Math" w:eastAsia="Cambria Math" w:hAnsi="Cambria Math" w:cs="Cambria Math"/>
                  </w:rPr>
                </m:ctrlPr>
              </m:dPr>
              <m:e>
                <m:r>
                  <w:rPr>
                    <w:rFonts w:ascii="Cambria Math" w:eastAsia="Cambria Math" w:hAnsi="Cambria Math" w:cs="Cambria Math"/>
                  </w:rPr>
                  <m:t>d</m:t>
                </m:r>
                <m:sSub>
                  <m:sSubPr>
                    <m:ctrlPr>
                      <w:rPr>
                        <w:rFonts w:ascii="Cambria Math" w:eastAsia="Cambria Math" w:hAnsi="Cambria Math" w:cs="Cambria Math"/>
                      </w:rPr>
                    </m:ctrlPr>
                  </m:sSubPr>
                  <m:e>
                    <m:r>
                      <w:rPr>
                        <w:rFonts w:ascii="Cambria Math" w:eastAsia="Cambria Math" w:hAnsi="Cambria Math" w:cs="Cambria Math"/>
                      </w:rPr>
                      <m:t>C</m:t>
                    </m:r>
                  </m:e>
                  <m:sub>
                    <m:r>
                      <w:rPr>
                        <w:rFonts w:ascii="Cambria Math" w:eastAsia="Cambria Math" w:hAnsi="Cambria Math" w:cs="Cambria Math"/>
                      </w:rPr>
                      <m:t>O</m:t>
                    </m:r>
                  </m:sub>
                </m:sSub>
                <m:r>
                  <w:rPr>
                    <w:rFonts w:ascii="Cambria Math" w:eastAsia="Cambria Math" w:hAnsi="Cambria Math" w:cs="Cambria Math"/>
                  </w:rPr>
                  <m:t>/dx</m:t>
                </m:r>
              </m:e>
            </m:d>
          </m:e>
          <m:sub>
            <m:r>
              <w:rPr>
                <w:rFonts w:ascii="Cambria Math" w:eastAsia="Cambria Math" w:hAnsi="Cambria Math" w:cs="Cambria Math"/>
              </w:rPr>
              <m:t>x=0</m:t>
            </m:r>
          </m:sub>
        </m:sSub>
      </m:oMath>
      <w:r w:rsidR="00A105C1">
        <w:rPr>
          <w:rFonts w:ascii="Cambria Math" w:eastAsia="Cambria Math" w:hAnsi="Cambria Math" w:cs="Cambria Math"/>
        </w:rPr>
        <w:tab/>
      </w:r>
      <w:r w:rsidR="00847506">
        <w:rPr>
          <w:rFonts w:ascii="Cambria Math" w:eastAsia="Cambria Math" w:hAnsi="Cambria Math" w:cs="Cambria Math"/>
        </w:rPr>
        <w:t>(Eqn. S2)</w:t>
      </w:r>
    </w:p>
    <w:p w14:paraId="00000056" w14:textId="77777777" w:rsidR="000D08FA" w:rsidRDefault="005F4E0B">
      <w:r>
        <w:t xml:space="preserve">Assume a linear concentration gradient within the diffusion layer, then from the equation, </w:t>
      </w:r>
    </w:p>
    <w:p w14:paraId="00000057" w14:textId="03B62B95" w:rsidR="000D08FA" w:rsidRDefault="00E94603">
      <w:pPr>
        <w:jc w:val="center"/>
        <w:rPr>
          <w:rFonts w:ascii="Cambria Math" w:eastAsia="Cambria Math" w:hAnsi="Cambria Math" w:cs="Cambria Math"/>
        </w:rPr>
      </w:pPr>
      <m:oMath>
        <m:sSub>
          <m:sSubPr>
            <m:ctrlPr>
              <w:rPr>
                <w:rFonts w:ascii="Cambria Math" w:eastAsia="Cambria Math" w:hAnsi="Cambria Math" w:cs="Cambria Math"/>
              </w:rPr>
            </m:ctrlPr>
          </m:sSubPr>
          <m:e>
            <m:r>
              <w:rPr>
                <w:rFonts w:ascii="Cambria Math" w:eastAsia="Cambria Math" w:hAnsi="Cambria Math" w:cs="Cambria Math"/>
              </w:rPr>
              <m:t>v</m:t>
            </m:r>
          </m:e>
          <m:sub>
            <m:r>
              <w:rPr>
                <w:rFonts w:ascii="Cambria Math" w:eastAsia="Cambria Math" w:hAnsi="Cambria Math" w:cs="Cambria Math"/>
              </w:rPr>
              <m:t>mt</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D</m:t>
            </m:r>
          </m:e>
          <m:sub>
            <m:r>
              <w:rPr>
                <w:rFonts w:ascii="Cambria Math" w:eastAsia="Cambria Math" w:hAnsi="Cambria Math" w:cs="Cambria Math"/>
              </w:rPr>
              <m:t>O</m:t>
            </m:r>
          </m:sub>
        </m:sSub>
        <m:d>
          <m:dPr>
            <m:begChr m:val="["/>
            <m:endChr m:val="]"/>
            <m:ctrlPr>
              <w:rPr>
                <w:rFonts w:ascii="Cambria Math" w:eastAsia="Cambria Math" w:hAnsi="Cambria Math" w:cs="Cambria Math"/>
              </w:rPr>
            </m:ctrlPr>
          </m:dPr>
          <m:e>
            <m:sSubSup>
              <m:sSubSupPr>
                <m:ctrlPr>
                  <w:rPr>
                    <w:rFonts w:ascii="Cambria Math" w:eastAsia="Cambria Math" w:hAnsi="Cambria Math" w:cs="Cambria Math"/>
                  </w:rPr>
                </m:ctrlPr>
              </m:sSubSupPr>
              <m:e>
                <m:r>
                  <w:rPr>
                    <w:rFonts w:ascii="Cambria Math" w:eastAsia="Cambria Math" w:hAnsi="Cambria Math" w:cs="Cambria Math"/>
                  </w:rPr>
                  <m:t>C</m:t>
                </m:r>
              </m:e>
              <m:sub>
                <m:r>
                  <w:rPr>
                    <w:rFonts w:ascii="Cambria Math" w:eastAsia="Cambria Math" w:hAnsi="Cambria Math" w:cs="Cambria Math"/>
                  </w:rPr>
                  <m:t>O</m:t>
                </m:r>
              </m:sub>
              <m:sup>
                <m:r>
                  <w:rPr>
                    <w:rFonts w:ascii="Cambria Math" w:eastAsia="Cambria Math" w:hAnsi="Cambria Math" w:cs="Cambria Math"/>
                  </w:rPr>
                  <m:t>*</m:t>
                </m:r>
              </m:sup>
            </m:sSubSup>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C</m:t>
                </m:r>
              </m:e>
              <m:sub>
                <m:r>
                  <w:rPr>
                    <w:rFonts w:ascii="Cambria Math" w:eastAsia="Cambria Math" w:hAnsi="Cambria Math" w:cs="Cambria Math"/>
                  </w:rPr>
                  <m:t>O</m:t>
                </m:r>
              </m:sub>
            </m:sSub>
            <m:d>
              <m:dPr>
                <m:ctrlPr>
                  <w:rPr>
                    <w:rFonts w:ascii="Cambria Math" w:eastAsia="Cambria Math" w:hAnsi="Cambria Math" w:cs="Cambria Math"/>
                  </w:rPr>
                </m:ctrlPr>
              </m:dPr>
              <m:e>
                <m:r>
                  <w:rPr>
                    <w:rFonts w:ascii="Cambria Math" w:eastAsia="Cambria Math" w:hAnsi="Cambria Math" w:cs="Cambria Math"/>
                  </w:rPr>
                  <m:t>x=0</m:t>
                </m:r>
              </m:e>
            </m:d>
          </m:e>
        </m:d>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O</m:t>
            </m:r>
          </m:sub>
        </m:sSub>
      </m:oMath>
      <w:r w:rsidR="00A105C1">
        <w:rPr>
          <w:rFonts w:ascii="Cambria Math" w:eastAsia="Cambria Math" w:hAnsi="Cambria Math" w:cs="Cambria Math"/>
        </w:rPr>
        <w:tab/>
      </w:r>
      <w:r w:rsidR="00A105C1">
        <w:rPr>
          <w:rFonts w:ascii="Cambria Math" w:eastAsia="Cambria Math" w:hAnsi="Cambria Math" w:cs="Cambria Math"/>
        </w:rPr>
        <w:tab/>
      </w:r>
      <w:r w:rsidR="00A105C1">
        <w:rPr>
          <w:rFonts w:ascii="Cambria Math" w:eastAsia="Cambria Math" w:hAnsi="Cambria Math" w:cs="Cambria Math"/>
        </w:rPr>
        <w:tab/>
        <w:t>(Eqn. S3)</w:t>
      </w:r>
    </w:p>
    <w:p w14:paraId="00000058" w14:textId="77777777" w:rsidR="000D08FA" w:rsidRDefault="005F4E0B">
      <w:r>
        <w:t xml:space="preserve">Since the diffusion layer is often unknown, it is convenient to combine it with the diffusion coefficient to produce a single constant, </w:t>
      </w:r>
      <m:oMath>
        <m:sSub>
          <m:sSubPr>
            <m:ctrlPr>
              <w:rPr>
                <w:rFonts w:ascii="Cambria Math" w:eastAsia="Cambria Math" w:hAnsi="Cambria Math" w:cs="Cambria Math"/>
              </w:rPr>
            </m:ctrlPr>
          </m:sSubPr>
          <m:e>
            <m:r>
              <w:rPr>
                <w:rFonts w:ascii="Cambria Math" w:eastAsia="Cambria Math" w:hAnsi="Cambria Math" w:cs="Cambria Math"/>
              </w:rPr>
              <m:t>m</m:t>
            </m:r>
          </m:e>
          <m:sub>
            <m:r>
              <w:rPr>
                <w:rFonts w:ascii="Cambria Math" w:eastAsia="Cambria Math" w:hAnsi="Cambria Math" w:cs="Cambria Math"/>
              </w:rPr>
              <m:t>O</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D</m:t>
            </m:r>
          </m:e>
          <m:sub>
            <m:r>
              <w:rPr>
                <w:rFonts w:ascii="Cambria Math" w:eastAsia="Cambria Math" w:hAnsi="Cambria Math" w:cs="Cambria Math"/>
              </w:rPr>
              <m:t>O</m:t>
            </m:r>
          </m:sub>
        </m:sSub>
        <m:r>
          <w:rPr>
            <w:rFonts w:ascii="Cambria Math" w:eastAsia="Cambria Math" w:hAnsi="Cambria Math" w:cs="Cambria Math"/>
          </w:rPr>
          <m:t xml:space="preserve">/ </m:t>
        </m:r>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O</m:t>
            </m:r>
          </m:sub>
        </m:sSub>
      </m:oMath>
    </w:p>
    <w:p w14:paraId="00000059" w14:textId="2AFF62C7" w:rsidR="000D08FA" w:rsidRDefault="00E94603">
      <w:pPr>
        <w:jc w:val="center"/>
        <w:rPr>
          <w:rFonts w:ascii="Cambria Math" w:eastAsia="Cambria Math" w:hAnsi="Cambria Math" w:cs="Cambria Math"/>
        </w:rPr>
      </w:pPr>
      <m:oMath>
        <m:sSub>
          <m:sSubPr>
            <m:ctrlPr>
              <w:rPr>
                <w:rFonts w:ascii="Cambria Math" w:eastAsia="Cambria Math" w:hAnsi="Cambria Math" w:cs="Cambria Math"/>
              </w:rPr>
            </m:ctrlPr>
          </m:sSubPr>
          <m:e>
            <m:r>
              <w:rPr>
                <w:rFonts w:ascii="Cambria Math" w:eastAsia="Cambria Math" w:hAnsi="Cambria Math" w:cs="Cambria Math"/>
              </w:rPr>
              <m:t>v</m:t>
            </m:r>
          </m:e>
          <m:sub>
            <m:r>
              <w:rPr>
                <w:rFonts w:ascii="Cambria Math" w:eastAsia="Cambria Math" w:hAnsi="Cambria Math" w:cs="Cambria Math"/>
              </w:rPr>
              <m:t>mt</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m</m:t>
            </m:r>
          </m:e>
          <m:sub>
            <m:r>
              <w:rPr>
                <w:rFonts w:ascii="Cambria Math" w:eastAsia="Cambria Math" w:hAnsi="Cambria Math" w:cs="Cambria Math"/>
              </w:rPr>
              <m:t>O</m:t>
            </m:r>
          </m:sub>
        </m:sSub>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C</m:t>
            </m:r>
          </m:e>
          <m:sub>
            <m:r>
              <w:rPr>
                <w:rFonts w:ascii="Cambria Math" w:eastAsia="Cambria Math" w:hAnsi="Cambria Math" w:cs="Cambria Math"/>
              </w:rPr>
              <m:t>O</m:t>
            </m:r>
          </m:sub>
          <m:sup>
            <m:r>
              <w:rPr>
                <w:rFonts w:ascii="Cambria Math" w:eastAsia="Cambria Math" w:hAnsi="Cambria Math" w:cs="Cambria Math"/>
              </w:rPr>
              <m:t>*</m:t>
            </m:r>
          </m:sup>
        </m:sSubSup>
        <m:r>
          <w:rPr>
            <w:rFonts w:ascii="Cambria Math" w:eastAsia="Cambria Math" w:hAnsi="Cambria Math" w:cs="Cambria Math"/>
          </w:rPr>
          <m:t>-C(x=0)</m:t>
        </m:r>
      </m:oMath>
      <w:r w:rsidR="00A105C1">
        <w:rPr>
          <w:rFonts w:ascii="Cambria Math" w:eastAsia="Cambria Math" w:hAnsi="Cambria Math" w:cs="Cambria Math"/>
        </w:rPr>
        <w:tab/>
      </w:r>
      <w:r w:rsidR="00A105C1">
        <w:rPr>
          <w:rFonts w:ascii="Cambria Math" w:eastAsia="Cambria Math" w:hAnsi="Cambria Math" w:cs="Cambria Math"/>
        </w:rPr>
        <w:tab/>
      </w:r>
      <w:r w:rsidR="00A105C1">
        <w:rPr>
          <w:rFonts w:ascii="Cambria Math" w:eastAsia="Cambria Math" w:hAnsi="Cambria Math" w:cs="Cambria Math"/>
        </w:rPr>
        <w:tab/>
        <w:t>(Eqn. S4)</w:t>
      </w:r>
    </w:p>
    <w:p w14:paraId="0000005A" w14:textId="77777777" w:rsidR="000D08FA" w:rsidRDefault="005F4E0B">
      <w:r>
        <w:t xml:space="preserve">The proportionality constant, </w:t>
      </w:r>
      <m:oMath>
        <m:sSub>
          <m:sSubPr>
            <m:ctrlPr>
              <w:rPr>
                <w:rFonts w:ascii="Cambria Math" w:eastAsia="Cambria Math" w:hAnsi="Cambria Math" w:cs="Cambria Math"/>
              </w:rPr>
            </m:ctrlPr>
          </m:sSubPr>
          <m:e>
            <m:r>
              <w:rPr>
                <w:rFonts w:ascii="Cambria Math" w:eastAsia="Cambria Math" w:hAnsi="Cambria Math" w:cs="Cambria Math"/>
              </w:rPr>
              <m:t>m</m:t>
            </m:r>
          </m:e>
          <m:sub>
            <m:r>
              <w:rPr>
                <w:rFonts w:ascii="Cambria Math" w:eastAsia="Cambria Math" w:hAnsi="Cambria Math" w:cs="Cambria Math"/>
              </w:rPr>
              <m:t>O</m:t>
            </m:r>
          </m:sub>
        </m:sSub>
      </m:oMath>
      <w:r>
        <w:t>, called the mass-transfer coefficient, has units of cm.s</w:t>
      </w:r>
      <w:r>
        <w:rPr>
          <w:vertAlign w:val="superscript"/>
        </w:rPr>
        <w:t>-1</w:t>
      </w:r>
      <w:r>
        <w:t xml:space="preserve">. Since </w:t>
      </w:r>
      <m:oMath>
        <m:sSubSup>
          <m:sSubSupPr>
            <m:ctrlPr>
              <w:rPr>
                <w:rFonts w:ascii="Cambria Math" w:eastAsia="Cambria Math" w:hAnsi="Cambria Math" w:cs="Cambria Math"/>
              </w:rPr>
            </m:ctrlPr>
          </m:sSubSupPr>
          <m:e>
            <m:r>
              <w:rPr>
                <w:rFonts w:ascii="Cambria Math" w:eastAsia="Cambria Math" w:hAnsi="Cambria Math" w:cs="Cambria Math"/>
              </w:rPr>
              <m:t>C</m:t>
            </m:r>
          </m:e>
          <m:sub>
            <m:r>
              <w:rPr>
                <w:rFonts w:ascii="Cambria Math" w:eastAsia="Cambria Math" w:hAnsi="Cambria Math" w:cs="Cambria Math"/>
              </w:rPr>
              <m:t>O</m:t>
            </m:r>
          </m:sub>
          <m:sup>
            <m:r>
              <w:rPr>
                <w:rFonts w:ascii="Cambria Math" w:eastAsia="Cambria Math" w:hAnsi="Cambria Math" w:cs="Cambria Math"/>
              </w:rPr>
              <m:t>*</m:t>
            </m:r>
          </m:sup>
        </m:sSubSup>
        <m:r>
          <w:rPr>
            <w:rFonts w:ascii="Cambria Math" w:eastAsia="Cambria Math" w:hAnsi="Cambria Math" w:cs="Cambria Math"/>
          </w:rPr>
          <m:t>&gt;</m:t>
        </m:r>
        <m:sSub>
          <m:sSubPr>
            <m:ctrlPr>
              <w:rPr>
                <w:rFonts w:ascii="Cambria Math" w:eastAsia="Cambria Math" w:hAnsi="Cambria Math" w:cs="Cambria Math"/>
              </w:rPr>
            </m:ctrlPr>
          </m:sSubPr>
          <m:e>
            <m:r>
              <w:rPr>
                <w:rFonts w:ascii="Cambria Math" w:eastAsia="Cambria Math" w:hAnsi="Cambria Math" w:cs="Cambria Math"/>
              </w:rPr>
              <m:t>C</m:t>
            </m:r>
          </m:e>
          <m:sub>
            <m:r>
              <w:rPr>
                <w:rFonts w:ascii="Cambria Math" w:eastAsia="Cambria Math" w:hAnsi="Cambria Math" w:cs="Cambria Math"/>
              </w:rPr>
              <m:t>O</m:t>
            </m:r>
          </m:sub>
        </m:sSub>
        <m:r>
          <w:rPr>
            <w:rFonts w:ascii="Cambria Math" w:eastAsia="Cambria Math" w:hAnsi="Cambria Math" w:cs="Cambria Math"/>
          </w:rPr>
          <m:t>(x=0)</m:t>
        </m:r>
      </m:oMath>
    </w:p>
    <w:p w14:paraId="0000005B" w14:textId="052BB22A" w:rsidR="000D08FA" w:rsidRDefault="00E94603">
      <w:pPr>
        <w:jc w:val="center"/>
        <w:rPr>
          <w:rFonts w:ascii="Cambria Math" w:eastAsia="Cambria Math" w:hAnsi="Cambria Math" w:cs="Cambria Math"/>
        </w:rPr>
      </w:pPr>
      <m:oMath>
        <m:f>
          <m:fPr>
            <m:ctrlPr>
              <w:rPr>
                <w:rFonts w:ascii="Cambria Math" w:eastAsia="Cambria Math" w:hAnsi="Cambria Math" w:cs="Cambria Math"/>
              </w:rPr>
            </m:ctrlPr>
          </m:fPr>
          <m:num>
            <m:r>
              <w:rPr>
                <w:rFonts w:ascii="Cambria Math" w:eastAsia="Cambria Math" w:hAnsi="Cambria Math" w:cs="Cambria Math"/>
              </w:rPr>
              <m:t>i</m:t>
            </m:r>
          </m:num>
          <m:den>
            <m:r>
              <w:rPr>
                <w:rFonts w:ascii="Cambria Math" w:eastAsia="Cambria Math" w:hAnsi="Cambria Math" w:cs="Cambria Math"/>
              </w:rPr>
              <m:t>nFA</m:t>
            </m:r>
          </m:den>
        </m:f>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m</m:t>
            </m:r>
          </m:e>
          <m:sub>
            <m:r>
              <w:rPr>
                <w:rFonts w:ascii="Cambria Math" w:eastAsia="Cambria Math" w:hAnsi="Cambria Math" w:cs="Cambria Math"/>
              </w:rPr>
              <m:t>O</m:t>
            </m:r>
          </m:sub>
        </m:sSub>
        <m:d>
          <m:dPr>
            <m:begChr m:val="["/>
            <m:endChr m:val="]"/>
            <m:ctrlPr>
              <w:rPr>
                <w:rFonts w:ascii="Cambria Math" w:eastAsia="Cambria Math" w:hAnsi="Cambria Math" w:cs="Cambria Math"/>
              </w:rPr>
            </m:ctrlPr>
          </m:dPr>
          <m:e>
            <m:sSubSup>
              <m:sSubSupPr>
                <m:ctrlPr>
                  <w:rPr>
                    <w:rFonts w:ascii="Cambria Math" w:eastAsia="Cambria Math" w:hAnsi="Cambria Math" w:cs="Cambria Math"/>
                  </w:rPr>
                </m:ctrlPr>
              </m:sSubSupPr>
              <m:e>
                <m:r>
                  <w:rPr>
                    <w:rFonts w:ascii="Cambria Math" w:eastAsia="Cambria Math" w:hAnsi="Cambria Math" w:cs="Cambria Math"/>
                  </w:rPr>
                  <m:t>C</m:t>
                </m:r>
              </m:e>
              <m:sub>
                <m:r>
                  <w:rPr>
                    <w:rFonts w:ascii="Cambria Math" w:eastAsia="Cambria Math" w:hAnsi="Cambria Math" w:cs="Cambria Math"/>
                  </w:rPr>
                  <m:t>O</m:t>
                </m:r>
              </m:sub>
              <m:sup>
                <m:r>
                  <w:rPr>
                    <w:rFonts w:ascii="Cambria Math" w:eastAsia="Cambria Math" w:hAnsi="Cambria Math" w:cs="Cambria Math"/>
                  </w:rPr>
                  <m:t>*</m:t>
                </m:r>
              </m:sup>
            </m:sSubSup>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C</m:t>
                </m:r>
              </m:e>
              <m:sub>
                <m:r>
                  <w:rPr>
                    <w:rFonts w:ascii="Cambria Math" w:eastAsia="Cambria Math" w:hAnsi="Cambria Math" w:cs="Cambria Math"/>
                  </w:rPr>
                  <m:t>O</m:t>
                </m:r>
              </m:sub>
            </m:sSub>
            <m:d>
              <m:dPr>
                <m:ctrlPr>
                  <w:rPr>
                    <w:rFonts w:ascii="Cambria Math" w:eastAsia="Cambria Math" w:hAnsi="Cambria Math" w:cs="Cambria Math"/>
                  </w:rPr>
                </m:ctrlPr>
              </m:dPr>
              <m:e>
                <m:r>
                  <w:rPr>
                    <w:rFonts w:ascii="Cambria Math" w:eastAsia="Cambria Math" w:hAnsi="Cambria Math" w:cs="Cambria Math"/>
                  </w:rPr>
                  <m:t>x=0</m:t>
                </m:r>
              </m:e>
            </m:d>
          </m:e>
        </m:d>
      </m:oMath>
      <w:r w:rsidR="00A105C1">
        <w:rPr>
          <w:rFonts w:ascii="Cambria Math" w:eastAsia="Cambria Math" w:hAnsi="Cambria Math" w:cs="Cambria Math"/>
        </w:rPr>
        <w:tab/>
      </w:r>
      <w:r w:rsidR="00A105C1">
        <w:rPr>
          <w:rFonts w:ascii="Cambria Math" w:eastAsia="Cambria Math" w:hAnsi="Cambria Math" w:cs="Cambria Math"/>
        </w:rPr>
        <w:tab/>
      </w:r>
      <w:r w:rsidR="00CE64CB">
        <w:rPr>
          <w:rFonts w:ascii="Cambria Math" w:eastAsia="Cambria Math" w:hAnsi="Cambria Math" w:cs="Cambria Math"/>
        </w:rPr>
        <w:tab/>
      </w:r>
      <w:r w:rsidR="00A105C1">
        <w:rPr>
          <w:rFonts w:ascii="Cambria Math" w:eastAsia="Cambria Math" w:hAnsi="Cambria Math" w:cs="Cambria Math"/>
        </w:rPr>
        <w:t>(Eqn. S5)</w:t>
      </w:r>
    </w:p>
    <w:p w14:paraId="0000005C" w14:textId="77777777" w:rsidR="000D08FA" w:rsidRDefault="005F4E0B">
      <w:r>
        <w:t xml:space="preserve">The value of </w:t>
      </w:r>
      <m:oMath>
        <m:sSub>
          <m:sSubPr>
            <m:ctrlPr>
              <w:rPr>
                <w:rFonts w:ascii="Cambria Math" w:eastAsia="Cambria Math" w:hAnsi="Cambria Math" w:cs="Cambria Math"/>
              </w:rPr>
            </m:ctrlPr>
          </m:sSubPr>
          <m:e>
            <m:r>
              <w:rPr>
                <w:rFonts w:ascii="Cambria Math" w:eastAsia="Cambria Math" w:hAnsi="Cambria Math" w:cs="Cambria Math"/>
              </w:rPr>
              <m:t>C</m:t>
            </m:r>
          </m:e>
          <m:sub>
            <m:r>
              <w:rPr>
                <w:rFonts w:ascii="Cambria Math" w:eastAsia="Cambria Math" w:hAnsi="Cambria Math" w:cs="Cambria Math"/>
              </w:rPr>
              <m:t>O</m:t>
            </m:r>
          </m:sub>
        </m:sSub>
        <m:d>
          <m:dPr>
            <m:ctrlPr>
              <w:rPr>
                <w:rFonts w:ascii="Cambria Math" w:eastAsia="Cambria Math" w:hAnsi="Cambria Math" w:cs="Cambria Math"/>
              </w:rPr>
            </m:ctrlPr>
          </m:dPr>
          <m:e>
            <m:r>
              <w:rPr>
                <w:rFonts w:ascii="Cambria Math" w:eastAsia="Cambria Math" w:hAnsi="Cambria Math" w:cs="Cambria Math"/>
              </w:rPr>
              <m:t>x=0</m:t>
            </m:r>
          </m:e>
        </m:d>
      </m:oMath>
      <w:r>
        <w:t xml:space="preserve"> are function of electrode potential E. The largest rate of mass transfer of CymA occurs when </w:t>
      </w:r>
      <m:oMath>
        <m:sSub>
          <m:sSubPr>
            <m:ctrlPr>
              <w:rPr>
                <w:rFonts w:ascii="Cambria Math" w:eastAsia="Cambria Math" w:hAnsi="Cambria Math" w:cs="Cambria Math"/>
              </w:rPr>
            </m:ctrlPr>
          </m:sSubPr>
          <m:e>
            <m:r>
              <w:rPr>
                <w:rFonts w:ascii="Cambria Math" w:eastAsia="Cambria Math" w:hAnsi="Cambria Math" w:cs="Cambria Math"/>
              </w:rPr>
              <m:t>C</m:t>
            </m:r>
          </m:e>
          <m:sub>
            <m:r>
              <w:rPr>
                <w:rFonts w:ascii="Cambria Math" w:eastAsia="Cambria Math" w:hAnsi="Cambria Math" w:cs="Cambria Math"/>
              </w:rPr>
              <m:t>O</m:t>
            </m:r>
          </m:sub>
        </m:sSub>
        <m:d>
          <m:dPr>
            <m:ctrlPr>
              <w:rPr>
                <w:rFonts w:ascii="Cambria Math" w:eastAsia="Cambria Math" w:hAnsi="Cambria Math" w:cs="Cambria Math"/>
              </w:rPr>
            </m:ctrlPr>
          </m:dPr>
          <m:e>
            <m:r>
              <w:rPr>
                <w:rFonts w:ascii="Cambria Math" w:eastAsia="Cambria Math" w:hAnsi="Cambria Math" w:cs="Cambria Math"/>
              </w:rPr>
              <m:t>x=0</m:t>
            </m:r>
          </m:e>
        </m:d>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C</m:t>
            </m:r>
          </m:e>
          <m:sub>
            <m:r>
              <w:rPr>
                <w:rFonts w:ascii="Cambria Math" w:eastAsia="Cambria Math" w:hAnsi="Cambria Math" w:cs="Cambria Math"/>
              </w:rPr>
              <m:t>O</m:t>
            </m:r>
          </m:sub>
          <m:sup>
            <m:r>
              <w:rPr>
                <w:rFonts w:ascii="Cambria Math" w:eastAsia="Cambria Math" w:hAnsi="Cambria Math" w:cs="Cambria Math"/>
              </w:rPr>
              <m:t>*</m:t>
            </m:r>
          </m:sup>
        </m:sSubSup>
      </m:oMath>
      <w:r>
        <w:t>. The value of current under these conditions is called the limiting current,</w:t>
      </w:r>
      <m:oMath>
        <m:sSub>
          <m:sSubPr>
            <m:ctrlPr>
              <w:rPr>
                <w:rFonts w:ascii="Cambria Math" w:eastAsia="Cambria Math" w:hAnsi="Cambria Math" w:cs="Cambria Math"/>
              </w:rPr>
            </m:ctrlPr>
          </m:sSubPr>
          <m:e>
            <m:r>
              <w:rPr>
                <w:rFonts w:ascii="Cambria Math" w:eastAsia="Cambria Math" w:hAnsi="Cambria Math" w:cs="Cambria Math"/>
              </w:rPr>
              <m:t xml:space="preserve"> i</m:t>
            </m:r>
          </m:e>
          <m:sub>
            <m:r>
              <w:rPr>
                <w:rFonts w:ascii="Cambria Math" w:eastAsia="Cambria Math" w:hAnsi="Cambria Math" w:cs="Cambria Math"/>
              </w:rPr>
              <m:t>l</m:t>
            </m:r>
          </m:sub>
        </m:sSub>
      </m:oMath>
      <w:r>
        <w:t>, where</w:t>
      </w:r>
    </w:p>
    <w:p w14:paraId="0000005D" w14:textId="4F9A0C39" w:rsidR="000D08FA" w:rsidRDefault="00E94603">
      <w:pPr>
        <w:jc w:val="center"/>
        <w:rPr>
          <w:rFonts w:ascii="Cambria Math" w:eastAsia="Cambria Math" w:hAnsi="Cambria Math" w:cs="Cambria Math"/>
        </w:rPr>
      </w:pPr>
      <m:oMath>
        <m:sSub>
          <m:sSubPr>
            <m:ctrlPr>
              <w:rPr>
                <w:rFonts w:ascii="Cambria Math" w:eastAsia="Cambria Math" w:hAnsi="Cambria Math" w:cs="Cambria Math"/>
              </w:rPr>
            </m:ctrlPr>
          </m:sSubPr>
          <m:e>
            <m:r>
              <w:rPr>
                <w:rFonts w:ascii="Cambria Math" w:eastAsia="Cambria Math" w:hAnsi="Cambria Math" w:cs="Cambria Math"/>
              </w:rPr>
              <m:t>i</m:t>
            </m:r>
          </m:e>
          <m:sub>
            <m:r>
              <w:rPr>
                <w:rFonts w:ascii="Cambria Math" w:eastAsia="Cambria Math" w:hAnsi="Cambria Math" w:cs="Cambria Math"/>
              </w:rPr>
              <m:t>l</m:t>
            </m:r>
          </m:sub>
        </m:sSub>
        <m:r>
          <w:rPr>
            <w:rFonts w:ascii="Cambria Math" w:eastAsia="Cambria Math" w:hAnsi="Cambria Math" w:cs="Cambria Math"/>
          </w:rPr>
          <m:t>=nFA</m:t>
        </m:r>
        <m:sSub>
          <m:sSubPr>
            <m:ctrlPr>
              <w:rPr>
                <w:rFonts w:ascii="Cambria Math" w:eastAsia="Cambria Math" w:hAnsi="Cambria Math" w:cs="Cambria Math"/>
              </w:rPr>
            </m:ctrlPr>
          </m:sSubPr>
          <m:e>
            <m:r>
              <w:rPr>
                <w:rFonts w:ascii="Cambria Math" w:eastAsia="Cambria Math" w:hAnsi="Cambria Math" w:cs="Cambria Math"/>
              </w:rPr>
              <m:t>m</m:t>
            </m:r>
          </m:e>
          <m:sub>
            <m:r>
              <w:rPr>
                <w:rFonts w:ascii="Cambria Math" w:eastAsia="Cambria Math" w:hAnsi="Cambria Math" w:cs="Cambria Math"/>
              </w:rPr>
              <m:t>O</m:t>
            </m:r>
          </m:sub>
        </m:sSub>
        <m:sSubSup>
          <m:sSubSupPr>
            <m:ctrlPr>
              <w:rPr>
                <w:rFonts w:ascii="Cambria Math" w:eastAsia="Cambria Math" w:hAnsi="Cambria Math" w:cs="Cambria Math"/>
              </w:rPr>
            </m:ctrlPr>
          </m:sSubSupPr>
          <m:e>
            <m:r>
              <w:rPr>
                <w:rFonts w:ascii="Cambria Math" w:eastAsia="Cambria Math" w:hAnsi="Cambria Math" w:cs="Cambria Math"/>
              </w:rPr>
              <m:t>C</m:t>
            </m:r>
          </m:e>
          <m:sub>
            <m:r>
              <w:rPr>
                <w:rFonts w:ascii="Cambria Math" w:eastAsia="Cambria Math" w:hAnsi="Cambria Math" w:cs="Cambria Math"/>
              </w:rPr>
              <m:t>O</m:t>
            </m:r>
          </m:sub>
          <m:sup>
            <m:r>
              <w:rPr>
                <w:rFonts w:ascii="Cambria Math" w:eastAsia="Cambria Math" w:hAnsi="Cambria Math" w:cs="Cambria Math"/>
              </w:rPr>
              <m:t>*</m:t>
            </m:r>
          </m:sup>
        </m:sSubSup>
      </m:oMath>
      <w:r w:rsidR="00847506">
        <w:rPr>
          <w:rFonts w:ascii="Cambria Math" w:eastAsia="Cambria Math" w:hAnsi="Cambria Math" w:cs="Cambria Math"/>
        </w:rPr>
        <w:tab/>
      </w:r>
      <w:r w:rsidR="00847506">
        <w:rPr>
          <w:rFonts w:ascii="Cambria Math" w:eastAsia="Cambria Math" w:hAnsi="Cambria Math" w:cs="Cambria Math"/>
        </w:rPr>
        <w:tab/>
      </w:r>
      <w:r w:rsidR="00CE64CB">
        <w:rPr>
          <w:rFonts w:ascii="Cambria Math" w:eastAsia="Cambria Math" w:hAnsi="Cambria Math" w:cs="Cambria Math"/>
        </w:rPr>
        <w:tab/>
      </w:r>
      <w:r w:rsidR="00CE64CB">
        <w:rPr>
          <w:rFonts w:ascii="Cambria Math" w:eastAsia="Cambria Math" w:hAnsi="Cambria Math" w:cs="Cambria Math"/>
        </w:rPr>
        <w:tab/>
      </w:r>
      <w:r w:rsidR="00CE64CB">
        <w:rPr>
          <w:rFonts w:ascii="Cambria Math" w:eastAsia="Cambria Math" w:hAnsi="Cambria Math" w:cs="Cambria Math"/>
        </w:rPr>
        <w:tab/>
        <w:t>(</w:t>
      </w:r>
      <w:r w:rsidR="00847506">
        <w:rPr>
          <w:rFonts w:ascii="Cambria Math" w:eastAsia="Cambria Math" w:hAnsi="Cambria Math" w:cs="Cambria Math"/>
        </w:rPr>
        <w:t>Eqn. S</w:t>
      </w:r>
      <w:r w:rsidR="00CE64CB">
        <w:rPr>
          <w:rFonts w:ascii="Cambria Math" w:eastAsia="Cambria Math" w:hAnsi="Cambria Math" w:cs="Cambria Math"/>
        </w:rPr>
        <w:t>6)</w:t>
      </w:r>
    </w:p>
    <w:p w14:paraId="0000005E" w14:textId="09F58C4A" w:rsidR="000D08FA" w:rsidRDefault="005F4E0B">
      <w:r>
        <w:t xml:space="preserve">Which indicates that the current values obtained is proportional to the concentration of redox species. When IPTG or As is present in the solution, resulting in higher concentration of CymA expression, which increase </w:t>
      </w:r>
      <m:oMath>
        <m:sSubSup>
          <m:sSubSupPr>
            <m:ctrlPr>
              <w:rPr>
                <w:rFonts w:ascii="Cambria Math" w:eastAsia="Cambria Math" w:hAnsi="Cambria Math" w:cs="Cambria Math"/>
              </w:rPr>
            </m:ctrlPr>
          </m:sSubSupPr>
          <m:e>
            <m:r>
              <w:rPr>
                <w:rFonts w:ascii="Cambria Math" w:eastAsia="Cambria Math" w:hAnsi="Cambria Math" w:cs="Cambria Math"/>
              </w:rPr>
              <m:t>C</m:t>
            </m:r>
          </m:e>
          <m:sub>
            <m:r>
              <w:rPr>
                <w:rFonts w:ascii="Cambria Math" w:eastAsia="Cambria Math" w:hAnsi="Cambria Math" w:cs="Cambria Math"/>
              </w:rPr>
              <m:t>O</m:t>
            </m:r>
          </m:sub>
          <m:sup>
            <m:r>
              <w:rPr>
                <w:rFonts w:ascii="Cambria Math" w:eastAsia="Cambria Math" w:hAnsi="Cambria Math" w:cs="Cambria Math"/>
              </w:rPr>
              <m:t>*</m:t>
            </m:r>
          </m:sup>
        </m:sSubSup>
      </m:oMath>
      <w:r>
        <w:t>, the ratio of two  current</w:t>
      </w:r>
      <w:r w:rsidR="002F60AC">
        <w:t xml:space="preserve"> respons</w:t>
      </w:r>
      <w:r w:rsidR="00D970AC">
        <w:t>es</w:t>
      </w:r>
      <w:r>
        <w:t xml:space="preserve"> can indicate the concentration levels of CymA expression.</w:t>
      </w:r>
      <w:r>
        <w:br w:type="page"/>
      </w:r>
    </w:p>
    <w:p w14:paraId="0000005F" w14:textId="7BF73CE3" w:rsidR="000D08FA" w:rsidRDefault="00BA2AB4">
      <w:pPr>
        <w:jc w:val="center"/>
      </w:pPr>
      <w:r w:rsidRPr="00BA2AB4">
        <w:rPr>
          <w:noProof/>
        </w:rPr>
        <w:lastRenderedPageBreak/>
        <w:drawing>
          <wp:inline distT="0" distB="0" distL="0" distR="0" wp14:anchorId="56E7D5FC" wp14:editId="7A1550D6">
            <wp:extent cx="3362036" cy="2113486"/>
            <wp:effectExtent l="0" t="0" r="3810" b="0"/>
            <wp:docPr id="766430316" name="Picture 1" descr="A diagram of a lab me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430316" name="Picture 1" descr="A diagram of a lab medium&#10;&#10;Description automatically generated"/>
                    <pic:cNvPicPr/>
                  </pic:nvPicPr>
                  <pic:blipFill>
                    <a:blip r:embed="rId15"/>
                    <a:stretch>
                      <a:fillRect/>
                    </a:stretch>
                  </pic:blipFill>
                  <pic:spPr>
                    <a:xfrm>
                      <a:off x="0" y="0"/>
                      <a:ext cx="3380987" cy="2125399"/>
                    </a:xfrm>
                    <a:prstGeom prst="rect">
                      <a:avLst/>
                    </a:prstGeom>
                  </pic:spPr>
                </pic:pic>
              </a:graphicData>
            </a:graphic>
          </wp:inline>
        </w:drawing>
      </w:r>
    </w:p>
    <w:p w14:paraId="00000066" w14:textId="0FF583FF" w:rsidR="000D08FA" w:rsidRDefault="005F4E0B" w:rsidP="002434B3">
      <w:r>
        <w:rPr>
          <w:b/>
        </w:rPr>
        <w:t>Fig S8.</w:t>
      </w:r>
      <w:r>
        <w:t xml:space="preserve"> </w:t>
      </w:r>
      <w:r w:rsidR="00BA2AB4">
        <w:t>During DPSC, c</w:t>
      </w:r>
      <w:r w:rsidR="00FF6611">
        <w:t xml:space="preserve">urrent response as </w:t>
      </w:r>
      <w:r w:rsidR="00BA2AB4">
        <w:t xml:space="preserve">a </w:t>
      </w:r>
      <w:r w:rsidR="00FF6611">
        <w:t xml:space="preserve">function of time decay from </w:t>
      </w:r>
      <w:r w:rsidR="00BA2AB4">
        <w:t>heavy metal-</w:t>
      </w:r>
      <w:r w:rsidR="00BA2AB4" w:rsidRPr="00DC4151">
        <w:rPr>
          <w:i/>
          <w:iCs/>
        </w:rPr>
        <w:t>E.</w:t>
      </w:r>
      <w:r w:rsidR="00F24C7B" w:rsidRPr="00DC4151">
        <w:rPr>
          <w:i/>
          <w:iCs/>
        </w:rPr>
        <w:t xml:space="preserve"> </w:t>
      </w:r>
      <w:r w:rsidR="00BA2AB4" w:rsidRPr="00DC4151">
        <w:rPr>
          <w:i/>
          <w:iCs/>
        </w:rPr>
        <w:t>coli</w:t>
      </w:r>
      <w:r w:rsidR="00BA2AB4">
        <w:t xml:space="preserve"> in laboratory medium. For the CymA-Channel, the oxidation current (green line) and baseline current (gray lines) were recorded at 0.2</w:t>
      </w:r>
      <w:r w:rsidR="00E94603">
        <w:t xml:space="preserve"> </w:t>
      </w:r>
      <w:r w:rsidR="00BA2AB4">
        <w:t>V and 0</w:t>
      </w:r>
      <w:r w:rsidR="00E94603">
        <w:t xml:space="preserve"> </w:t>
      </w:r>
      <w:r w:rsidR="00BA2AB4">
        <w:t xml:space="preserve">V for 3 biological independent samples. </w:t>
      </w:r>
    </w:p>
    <w:sectPr w:rsidR="000D08FA">
      <w:headerReference w:type="default" r:id="rId16"/>
      <w:pgSz w:w="12240" w:h="15840"/>
      <w:pgMar w:top="1440" w:right="1440" w:bottom="1440" w:left="1440" w:header="720" w:footer="720"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BCDE01" w14:textId="77777777" w:rsidR="00FD36AB" w:rsidRDefault="00FD36AB">
      <w:pPr>
        <w:spacing w:before="0" w:line="240" w:lineRule="auto"/>
      </w:pPr>
      <w:r>
        <w:separator/>
      </w:r>
    </w:p>
  </w:endnote>
  <w:endnote w:type="continuationSeparator" w:id="0">
    <w:p w14:paraId="2D45C755" w14:textId="77777777" w:rsidR="00FD36AB" w:rsidRDefault="00FD36A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embedRegular r:id="rId1" w:fontKey="{618F9EDD-956C-8E4F-B498-28D3DE578881}"/>
    <w:embedBold r:id="rId2" w:fontKey="{12C89B4D-1F7B-F343-A113-338A0520A0FF}"/>
    <w:embedItalic r:id="rId3" w:fontKey="{8D8FB28F-7C83-9045-90D8-65DD12CA0824}"/>
    <w:embedBoldItalic r:id="rId4" w:fontKey="{BC685372-A298-974C-9CB7-219C8E83BBB7}"/>
  </w:font>
  <w:font w:name="Arial Unicode MS">
    <w:panose1 w:val="020B0604020202020204"/>
    <w:charset w:val="80"/>
    <w:family w:val="swiss"/>
    <w:pitch w:val="variable"/>
    <w:sig w:usb0="F7FFAFFF" w:usb1="E9DFFFFF" w:usb2="0000003F" w:usb3="00000000" w:csb0="003F01FF" w:csb1="00000000"/>
  </w:font>
  <w:font w:name="Times New Roman (Body CS)">
    <w:altName w:val="Times New Roman"/>
    <w:panose1 w:val="020B0604020202020204"/>
    <w:charset w:val="00"/>
    <w:family w:val="roman"/>
    <w:pitch w:val="default"/>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embedRegular r:id="rId8" w:fontKey="{A996DAB1-6C52-5B4B-BCEF-288187A369C3}"/>
  </w:font>
  <w:font w:name="DengXian">
    <w:altName w:val="等线"/>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embedRegular r:id="rId9" w:fontKey="{246CE93C-CA9F-F049-91BE-5663907C0EC7}"/>
    <w:embedItalic r:id="rId10" w:fontKey="{B6777CF1-188F-C745-AF90-C92E2730938F}"/>
  </w:font>
  <w:font w:name="Cambria Math">
    <w:panose1 w:val="02040503050406030204"/>
    <w:charset w:val="00"/>
    <w:family w:val="roman"/>
    <w:pitch w:val="variable"/>
    <w:sig w:usb0="E00002FF" w:usb1="420024FF" w:usb2="00000000" w:usb3="00000000" w:csb0="0000019F" w:csb1="00000000"/>
    <w:embedRegular r:id="rId11" w:fontKey="{5F1715CC-7299-4540-88FF-4C9E6922A913}"/>
    <w:embedItalic r:id="rId12" w:fontKey="{AB13230C-D159-F849-B848-823EB7BCD1C6}"/>
  </w:font>
  <w:font w:name="Calibri Light">
    <w:panose1 w:val="020F0302020204030204"/>
    <w:charset w:val="00"/>
    <w:family w:val="swiss"/>
    <w:pitch w:val="variable"/>
    <w:sig w:usb0="E0002AFF" w:usb1="C000247B" w:usb2="00000009" w:usb3="00000000" w:csb0="000001FF" w:csb1="00000000"/>
    <w:embedRegular r:id="rId13" w:fontKey="{3E3680A0-1DBD-864B-8462-0D355A944061}"/>
  </w:font>
  <w:font w:name="Calibri">
    <w:panose1 w:val="020F0502020204030204"/>
    <w:charset w:val="00"/>
    <w:family w:val="swiss"/>
    <w:pitch w:val="variable"/>
    <w:sig w:usb0="E4002EFF" w:usb1="C200247B" w:usb2="00000009" w:usb3="00000000" w:csb0="000001FF" w:csb1="00000000"/>
    <w:embedRegular r:id="rId14" w:fontKey="{4E51B34E-7150-4E41-B0A2-3A91FCA2C47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5B965C" w14:textId="77777777" w:rsidR="00FD36AB" w:rsidRDefault="00FD36AB">
      <w:pPr>
        <w:spacing w:before="0" w:line="240" w:lineRule="auto"/>
      </w:pPr>
      <w:r>
        <w:separator/>
      </w:r>
    </w:p>
  </w:footnote>
  <w:footnote w:type="continuationSeparator" w:id="0">
    <w:p w14:paraId="06F23BBC" w14:textId="77777777" w:rsidR="00FD36AB" w:rsidRDefault="00FD36AB">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7" w14:textId="77777777" w:rsidR="000D08FA" w:rsidRDefault="000D08F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7D6562"/>
    <w:multiLevelType w:val="multilevel"/>
    <w:tmpl w:val="405A1072"/>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562057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embedTrueTypeFonts/>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08FA"/>
    <w:rsid w:val="00071ADC"/>
    <w:rsid w:val="000D08FA"/>
    <w:rsid w:val="000D492C"/>
    <w:rsid w:val="002434B3"/>
    <w:rsid w:val="002F60AC"/>
    <w:rsid w:val="00367AC9"/>
    <w:rsid w:val="003A1A0D"/>
    <w:rsid w:val="003D3A2D"/>
    <w:rsid w:val="00400B9C"/>
    <w:rsid w:val="004D23DB"/>
    <w:rsid w:val="005F4E0B"/>
    <w:rsid w:val="006617ED"/>
    <w:rsid w:val="0068059A"/>
    <w:rsid w:val="006A4200"/>
    <w:rsid w:val="00747C6A"/>
    <w:rsid w:val="00841C76"/>
    <w:rsid w:val="00847506"/>
    <w:rsid w:val="00876D25"/>
    <w:rsid w:val="009C45B8"/>
    <w:rsid w:val="00A105C1"/>
    <w:rsid w:val="00AA08FC"/>
    <w:rsid w:val="00B44581"/>
    <w:rsid w:val="00BA2AB4"/>
    <w:rsid w:val="00BF4833"/>
    <w:rsid w:val="00C05AF3"/>
    <w:rsid w:val="00C23290"/>
    <w:rsid w:val="00CE64CB"/>
    <w:rsid w:val="00D24BED"/>
    <w:rsid w:val="00D42943"/>
    <w:rsid w:val="00D73333"/>
    <w:rsid w:val="00D970AC"/>
    <w:rsid w:val="00DC4151"/>
    <w:rsid w:val="00E62C54"/>
    <w:rsid w:val="00E94603"/>
    <w:rsid w:val="00F24C7B"/>
    <w:rsid w:val="00F645CA"/>
    <w:rsid w:val="00FA4259"/>
    <w:rsid w:val="00FD36AB"/>
    <w:rsid w:val="00FF66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F0323E5"/>
  <w15:docId w15:val="{31B2FF32-2147-844D-A88F-327840998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zh-CN" w:bidi="ar-SA"/>
      </w:rPr>
    </w:rPrDefault>
    <w:pPrDefault>
      <w:pPr>
        <w:spacing w:before="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784"/>
    <w:rPr>
      <w:rFonts w:eastAsia="Arial Unicode MS" w:cs="Times New Roman (Body CS)"/>
      <w:szCs w:val="24"/>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9A3255"/>
    <w:pPr>
      <w:keepNext/>
      <w:keepLines/>
      <w:numPr>
        <w:numId w:val="1"/>
      </w:numPr>
      <w:adjustRightInd w:val="0"/>
      <w:spacing w:after="120"/>
      <w:ind w:left="360" w:hanging="360"/>
      <w:jc w:val="left"/>
      <w:outlineLvl w:val="1"/>
    </w:pPr>
    <w:rPr>
      <w:rFonts w:eastAsiaTheme="majorEastAsia" w:cstheme="majorBidi"/>
      <w:color w:val="2F5496" w:themeColor="accent1" w:themeShade="BF"/>
      <w:kern w:val="2"/>
      <w:sz w:val="26"/>
      <w:szCs w:val="26"/>
    </w:rPr>
  </w:style>
  <w:style w:type="paragraph" w:styleId="Heading3">
    <w:name w:val="heading 3"/>
    <w:basedOn w:val="Normal"/>
    <w:next w:val="Normal"/>
    <w:link w:val="Heading3Char"/>
    <w:uiPriority w:val="9"/>
    <w:semiHidden/>
    <w:unhideWhenUsed/>
    <w:qFormat/>
    <w:rsid w:val="009A3255"/>
    <w:pPr>
      <w:keepNext/>
      <w:keepLines/>
      <w:adjustRightInd w:val="0"/>
      <w:spacing w:before="40" w:after="120"/>
      <w:jc w:val="left"/>
      <w:outlineLvl w:val="2"/>
    </w:pPr>
    <w:rPr>
      <w:rFonts w:eastAsiaTheme="majorEastAsia" w:cstheme="majorBidi"/>
      <w:color w:val="1F3763" w:themeColor="accent1" w:themeShade="7F"/>
      <w:kern w:val="2"/>
      <w:sz w:val="24"/>
    </w:rPr>
  </w:style>
  <w:style w:type="paragraph" w:styleId="Heading4">
    <w:name w:val="heading 4"/>
    <w:basedOn w:val="Normal"/>
    <w:next w:val="Normal"/>
    <w:uiPriority w:val="9"/>
    <w:semiHidden/>
    <w:unhideWhenUsed/>
    <w:qFormat/>
    <w:pPr>
      <w:keepNext/>
      <w:keepLines/>
      <w:spacing w:before="240" w:after="40"/>
      <w:outlineLvl w:val="3"/>
    </w:pPr>
    <w:rPr>
      <w:b/>
      <w:sz w:val="24"/>
    </w:rPr>
  </w:style>
  <w:style w:type="paragraph" w:styleId="Heading5">
    <w:name w:val="heading 5"/>
    <w:basedOn w:val="Normal"/>
    <w:next w:val="Normal"/>
    <w:uiPriority w:val="9"/>
    <w:semiHidden/>
    <w:unhideWhenUsed/>
    <w:qFormat/>
    <w:pPr>
      <w:keepNext/>
      <w:keepLines/>
      <w:spacing w:before="220" w:after="40"/>
      <w:outlineLvl w:val="4"/>
    </w:pPr>
    <w:rPr>
      <w:b/>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2Char">
    <w:name w:val="Heading 2 Char"/>
    <w:basedOn w:val="DefaultParagraphFont"/>
    <w:link w:val="Heading2"/>
    <w:uiPriority w:val="9"/>
    <w:rsid w:val="009A3255"/>
    <w:rPr>
      <w:rFonts w:ascii="Arial" w:eastAsiaTheme="majorEastAsia" w:hAnsi="Arial" w:cstheme="majorBidi"/>
      <w:color w:val="2F5496" w:themeColor="accent1" w:themeShade="BF"/>
      <w:sz w:val="26"/>
      <w:szCs w:val="26"/>
    </w:rPr>
  </w:style>
  <w:style w:type="paragraph" w:styleId="BodyText">
    <w:name w:val="Body Text"/>
    <w:basedOn w:val="Normal"/>
    <w:link w:val="BodyTextChar"/>
    <w:autoRedefine/>
    <w:uiPriority w:val="1"/>
    <w:qFormat/>
    <w:rsid w:val="009A3255"/>
    <w:pPr>
      <w:autoSpaceDE w:val="0"/>
      <w:autoSpaceDN w:val="0"/>
      <w:adjustRightInd w:val="0"/>
      <w:spacing w:before="1"/>
      <w:ind w:left="-683"/>
      <w:jc w:val="left"/>
    </w:pPr>
    <w:rPr>
      <w:rFonts w:eastAsiaTheme="minorEastAsia" w:cs="Arial"/>
      <w:kern w:val="2"/>
      <w:sz w:val="13"/>
      <w:szCs w:val="13"/>
    </w:rPr>
  </w:style>
  <w:style w:type="character" w:customStyle="1" w:styleId="BodyTextChar">
    <w:name w:val="Body Text Char"/>
    <w:basedOn w:val="DefaultParagraphFont"/>
    <w:link w:val="BodyText"/>
    <w:uiPriority w:val="1"/>
    <w:rsid w:val="009A3255"/>
    <w:rPr>
      <w:rFonts w:ascii="Arial" w:hAnsi="Arial" w:cs="Arial"/>
      <w:sz w:val="13"/>
      <w:szCs w:val="13"/>
    </w:rPr>
  </w:style>
  <w:style w:type="character" w:customStyle="1" w:styleId="Heading3Char">
    <w:name w:val="Heading 3 Char"/>
    <w:basedOn w:val="DefaultParagraphFont"/>
    <w:link w:val="Heading3"/>
    <w:uiPriority w:val="9"/>
    <w:rsid w:val="009A3255"/>
    <w:rPr>
      <w:rFonts w:ascii="Arial" w:eastAsiaTheme="majorEastAsia" w:hAnsi="Arial" w:cstheme="majorBidi"/>
      <w:color w:val="1F3763" w:themeColor="accent1" w:themeShade="7F"/>
      <w:sz w:val="24"/>
      <w:szCs w:val="24"/>
    </w:rPr>
  </w:style>
  <w:style w:type="paragraph" w:styleId="ListParagraph">
    <w:name w:val="List Paragraph"/>
    <w:basedOn w:val="Normal"/>
    <w:uiPriority w:val="34"/>
    <w:qFormat/>
    <w:rsid w:val="00EA5DAB"/>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706DCA"/>
  </w:style>
  <w:style w:type="paragraph" w:styleId="Revision">
    <w:name w:val="Revision"/>
    <w:hidden/>
    <w:uiPriority w:val="99"/>
    <w:semiHidden/>
    <w:rsid w:val="005A75D5"/>
    <w:pPr>
      <w:spacing w:before="0"/>
      <w:jc w:val="left"/>
    </w:pPr>
    <w:rPr>
      <w:rFonts w:eastAsia="Arial Unicode MS" w:cs="Times New Roman (Body CS)"/>
      <w:szCs w:val="24"/>
    </w:rPr>
  </w:style>
  <w:style w:type="character" w:styleId="PlaceholderText">
    <w:name w:val="Placeholder Text"/>
    <w:basedOn w:val="DefaultParagraphFont"/>
    <w:uiPriority w:val="99"/>
    <w:semiHidden/>
    <w:rsid w:val="00212548"/>
    <w:rPr>
      <w:color w:val="666666"/>
    </w:rPr>
  </w:style>
  <w:style w:type="paragraph" w:styleId="Header">
    <w:name w:val="header"/>
    <w:basedOn w:val="Normal"/>
    <w:link w:val="HeaderChar"/>
    <w:uiPriority w:val="99"/>
    <w:semiHidden/>
    <w:unhideWhenUsed/>
    <w:rsid w:val="007916EF"/>
    <w:pPr>
      <w:tabs>
        <w:tab w:val="center" w:pos="4680"/>
        <w:tab w:val="right" w:pos="9360"/>
      </w:tabs>
      <w:spacing w:before="0" w:line="240" w:lineRule="auto"/>
    </w:pPr>
  </w:style>
  <w:style w:type="character" w:customStyle="1" w:styleId="HeaderChar">
    <w:name w:val="Header Char"/>
    <w:basedOn w:val="DefaultParagraphFont"/>
    <w:link w:val="Header"/>
    <w:uiPriority w:val="99"/>
    <w:semiHidden/>
    <w:rsid w:val="007916EF"/>
    <w:rPr>
      <w:rFonts w:eastAsia="Arial Unicode MS" w:cs="Times New Roman (Body CS)"/>
      <w:szCs w:val="24"/>
    </w:rPr>
  </w:style>
  <w:style w:type="paragraph" w:styleId="Footer">
    <w:name w:val="footer"/>
    <w:basedOn w:val="Normal"/>
    <w:link w:val="FooterChar"/>
    <w:uiPriority w:val="99"/>
    <w:semiHidden/>
    <w:unhideWhenUsed/>
    <w:rsid w:val="007916EF"/>
    <w:pPr>
      <w:tabs>
        <w:tab w:val="center" w:pos="4680"/>
        <w:tab w:val="right" w:pos="9360"/>
      </w:tabs>
      <w:spacing w:before="0" w:line="240" w:lineRule="auto"/>
    </w:pPr>
  </w:style>
  <w:style w:type="character" w:customStyle="1" w:styleId="FooterChar">
    <w:name w:val="Footer Char"/>
    <w:basedOn w:val="DefaultParagraphFont"/>
    <w:link w:val="Footer"/>
    <w:uiPriority w:val="99"/>
    <w:semiHidden/>
    <w:rsid w:val="007916EF"/>
    <w:rPr>
      <w:rFonts w:eastAsia="Arial Unicode MS" w:cs="Times New Roman (Body CS)"/>
      <w:szCs w:val="24"/>
    </w:rPr>
  </w:style>
  <w:style w:type="paragraph" w:styleId="NormalWeb">
    <w:name w:val="Normal (Web)"/>
    <w:basedOn w:val="Normal"/>
    <w:uiPriority w:val="99"/>
    <w:semiHidden/>
    <w:unhideWhenUsed/>
    <w:rsid w:val="00FE0A67"/>
    <w:pPr>
      <w:spacing w:before="100" w:beforeAutospacing="1" w:after="100" w:afterAutospacing="1" w:line="240" w:lineRule="auto"/>
      <w:jc w:val="left"/>
    </w:pPr>
    <w:rPr>
      <w:rFonts w:ascii="Times New Roman" w:eastAsia="Times New Roman" w:hAnsi="Times New Roman" w:cs="Times New Roman"/>
      <w:sz w:val="24"/>
    </w:r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eastAsia="Arial Unicode MS" w:cs="Times New Roman (Body CS)"/>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p30to47d/wNK6QZsNHoXcPqPGg==">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.~WRD0002</Template>
  <TotalTime>73</TotalTime>
  <Pages>13</Pages>
  <Words>1114</Words>
  <Characters>6356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 zhang</dc:creator>
  <cp:lastModifiedBy>Xu Zhang</cp:lastModifiedBy>
  <cp:revision>27</cp:revision>
  <dcterms:created xsi:type="dcterms:W3CDTF">2023-10-19T17:26:00Z</dcterms:created>
  <dcterms:modified xsi:type="dcterms:W3CDTF">2024-07-21T19:15:00Z</dcterms:modified>
</cp:coreProperties>
</file>