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50173" w14:textId="77777777" w:rsidR="00B57DCE" w:rsidRPr="00D505D6" w:rsidRDefault="00B57DCE" w:rsidP="00B57DCE">
      <w:pPr>
        <w:pStyle w:val="BATitle"/>
      </w:pPr>
      <w:bookmarkStart w:id="0" w:name="_Hlk32483309"/>
      <w:bookmarkStart w:id="1" w:name="_Hlk44927751"/>
      <w:bookmarkEnd w:id="0"/>
      <w:r w:rsidRPr="00D505D6">
        <w:t>Characterization of polyvinyl alcohol-borax/agarose (PVA-B/AG) double network hydrogel utilized for the cleaning of works of art</w:t>
      </w:r>
    </w:p>
    <w:bookmarkEnd w:id="1"/>
    <w:p w14:paraId="6F056C78" w14:textId="77777777" w:rsidR="00B57DCE" w:rsidRPr="00D505D6" w:rsidRDefault="00B57DCE" w:rsidP="00B57DCE">
      <w:pPr>
        <w:pStyle w:val="BBAuthorName"/>
      </w:pPr>
      <w:r w:rsidRPr="00D505D6">
        <w:t>Ehab Al-Emam</w:t>
      </w:r>
      <w:r w:rsidRPr="00D505D6">
        <w:rPr>
          <w:vertAlign w:val="superscript"/>
        </w:rPr>
        <w:t>1,2</w:t>
      </w:r>
      <w:r w:rsidRPr="00D505D6">
        <w:rPr>
          <w:vertAlign w:val="superscript"/>
          <w:rtl/>
        </w:rPr>
        <w:t>*</w:t>
      </w:r>
      <w:r w:rsidRPr="00D505D6">
        <w:t>, Hilde Soenen</w:t>
      </w:r>
      <w:r w:rsidRPr="00D505D6">
        <w:rPr>
          <w:vertAlign w:val="superscript"/>
        </w:rPr>
        <w:t>3</w:t>
      </w:r>
      <w:r w:rsidRPr="00D505D6">
        <w:t>, Joost Caen</w:t>
      </w:r>
      <w:r w:rsidRPr="00D505D6">
        <w:rPr>
          <w:vertAlign w:val="superscript"/>
        </w:rPr>
        <w:t>4</w:t>
      </w:r>
      <w:r w:rsidRPr="00D505D6">
        <w:t>, Koen Janssens</w:t>
      </w:r>
      <w:r w:rsidRPr="00D505D6">
        <w:rPr>
          <w:vertAlign w:val="superscript"/>
        </w:rPr>
        <w:t>2</w:t>
      </w:r>
    </w:p>
    <w:p w14:paraId="3E1F33AD" w14:textId="77777777" w:rsidR="00B57DCE" w:rsidRPr="00D505D6" w:rsidRDefault="00B57DCE" w:rsidP="00B57DCE">
      <w:pPr>
        <w:pStyle w:val="BDAbstract"/>
        <w:jc w:val="center"/>
        <w:rPr>
          <w:rFonts w:asciiTheme="majorBidi" w:hAnsiTheme="majorBidi" w:cstheme="majorBidi"/>
          <w:szCs w:val="24"/>
        </w:rPr>
      </w:pPr>
      <w:r w:rsidRPr="00D505D6">
        <w:rPr>
          <w:rFonts w:asciiTheme="majorBidi" w:hAnsiTheme="majorBidi" w:cstheme="majorBidi"/>
          <w:szCs w:val="24"/>
          <w:vertAlign w:val="superscript"/>
        </w:rPr>
        <w:t>1</w:t>
      </w:r>
      <w:r w:rsidRPr="00D505D6">
        <w:rPr>
          <w:rFonts w:asciiTheme="majorBidi" w:hAnsiTheme="majorBidi" w:cstheme="majorBidi"/>
          <w:szCs w:val="24"/>
        </w:rPr>
        <w:t xml:space="preserve"> Department of Conservation, Faculty of Archaeology, Sohag University, 82524, Sohag, Egypt</w:t>
      </w:r>
    </w:p>
    <w:p w14:paraId="4E0E45E5" w14:textId="77777777" w:rsidR="00B57DCE" w:rsidRPr="00D505D6" w:rsidRDefault="00B57DCE" w:rsidP="00B57DCE">
      <w:pPr>
        <w:pStyle w:val="BDAbstract"/>
        <w:jc w:val="center"/>
        <w:rPr>
          <w:rFonts w:asciiTheme="majorBidi" w:hAnsiTheme="majorBidi" w:cstheme="majorBidi"/>
          <w:szCs w:val="24"/>
        </w:rPr>
      </w:pPr>
      <w:r w:rsidRPr="00D505D6">
        <w:rPr>
          <w:rFonts w:asciiTheme="majorBidi" w:hAnsiTheme="majorBidi" w:cstheme="majorBidi"/>
          <w:szCs w:val="24"/>
          <w:vertAlign w:val="superscript"/>
        </w:rPr>
        <w:t>2</w:t>
      </w:r>
      <w:r w:rsidRPr="00D505D6">
        <w:rPr>
          <w:rFonts w:asciiTheme="majorBidi" w:hAnsiTheme="majorBidi" w:cstheme="majorBidi"/>
          <w:szCs w:val="24"/>
        </w:rPr>
        <w:t xml:space="preserve"> AXES, Faculty of Science, University of Antwerp, Groenenborgerlaan 171, 2020 Antwerp, Belgium</w:t>
      </w:r>
    </w:p>
    <w:p w14:paraId="149C3810" w14:textId="77777777" w:rsidR="00B57DCE" w:rsidRPr="00D505D6" w:rsidRDefault="00B57DCE" w:rsidP="00B57DCE">
      <w:pPr>
        <w:pStyle w:val="BDAbstract"/>
        <w:jc w:val="center"/>
        <w:rPr>
          <w:rFonts w:asciiTheme="majorBidi" w:hAnsiTheme="majorBidi" w:cstheme="majorBidi"/>
          <w:szCs w:val="24"/>
        </w:rPr>
      </w:pPr>
      <w:r w:rsidRPr="00D505D6">
        <w:rPr>
          <w:rFonts w:asciiTheme="majorBidi" w:hAnsiTheme="majorBidi" w:cstheme="majorBidi"/>
          <w:szCs w:val="24"/>
          <w:vertAlign w:val="superscript"/>
        </w:rPr>
        <w:t>3</w:t>
      </w:r>
      <w:r w:rsidRPr="00D505D6">
        <w:rPr>
          <w:rFonts w:asciiTheme="majorBidi" w:hAnsiTheme="majorBidi" w:cstheme="majorBidi"/>
          <w:szCs w:val="24"/>
        </w:rPr>
        <w:t xml:space="preserve"> Nynas NV, Groenenborgerlaan 171, Antwerp 2020, Belgium</w:t>
      </w:r>
    </w:p>
    <w:p w14:paraId="481F776F" w14:textId="77777777" w:rsidR="00B57DCE" w:rsidRPr="00D505D6" w:rsidRDefault="00B57DCE" w:rsidP="00B57DCE">
      <w:pPr>
        <w:pStyle w:val="BDAbstract"/>
        <w:jc w:val="center"/>
        <w:rPr>
          <w:rFonts w:asciiTheme="majorBidi" w:hAnsiTheme="majorBidi" w:cstheme="majorBidi"/>
          <w:szCs w:val="24"/>
        </w:rPr>
      </w:pPr>
      <w:r w:rsidRPr="00D505D6">
        <w:rPr>
          <w:rFonts w:asciiTheme="majorBidi" w:hAnsiTheme="majorBidi" w:cstheme="majorBidi"/>
          <w:szCs w:val="24"/>
          <w:vertAlign w:val="superscript"/>
        </w:rPr>
        <w:t>4</w:t>
      </w:r>
      <w:r w:rsidRPr="00D505D6">
        <w:rPr>
          <w:rFonts w:asciiTheme="majorBidi" w:hAnsiTheme="majorBidi" w:cstheme="majorBidi"/>
          <w:szCs w:val="24"/>
        </w:rPr>
        <w:t xml:space="preserve"> ARCHES, Faculty of Design Sciences, University of Antwerp, Blindestraat 9, 2000 Antwerp, Belgium</w:t>
      </w:r>
    </w:p>
    <w:p w14:paraId="7A35AAF2" w14:textId="77777777" w:rsidR="00B57DCE" w:rsidRPr="00D505D6" w:rsidRDefault="00B57DCE" w:rsidP="00B57DCE">
      <w:pPr>
        <w:pStyle w:val="BDAbstract"/>
      </w:pPr>
      <w:r w:rsidRPr="00D505D6">
        <w:t xml:space="preserve">* Ehab Al-Emam (corresponding author) </w:t>
      </w:r>
    </w:p>
    <w:p w14:paraId="77EC0D02" w14:textId="77777777" w:rsidR="00B57DCE" w:rsidRPr="00D505D6" w:rsidRDefault="00B57DCE" w:rsidP="00B57DCE">
      <w:r w:rsidRPr="00D505D6">
        <w:t>Tel: 032494696945</w:t>
      </w:r>
    </w:p>
    <w:p w14:paraId="35BBF2C0" w14:textId="77777777" w:rsidR="00B57DCE" w:rsidRPr="00D505D6" w:rsidRDefault="00B57DCE" w:rsidP="00B57DCE">
      <w:r w:rsidRPr="00D505D6">
        <w:t xml:space="preserve">Email: </w:t>
      </w:r>
      <w:hyperlink r:id="rId7" w:history="1">
        <w:r w:rsidRPr="00D505D6">
          <w:rPr>
            <w:rStyle w:val="Hyperlink"/>
          </w:rPr>
          <w:t>ehab.al-emam@uantwerpe.be</w:t>
        </w:r>
      </w:hyperlink>
      <w:r w:rsidRPr="00D505D6">
        <w:t xml:space="preserve">; </w:t>
      </w:r>
      <w:hyperlink r:id="rId8" w:history="1">
        <w:r w:rsidRPr="00D505D6">
          <w:rPr>
            <w:rStyle w:val="Hyperlink"/>
          </w:rPr>
          <w:t>ehab_alemam@arch.sohag.edu.eg</w:t>
        </w:r>
      </w:hyperlink>
      <w:r w:rsidRPr="00D505D6">
        <w:t xml:space="preserve"> </w:t>
      </w:r>
    </w:p>
    <w:p w14:paraId="6A0B1B68" w14:textId="4898EFC5" w:rsidR="00B07973" w:rsidRPr="00D505D6" w:rsidRDefault="00B07973" w:rsidP="00B57DCE">
      <w:pPr>
        <w:spacing w:line="480" w:lineRule="auto"/>
        <w:rPr>
          <w:rFonts w:asciiTheme="majorBidi" w:hAnsiTheme="majorBidi" w:cstheme="majorBidi"/>
          <w:sz w:val="24"/>
          <w:szCs w:val="24"/>
        </w:rPr>
      </w:pPr>
    </w:p>
    <w:p w14:paraId="2E332FC9" w14:textId="77777777" w:rsidR="00E9204C" w:rsidRPr="00D505D6" w:rsidRDefault="00E9204C" w:rsidP="00B57DCE">
      <w:pPr>
        <w:spacing w:line="480" w:lineRule="auto"/>
        <w:rPr>
          <w:rFonts w:asciiTheme="majorBidi" w:hAnsiTheme="majorBidi" w:cstheme="majorBidi"/>
          <w:sz w:val="24"/>
          <w:szCs w:val="24"/>
        </w:rPr>
      </w:pPr>
    </w:p>
    <w:p w14:paraId="4A709B81" w14:textId="77777777" w:rsidR="00E9204C" w:rsidRPr="00D505D6" w:rsidRDefault="00E9204C">
      <w:pPr>
        <w:rPr>
          <w:rFonts w:asciiTheme="majorBidi" w:hAnsiTheme="majorBidi" w:cstheme="majorBidi"/>
          <w:b/>
          <w:bCs/>
          <w:sz w:val="24"/>
          <w:szCs w:val="24"/>
        </w:rPr>
      </w:pPr>
      <w:r w:rsidRPr="00D505D6">
        <w:rPr>
          <w:rFonts w:asciiTheme="majorBidi" w:hAnsiTheme="majorBidi" w:cstheme="majorBidi"/>
          <w:b/>
          <w:bCs/>
          <w:sz w:val="24"/>
          <w:szCs w:val="24"/>
        </w:rPr>
        <w:br w:type="page"/>
      </w:r>
    </w:p>
    <w:p w14:paraId="00B94CE4" w14:textId="34D780AF" w:rsidR="00BD24B4" w:rsidRPr="00D505D6" w:rsidRDefault="00BD24B4" w:rsidP="00B57DCE">
      <w:pPr>
        <w:spacing w:line="480" w:lineRule="auto"/>
        <w:rPr>
          <w:rFonts w:asciiTheme="majorBidi" w:eastAsia="Times New Roman" w:hAnsiTheme="majorBidi" w:cstheme="majorBidi"/>
          <w:sz w:val="24"/>
          <w:szCs w:val="24"/>
        </w:rPr>
      </w:pPr>
      <w:r w:rsidRPr="00D505D6">
        <w:rPr>
          <w:rFonts w:asciiTheme="majorBidi" w:hAnsiTheme="majorBidi" w:cstheme="majorBidi"/>
          <w:b/>
          <w:bCs/>
          <w:sz w:val="24"/>
          <w:szCs w:val="24"/>
        </w:rPr>
        <w:lastRenderedPageBreak/>
        <w:t>Hydrogel synthesis</w:t>
      </w:r>
    </w:p>
    <w:p w14:paraId="6A7D6D57" w14:textId="21F290C9" w:rsidR="00BD24B4" w:rsidRPr="00E95557" w:rsidRDefault="00BD24B4" w:rsidP="00B57DCE">
      <w:pPr>
        <w:pStyle w:val="BDAbstract"/>
        <w:rPr>
          <w:rFonts w:asciiTheme="majorBidi" w:hAnsiTheme="majorBidi" w:cstheme="majorBidi"/>
          <w:szCs w:val="24"/>
          <w:rtl/>
          <w:lang w:bidi="ar-EG"/>
        </w:rPr>
      </w:pPr>
      <w:r w:rsidRPr="00D505D6">
        <w:rPr>
          <w:rFonts w:asciiTheme="majorBidi" w:hAnsiTheme="majorBidi" w:cstheme="majorBidi"/>
          <w:szCs w:val="24"/>
        </w:rPr>
        <w:t>Stock solutions of PVA 10% and borax 6% were prepared</w:t>
      </w:r>
      <w:r w:rsidR="003B1BEB" w:rsidRPr="00D505D6">
        <w:rPr>
          <w:rFonts w:asciiTheme="majorBidi" w:hAnsiTheme="majorBidi" w:cstheme="majorBidi"/>
          <w:szCs w:val="24"/>
        </w:rPr>
        <w:t xml:space="preserve"> in </w:t>
      </w:r>
      <w:r w:rsidR="003B1BEB" w:rsidRPr="00E95557">
        <w:rPr>
          <w:rFonts w:asciiTheme="majorBidi" w:hAnsiTheme="majorBidi" w:cstheme="majorBidi"/>
          <w:szCs w:val="24"/>
          <w:highlight w:val="yellow"/>
        </w:rPr>
        <w:t>purified water (ASTM: type II water)</w:t>
      </w:r>
      <w:r w:rsidRPr="00E95557">
        <w:rPr>
          <w:rFonts w:asciiTheme="majorBidi" w:hAnsiTheme="majorBidi" w:cstheme="majorBidi"/>
          <w:szCs w:val="24"/>
          <w:highlight w:val="yellow"/>
        </w:rPr>
        <w:t>.</w:t>
      </w:r>
      <w:r w:rsidRPr="00E95557">
        <w:rPr>
          <w:rFonts w:asciiTheme="majorBidi" w:hAnsiTheme="majorBidi" w:cstheme="majorBidi"/>
          <w:szCs w:val="24"/>
        </w:rPr>
        <w:t xml:space="preserve"> In case of PVA-B, the stock solutions were </w:t>
      </w:r>
      <w:proofErr w:type="gramStart"/>
      <w:r w:rsidRPr="00E95557">
        <w:rPr>
          <w:rFonts w:asciiTheme="majorBidi" w:hAnsiTheme="majorBidi" w:cstheme="majorBidi"/>
          <w:szCs w:val="24"/>
        </w:rPr>
        <w:t>mixed together</w:t>
      </w:r>
      <w:proofErr w:type="gramEnd"/>
      <w:r w:rsidRPr="00E95557">
        <w:rPr>
          <w:rFonts w:asciiTheme="majorBidi" w:hAnsiTheme="majorBidi" w:cstheme="majorBidi"/>
          <w:szCs w:val="24"/>
        </w:rPr>
        <w:t xml:space="preserve"> and diluted to the desired concentrations (3% or 4 % of PVA and 0.6% of borax). The cleaning agents were added and mixed well before the addition of the borax to allow crosslinking of the PVA polymer and thus to obtain the hydrogel. For the PVA-B/AG DN hydrogels, the same procedure was used, except for mixing AG with the diluted PVA stock solution at 90</w:t>
      </w:r>
      <w:r w:rsidR="00761526" w:rsidRPr="00E95557">
        <w:rPr>
          <w:rFonts w:asciiTheme="majorBidi" w:hAnsiTheme="majorBidi" w:cstheme="majorBidi"/>
          <w:szCs w:val="24"/>
        </w:rPr>
        <w:t xml:space="preserve"> </w:t>
      </w:r>
      <w:r w:rsidRPr="00E95557">
        <w:rPr>
          <w:rFonts w:asciiTheme="majorBidi" w:hAnsiTheme="majorBidi" w:cstheme="majorBidi"/>
          <w:szCs w:val="24"/>
          <w:highlight w:val="yellow"/>
        </w:rPr>
        <w:t>°C</w:t>
      </w:r>
      <w:r w:rsidRPr="00E95557">
        <w:rPr>
          <w:rFonts w:asciiTheme="majorBidi" w:hAnsiTheme="majorBidi" w:cstheme="majorBidi"/>
          <w:szCs w:val="24"/>
        </w:rPr>
        <w:t xml:space="preserve"> under constant stirring until the AG polymer was fully dissolved. When a cleaning system was added, the solution was left to cool down to </w:t>
      </w:r>
      <w:r w:rsidRPr="00E95557">
        <w:rPr>
          <w:rFonts w:asciiTheme="majorBidi" w:hAnsiTheme="majorBidi" w:cstheme="majorBidi"/>
          <w:i/>
          <w:iCs/>
          <w:szCs w:val="24"/>
        </w:rPr>
        <w:t>c.</w:t>
      </w:r>
      <w:r w:rsidRPr="00E95557">
        <w:rPr>
          <w:rFonts w:asciiTheme="majorBidi" w:hAnsiTheme="majorBidi" w:cstheme="majorBidi"/>
          <w:szCs w:val="24"/>
        </w:rPr>
        <w:t xml:space="preserve"> 45</w:t>
      </w:r>
      <w:r w:rsidR="00761526" w:rsidRPr="00E95557">
        <w:rPr>
          <w:rFonts w:asciiTheme="majorBidi" w:hAnsiTheme="majorBidi" w:cstheme="majorBidi"/>
          <w:szCs w:val="24"/>
        </w:rPr>
        <w:t xml:space="preserve"> </w:t>
      </w:r>
      <w:r w:rsidRPr="00E95557">
        <w:rPr>
          <w:rFonts w:asciiTheme="majorBidi" w:hAnsiTheme="majorBidi" w:cstheme="majorBidi"/>
          <w:szCs w:val="24"/>
          <w:highlight w:val="yellow"/>
        </w:rPr>
        <w:t>°C</w:t>
      </w:r>
      <w:r w:rsidRPr="00E95557">
        <w:rPr>
          <w:rFonts w:asciiTheme="majorBidi" w:hAnsiTheme="majorBidi" w:cstheme="majorBidi"/>
          <w:szCs w:val="24"/>
        </w:rPr>
        <w:t>, especially in the case of the organic solvents, and finally the borax was added (see</w:t>
      </w:r>
      <w:r w:rsidR="00A42D5A" w:rsidRPr="00E95557">
        <w:rPr>
          <w:rStyle w:val="citationChar"/>
          <w:rFonts w:asciiTheme="majorBidi" w:hAnsiTheme="majorBidi" w:cstheme="majorBidi"/>
          <w:lang w:val="en-US"/>
        </w:rPr>
        <w:t xml:space="preserve"> Fig. 1</w:t>
      </w:r>
      <w:r w:rsidRPr="00E95557">
        <w:rPr>
          <w:rFonts w:asciiTheme="majorBidi" w:hAnsiTheme="majorBidi" w:cstheme="majorBidi"/>
          <w:szCs w:val="24"/>
        </w:rPr>
        <w:t>). Later, the prepared hydrogels were confined in syringes (with no air inside to prevent the evaporation of the liquids); these were kept in the refrigerator (</w:t>
      </w:r>
      <w:r w:rsidRPr="00E95557">
        <w:rPr>
          <w:rFonts w:asciiTheme="majorBidi" w:hAnsiTheme="majorBidi" w:cstheme="majorBidi"/>
          <w:i/>
          <w:iCs/>
          <w:szCs w:val="24"/>
        </w:rPr>
        <w:t>c.</w:t>
      </w:r>
      <w:r w:rsidRPr="00E95557">
        <w:rPr>
          <w:rFonts w:asciiTheme="majorBidi" w:hAnsiTheme="majorBidi" w:cstheme="majorBidi"/>
          <w:szCs w:val="24"/>
        </w:rPr>
        <w:t xml:space="preserve"> 5</w:t>
      </w:r>
      <w:r w:rsidR="00761526" w:rsidRPr="00E95557">
        <w:rPr>
          <w:rFonts w:asciiTheme="majorBidi" w:hAnsiTheme="majorBidi" w:cstheme="majorBidi"/>
          <w:szCs w:val="24"/>
        </w:rPr>
        <w:t xml:space="preserve"> </w:t>
      </w:r>
      <w:r w:rsidRPr="00E95557">
        <w:rPr>
          <w:rFonts w:asciiTheme="majorBidi" w:hAnsiTheme="majorBidi" w:cstheme="majorBidi"/>
          <w:szCs w:val="24"/>
          <w:highlight w:val="yellow"/>
        </w:rPr>
        <w:t>°C</w:t>
      </w:r>
      <w:r w:rsidRPr="00E95557">
        <w:rPr>
          <w:rFonts w:asciiTheme="majorBidi" w:hAnsiTheme="majorBidi" w:cstheme="majorBidi"/>
          <w:szCs w:val="24"/>
        </w:rPr>
        <w:t xml:space="preserve">) until the hydrogels were subjected to a measurement. Mostly, the </w:t>
      </w:r>
      <w:r w:rsidR="00B322F4" w:rsidRPr="00E95557">
        <w:rPr>
          <w:rFonts w:asciiTheme="majorBidi" w:hAnsiTheme="majorBidi" w:cstheme="majorBidi"/>
          <w:szCs w:val="24"/>
        </w:rPr>
        <w:t>color</w:t>
      </w:r>
      <w:r w:rsidRPr="00E95557">
        <w:rPr>
          <w:rFonts w:asciiTheme="majorBidi" w:hAnsiTheme="majorBidi" w:cstheme="majorBidi"/>
          <w:szCs w:val="24"/>
        </w:rPr>
        <w:t xml:space="preserve"> of the hydrogels changes when the cleaning agents are added. </w:t>
      </w:r>
      <w:r w:rsidRPr="00E95557">
        <w:rPr>
          <w:rStyle w:val="citationChar"/>
          <w:rFonts w:asciiTheme="majorBidi" w:hAnsiTheme="majorBidi" w:cstheme="majorBidi"/>
          <w:lang w:val="en-US"/>
        </w:rPr>
        <w:t>Fig. S2</w:t>
      </w:r>
      <w:r w:rsidRPr="00E95557">
        <w:rPr>
          <w:rFonts w:asciiTheme="majorBidi" w:hAnsiTheme="majorBidi" w:cstheme="majorBidi"/>
          <w:szCs w:val="24"/>
        </w:rPr>
        <w:t xml:space="preserve"> displays the </w:t>
      </w:r>
      <w:r w:rsidR="00B322F4" w:rsidRPr="00E95557">
        <w:rPr>
          <w:rFonts w:asciiTheme="majorBidi" w:hAnsiTheme="majorBidi" w:cstheme="majorBidi"/>
          <w:szCs w:val="24"/>
        </w:rPr>
        <w:t>color</w:t>
      </w:r>
      <w:r w:rsidRPr="00E95557">
        <w:rPr>
          <w:rFonts w:asciiTheme="majorBidi" w:hAnsiTheme="majorBidi" w:cstheme="majorBidi"/>
          <w:szCs w:val="24"/>
        </w:rPr>
        <w:t xml:space="preserve"> of the hydrogels loaded with the investigated cleaning agents.</w:t>
      </w:r>
    </w:p>
    <w:p w14:paraId="68D8861C" w14:textId="5095A05F" w:rsidR="00BD24B4" w:rsidRPr="00E95557" w:rsidRDefault="00BD24B4" w:rsidP="00B57DCE">
      <w:pPr>
        <w:pStyle w:val="BDAbstract"/>
        <w:rPr>
          <w:rFonts w:asciiTheme="majorBidi" w:hAnsiTheme="majorBidi" w:cstheme="majorBidi"/>
          <w:szCs w:val="24"/>
        </w:rPr>
      </w:pPr>
      <w:bookmarkStart w:id="2" w:name="_Hlk50022242"/>
      <w:r w:rsidRPr="00E95557">
        <w:rPr>
          <w:rFonts w:asciiTheme="majorBidi" w:hAnsiTheme="majorBidi" w:cstheme="majorBidi"/>
          <w:szCs w:val="24"/>
        </w:rPr>
        <w:t>It is worth noting that the hydrogels loaded with 20% p-xylene formed white hydrogels and expelled part of the liquid after the addition of borax.</w:t>
      </w:r>
      <w:r w:rsidR="006853D2" w:rsidRPr="00E95557">
        <w:rPr>
          <w:rFonts w:asciiTheme="majorBidi" w:hAnsiTheme="majorBidi" w:cstheme="majorBidi"/>
          <w:szCs w:val="24"/>
        </w:rPr>
        <w:t xml:space="preserve"> </w:t>
      </w:r>
      <w:bookmarkEnd w:id="2"/>
      <w:r w:rsidR="006853D2" w:rsidRPr="00E95557">
        <w:rPr>
          <w:rFonts w:asciiTheme="majorBidi" w:hAnsiTheme="majorBidi" w:cstheme="majorBidi"/>
          <w:szCs w:val="24"/>
          <w:highlight w:val="yellow"/>
        </w:rPr>
        <w:t xml:space="preserve">This expelling issue is </w:t>
      </w:r>
      <w:r w:rsidR="00D84D41" w:rsidRPr="00E95557">
        <w:rPr>
          <w:rFonts w:asciiTheme="majorBidi" w:hAnsiTheme="majorBidi" w:cstheme="majorBidi"/>
          <w:szCs w:val="24"/>
          <w:highlight w:val="yellow"/>
        </w:rPr>
        <w:t xml:space="preserve">usually </w:t>
      </w:r>
      <w:r w:rsidR="006853D2" w:rsidRPr="00E95557">
        <w:rPr>
          <w:rFonts w:asciiTheme="majorBidi" w:hAnsiTheme="majorBidi" w:cstheme="majorBidi"/>
          <w:szCs w:val="24"/>
          <w:highlight w:val="yellow"/>
        </w:rPr>
        <w:t xml:space="preserve">observed when less polar </w:t>
      </w:r>
      <w:r w:rsidR="00D84D41" w:rsidRPr="00E95557">
        <w:rPr>
          <w:rFonts w:asciiTheme="majorBidi" w:hAnsiTheme="majorBidi" w:cstheme="majorBidi"/>
          <w:szCs w:val="24"/>
          <w:highlight w:val="yellow"/>
        </w:rPr>
        <w:t>solvents</w:t>
      </w:r>
      <w:r w:rsidR="006853D2" w:rsidRPr="00E95557">
        <w:rPr>
          <w:rFonts w:asciiTheme="majorBidi" w:hAnsiTheme="majorBidi" w:cstheme="majorBidi"/>
          <w:szCs w:val="24"/>
          <w:highlight w:val="yellow"/>
        </w:rPr>
        <w:t xml:space="preserve"> are incorporated in PVA-B systems</w:t>
      </w:r>
      <w:r w:rsidR="00D03864" w:rsidRPr="00E95557">
        <w:rPr>
          <w:rFonts w:asciiTheme="majorBidi" w:hAnsiTheme="majorBidi" w:cstheme="majorBidi"/>
          <w:szCs w:val="24"/>
          <w:highlight w:val="yellow"/>
        </w:rPr>
        <w:t xml:space="preserve"> </w:t>
      </w:r>
      <w:r w:rsidR="00D03864" w:rsidRPr="00E95557">
        <w:rPr>
          <w:rFonts w:asciiTheme="majorBidi" w:hAnsiTheme="majorBidi" w:cstheme="majorBidi"/>
          <w:color w:val="0000FF"/>
          <w:szCs w:val="24"/>
          <w:highlight w:val="yellow"/>
        </w:rPr>
        <w:fldChar w:fldCharType="begin"/>
      </w:r>
      <w:r w:rsidR="00D03864" w:rsidRPr="00E95557">
        <w:rPr>
          <w:rFonts w:asciiTheme="majorBidi" w:hAnsiTheme="majorBidi" w:cstheme="majorBidi"/>
          <w:color w:val="0000FF"/>
          <w:szCs w:val="24"/>
          <w:highlight w:val="yellow"/>
        </w:rPr>
        <w:instrText xml:space="preserve"> ADDIN EN.CITE &lt;EndNote&gt;&lt;Cite&gt;&lt;Author&gt;Angelova&lt;/Author&gt;&lt;Year&gt;2011&lt;/Year&gt;&lt;RecNum&gt;5&lt;/RecNum&gt;&lt;DisplayText&gt;[1]&lt;/DisplayText&gt;&lt;record&gt;&lt;rec-number&gt;5&lt;/rec-number&gt;&lt;foreign-keys&gt;&lt;key app="EN" db-id="f9zwadfz6tzxrfee0vm5fxxmteedxrzxpaxe" timestamp="0"&gt;5&lt;/key&gt;&lt;/foreign-keys&gt;&lt;ref-type name="Journal Article"&gt;17&lt;/ref-type&gt;&lt;contributors&gt;&lt;authors&gt;&lt;author&gt;Angelova, Lora V.&lt;/author&gt;&lt;author&gt;Terech, Pierre&lt;/author&gt;&lt;author&gt;Natali, Irene&lt;/author&gt;&lt;author&gt;Dei, Luigi&lt;/author&gt;&lt;author&gt;Carretti, Emiliano&lt;/author&gt;&lt;author&gt;Weiss, Richard G.&lt;/author&gt;&lt;/authors&gt;&lt;/contributors&gt;&lt;titles&gt;&lt;title&gt;Cosolvent gel-like materials from partially hydrolyzed poly(vinyl acetate)s and borax&lt;/title&gt;&lt;secondary-title&gt;Langmuir&lt;/secondary-title&gt;&lt;/titles&gt;&lt;pages&gt;11671-11682&lt;/pages&gt;&lt;volume&gt;27&lt;/volume&gt;&lt;number&gt;18&lt;/number&gt;&lt;dates&gt;&lt;year&gt;2011&lt;/year&gt;&lt;pub-dates&gt;&lt;date&gt;2011/09/20&lt;/date&gt;&lt;/pub-dates&gt;&lt;/dates&gt;&lt;publisher&gt;American Chemical Society&lt;/publisher&gt;&lt;isbn&gt;0743-7463&lt;/isbn&gt;&lt;urls&gt;&lt;related-urls&gt;&lt;url&gt;https://doi.org/10.1021/la202179e&lt;/url&gt;&lt;/related-urls&gt;&lt;/urls&gt;&lt;electronic-resource-num&gt;10.1021/la202179e&lt;/electronic-resource-num&gt;&lt;/record&gt;&lt;/Cite&gt;&lt;/EndNote&gt;</w:instrText>
      </w:r>
      <w:r w:rsidR="00D03864" w:rsidRPr="00E95557">
        <w:rPr>
          <w:rFonts w:asciiTheme="majorBidi" w:hAnsiTheme="majorBidi" w:cstheme="majorBidi"/>
          <w:color w:val="0000FF"/>
          <w:szCs w:val="24"/>
          <w:highlight w:val="yellow"/>
        </w:rPr>
        <w:fldChar w:fldCharType="separate"/>
      </w:r>
      <w:r w:rsidR="00D03864" w:rsidRPr="00E95557">
        <w:rPr>
          <w:rFonts w:asciiTheme="majorBidi" w:hAnsiTheme="majorBidi" w:cstheme="majorBidi"/>
          <w:color w:val="0000FF"/>
          <w:szCs w:val="24"/>
          <w:highlight w:val="yellow"/>
        </w:rPr>
        <w:t>[</w:t>
      </w:r>
      <w:hyperlink w:anchor="_ENREF_1" w:tooltip="Angelova, 2011 #5" w:history="1">
        <w:r w:rsidR="00D03864" w:rsidRPr="00E95557">
          <w:rPr>
            <w:rFonts w:asciiTheme="majorBidi" w:hAnsiTheme="majorBidi" w:cstheme="majorBidi"/>
            <w:color w:val="0000FF"/>
            <w:szCs w:val="24"/>
            <w:highlight w:val="yellow"/>
          </w:rPr>
          <w:t>1</w:t>
        </w:r>
      </w:hyperlink>
      <w:r w:rsidR="00D03864" w:rsidRPr="00E95557">
        <w:rPr>
          <w:rFonts w:asciiTheme="majorBidi" w:hAnsiTheme="majorBidi" w:cstheme="majorBidi"/>
          <w:color w:val="0000FF"/>
          <w:szCs w:val="24"/>
          <w:highlight w:val="yellow"/>
        </w:rPr>
        <w:t>]</w:t>
      </w:r>
      <w:r w:rsidR="00D03864" w:rsidRPr="00E95557">
        <w:rPr>
          <w:rFonts w:asciiTheme="majorBidi" w:hAnsiTheme="majorBidi" w:cstheme="majorBidi"/>
          <w:color w:val="0000FF"/>
          <w:szCs w:val="24"/>
          <w:highlight w:val="yellow"/>
        </w:rPr>
        <w:fldChar w:fldCharType="end"/>
      </w:r>
      <w:r w:rsidR="006853D2" w:rsidRPr="00E95557">
        <w:rPr>
          <w:rFonts w:asciiTheme="majorBidi" w:hAnsiTheme="majorBidi" w:cstheme="majorBidi"/>
          <w:szCs w:val="24"/>
          <w:highlight w:val="yellow"/>
        </w:rPr>
        <w:t>. This may be ascribed to the difference in polarity between the incorporated solvent and water (the main solvent of the two gellants; PVA and AG).</w:t>
      </w:r>
      <w:r w:rsidRPr="00E95557">
        <w:rPr>
          <w:rFonts w:asciiTheme="majorBidi" w:hAnsiTheme="majorBidi" w:cstheme="majorBidi"/>
          <w:szCs w:val="24"/>
        </w:rPr>
        <w:t xml:space="preserve"> The expelled liquid was </w:t>
      </w:r>
      <w:proofErr w:type="gramStart"/>
      <w:r w:rsidRPr="00E95557">
        <w:rPr>
          <w:rFonts w:asciiTheme="majorBidi" w:hAnsiTheme="majorBidi" w:cstheme="majorBidi"/>
          <w:szCs w:val="24"/>
        </w:rPr>
        <w:t>collected</w:t>
      </w:r>
      <w:proofErr w:type="gramEnd"/>
      <w:r w:rsidRPr="00E95557">
        <w:rPr>
          <w:rFonts w:asciiTheme="majorBidi" w:hAnsiTheme="majorBidi" w:cstheme="majorBidi"/>
          <w:szCs w:val="24"/>
        </w:rPr>
        <w:t xml:space="preserve"> and its density was estimated based on its mass and volume. The density measurements confirmed that the expelled liquid was </w:t>
      </w:r>
      <w:r w:rsidRPr="00E95557">
        <w:rPr>
          <w:rFonts w:asciiTheme="majorBidi" w:hAnsiTheme="majorBidi" w:cstheme="majorBidi"/>
          <w:i/>
          <w:iCs/>
          <w:szCs w:val="24"/>
        </w:rPr>
        <w:t>p</w:t>
      </w:r>
      <w:r w:rsidRPr="00E95557">
        <w:rPr>
          <w:rFonts w:asciiTheme="majorBidi" w:hAnsiTheme="majorBidi" w:cstheme="majorBidi"/>
          <w:szCs w:val="24"/>
        </w:rPr>
        <w:t xml:space="preserve">-xylene. It was noticed that the amount of the expelled liquid was not the same for the different hydrogel formulations, especially for those containing agarose. Thus, 10 ml of the 3% PVA-B and </w:t>
      </w:r>
      <w:r w:rsidRPr="00E95557">
        <w:rPr>
          <w:rFonts w:asciiTheme="majorBidi" w:hAnsiTheme="majorBidi" w:cstheme="majorBidi"/>
          <w:szCs w:val="24"/>
          <w:highlight w:val="yellow"/>
        </w:rPr>
        <w:t>3</w:t>
      </w:r>
      <w:r w:rsidR="00D37D8F" w:rsidRPr="00E95557">
        <w:rPr>
          <w:rFonts w:asciiTheme="majorBidi" w:hAnsiTheme="majorBidi" w:cstheme="majorBidi"/>
          <w:szCs w:val="24"/>
          <w:highlight w:val="yellow"/>
        </w:rPr>
        <w:t>%</w:t>
      </w:r>
      <w:r w:rsidRPr="00E95557">
        <w:rPr>
          <w:rFonts w:asciiTheme="majorBidi" w:hAnsiTheme="majorBidi" w:cstheme="majorBidi"/>
          <w:szCs w:val="24"/>
          <w:highlight w:val="yellow"/>
        </w:rPr>
        <w:t>/1%</w:t>
      </w:r>
      <w:r w:rsidRPr="00E95557">
        <w:rPr>
          <w:rFonts w:asciiTheme="majorBidi" w:hAnsiTheme="majorBidi" w:cstheme="majorBidi"/>
          <w:szCs w:val="24"/>
        </w:rPr>
        <w:t xml:space="preserve"> PVA-B/AG formulations were prepared four times and the volume of expelled liquids was collected. The average amount of the expelled liquid was calculated and it was </w:t>
      </w:r>
      <w:r w:rsidRPr="00E95557">
        <w:rPr>
          <w:rFonts w:asciiTheme="majorBidi" w:hAnsiTheme="majorBidi" w:cstheme="majorBidi"/>
          <w:szCs w:val="24"/>
        </w:rPr>
        <w:lastRenderedPageBreak/>
        <w:t xml:space="preserve">confirmed that the </w:t>
      </w:r>
      <w:r w:rsidRPr="00E95557">
        <w:rPr>
          <w:rFonts w:asciiTheme="majorBidi" w:hAnsiTheme="majorBidi" w:cstheme="majorBidi"/>
          <w:szCs w:val="24"/>
          <w:highlight w:val="yellow"/>
        </w:rPr>
        <w:t>3</w:t>
      </w:r>
      <w:r w:rsidR="00D37D8F" w:rsidRPr="00E95557">
        <w:rPr>
          <w:rFonts w:asciiTheme="majorBidi" w:hAnsiTheme="majorBidi" w:cstheme="majorBidi"/>
          <w:szCs w:val="24"/>
          <w:highlight w:val="yellow"/>
        </w:rPr>
        <w:t>%</w:t>
      </w:r>
      <w:r w:rsidRPr="00E95557">
        <w:rPr>
          <w:rFonts w:asciiTheme="majorBidi" w:hAnsiTheme="majorBidi" w:cstheme="majorBidi"/>
          <w:szCs w:val="24"/>
          <w:highlight w:val="yellow"/>
        </w:rPr>
        <w:t>/1%</w:t>
      </w:r>
      <w:r w:rsidRPr="00E95557">
        <w:rPr>
          <w:rFonts w:asciiTheme="majorBidi" w:hAnsiTheme="majorBidi" w:cstheme="majorBidi"/>
          <w:szCs w:val="24"/>
        </w:rPr>
        <w:t xml:space="preserve"> PVA-B/AG hydrogel has the ability to retain 19.6±0.4% of the </w:t>
      </w:r>
      <w:r w:rsidR="006358E9" w:rsidRPr="00E95557">
        <w:rPr>
          <w:rFonts w:asciiTheme="majorBidi" w:hAnsiTheme="majorBidi" w:cstheme="majorBidi"/>
          <w:szCs w:val="24"/>
          <w:highlight w:val="yellow"/>
        </w:rPr>
        <w:t>low polarity</w:t>
      </w:r>
      <w:r w:rsidRPr="00E95557">
        <w:rPr>
          <w:rFonts w:asciiTheme="majorBidi" w:hAnsiTheme="majorBidi" w:cstheme="majorBidi"/>
          <w:szCs w:val="24"/>
        </w:rPr>
        <w:t xml:space="preserve"> solvent (20% </w:t>
      </w:r>
      <w:r w:rsidRPr="00E95557">
        <w:rPr>
          <w:rFonts w:asciiTheme="majorBidi" w:hAnsiTheme="majorBidi" w:cstheme="majorBidi"/>
          <w:i/>
          <w:iCs/>
          <w:szCs w:val="24"/>
        </w:rPr>
        <w:t>p</w:t>
      </w:r>
      <w:r w:rsidRPr="00E95557">
        <w:rPr>
          <w:rFonts w:asciiTheme="majorBidi" w:hAnsiTheme="majorBidi" w:cstheme="majorBidi"/>
          <w:szCs w:val="24"/>
        </w:rPr>
        <w:t xml:space="preserve">-xylene) while the 3% PVA-B hydrogel could only retain 15.1±1.3% (see </w:t>
      </w:r>
      <w:r w:rsidRPr="00E95557">
        <w:rPr>
          <w:rStyle w:val="citationChar"/>
          <w:rFonts w:asciiTheme="majorBidi" w:hAnsiTheme="majorBidi" w:cstheme="majorBidi"/>
          <w:lang w:val="en-US"/>
        </w:rPr>
        <w:t xml:space="preserve">Tables S1 </w:t>
      </w:r>
      <w:r w:rsidRPr="00E95557">
        <w:rPr>
          <w:rStyle w:val="citationChar"/>
          <w:rFonts w:asciiTheme="majorBidi" w:hAnsiTheme="majorBidi" w:cstheme="majorBidi"/>
          <w:color w:val="auto"/>
          <w:lang w:val="en-US"/>
        </w:rPr>
        <w:t xml:space="preserve">and </w:t>
      </w:r>
      <w:r w:rsidR="00386EFC" w:rsidRPr="00E95557">
        <w:rPr>
          <w:rStyle w:val="citationChar"/>
          <w:rFonts w:asciiTheme="majorBidi" w:hAnsiTheme="majorBidi" w:cstheme="majorBidi"/>
          <w:highlight w:val="yellow"/>
          <w:lang w:val="en-US"/>
        </w:rPr>
        <w:t>S</w:t>
      </w:r>
      <w:r w:rsidRPr="00E95557">
        <w:rPr>
          <w:rStyle w:val="citationChar"/>
          <w:rFonts w:asciiTheme="majorBidi" w:hAnsiTheme="majorBidi" w:cstheme="majorBidi"/>
          <w:highlight w:val="yellow"/>
          <w:lang w:val="en-US"/>
        </w:rPr>
        <w:t>2</w:t>
      </w:r>
      <w:r w:rsidRPr="00E95557">
        <w:rPr>
          <w:rStyle w:val="citationChar"/>
          <w:rFonts w:asciiTheme="majorBidi" w:hAnsiTheme="majorBidi" w:cstheme="majorBidi"/>
          <w:color w:val="auto"/>
          <w:lang w:val="en-US"/>
        </w:rPr>
        <w:t>)</w:t>
      </w:r>
      <w:r w:rsidRPr="00E95557">
        <w:rPr>
          <w:rFonts w:asciiTheme="majorBidi" w:hAnsiTheme="majorBidi" w:cstheme="majorBidi"/>
          <w:szCs w:val="24"/>
        </w:rPr>
        <w:t xml:space="preserve">. In order to minimize the expulsion of the </w:t>
      </w:r>
      <w:r w:rsidR="00D37CE0" w:rsidRPr="00E95557">
        <w:rPr>
          <w:rFonts w:asciiTheme="majorBidi" w:hAnsiTheme="majorBidi" w:cstheme="majorBidi"/>
          <w:szCs w:val="24"/>
          <w:highlight w:val="yellow"/>
        </w:rPr>
        <w:t xml:space="preserve">low </w:t>
      </w:r>
      <w:r w:rsidRPr="00E95557">
        <w:rPr>
          <w:rFonts w:asciiTheme="majorBidi" w:hAnsiTheme="majorBidi" w:cstheme="majorBidi"/>
          <w:szCs w:val="24"/>
          <w:highlight w:val="yellow"/>
        </w:rPr>
        <w:t>polar</w:t>
      </w:r>
      <w:r w:rsidR="00D37CE0" w:rsidRPr="00E95557">
        <w:rPr>
          <w:rFonts w:asciiTheme="majorBidi" w:hAnsiTheme="majorBidi" w:cstheme="majorBidi"/>
          <w:szCs w:val="24"/>
          <w:highlight w:val="yellow"/>
        </w:rPr>
        <w:t>ity</w:t>
      </w:r>
      <w:r w:rsidRPr="00E95557">
        <w:rPr>
          <w:rFonts w:asciiTheme="majorBidi" w:hAnsiTheme="majorBidi" w:cstheme="majorBidi"/>
          <w:szCs w:val="24"/>
        </w:rPr>
        <w:t xml:space="preserve"> solvents from the hydrogel, the PVA solution should be intensively mixed (using a high-speed vortex mixer) to form a white emulsion prior to the addition of the borax. The poorer the mixing the more liquid is expelled. Furthermore, also increasing the amount of the prepared hydrogel may cause more solution being expelled (see </w:t>
      </w:r>
      <w:r w:rsidRPr="00E95557">
        <w:rPr>
          <w:rStyle w:val="citationChar"/>
          <w:rFonts w:asciiTheme="majorBidi" w:hAnsiTheme="majorBidi" w:cstheme="majorBidi"/>
          <w:lang w:val="en-US"/>
        </w:rPr>
        <w:t>Table S3</w:t>
      </w:r>
      <w:r w:rsidRPr="00E95557">
        <w:rPr>
          <w:rFonts w:asciiTheme="majorBidi" w:hAnsiTheme="majorBidi" w:cstheme="majorBidi"/>
          <w:szCs w:val="24"/>
        </w:rPr>
        <w:t xml:space="preserve"> where 20 ml of the hydrogels were prepared). Regarding the formulations loaded with 0.5% EDTA, some syneresis occurred after the addition of the borax. Likewise, the </w:t>
      </w:r>
      <w:r w:rsidRPr="00E95557">
        <w:rPr>
          <w:rFonts w:asciiTheme="majorBidi" w:hAnsiTheme="majorBidi" w:cstheme="majorBidi"/>
          <w:szCs w:val="24"/>
          <w:highlight w:val="yellow"/>
        </w:rPr>
        <w:t>3</w:t>
      </w:r>
      <w:r w:rsidR="00D37D8F" w:rsidRPr="00E95557">
        <w:rPr>
          <w:rFonts w:asciiTheme="majorBidi" w:hAnsiTheme="majorBidi" w:cstheme="majorBidi"/>
          <w:szCs w:val="24"/>
          <w:highlight w:val="yellow"/>
        </w:rPr>
        <w:t>%</w:t>
      </w:r>
      <w:r w:rsidRPr="00E95557">
        <w:rPr>
          <w:rFonts w:asciiTheme="majorBidi" w:hAnsiTheme="majorBidi" w:cstheme="majorBidi"/>
          <w:szCs w:val="24"/>
          <w:highlight w:val="yellow"/>
        </w:rPr>
        <w:t>/1%</w:t>
      </w:r>
      <w:r w:rsidRPr="00E95557">
        <w:rPr>
          <w:rFonts w:asciiTheme="majorBidi" w:hAnsiTheme="majorBidi" w:cstheme="majorBidi"/>
          <w:szCs w:val="24"/>
        </w:rPr>
        <w:t xml:space="preserve"> PVA-/AG hydrogel caused minimal syneresis unlike the 3% PVA-B hydrogel that expelled a significant amount of the liquid.</w:t>
      </w:r>
    </w:p>
    <w:p w14:paraId="34C34156" w14:textId="78D8394A" w:rsidR="00EC0547" w:rsidRPr="00E95557" w:rsidRDefault="00B96FF2" w:rsidP="00E95557">
      <w:pPr>
        <w:spacing w:line="480" w:lineRule="auto"/>
        <w:jc w:val="both"/>
        <w:rPr>
          <w:rFonts w:asciiTheme="majorBidi" w:hAnsiTheme="majorBidi" w:cstheme="majorBidi"/>
          <w:sz w:val="24"/>
          <w:szCs w:val="24"/>
        </w:rPr>
      </w:pPr>
      <w:r w:rsidRPr="00E95557">
        <w:rPr>
          <w:rFonts w:asciiTheme="majorBidi" w:hAnsiTheme="majorBidi" w:cstheme="majorBidi"/>
          <w:sz w:val="24"/>
          <w:szCs w:val="24"/>
        </w:rPr>
        <w:t>Table S</w:t>
      </w:r>
      <w:r w:rsidRPr="00E95557">
        <w:rPr>
          <w:rFonts w:asciiTheme="majorBidi" w:hAnsiTheme="majorBidi" w:cstheme="majorBidi"/>
          <w:sz w:val="24"/>
          <w:szCs w:val="24"/>
        </w:rPr>
        <w:fldChar w:fldCharType="begin"/>
      </w:r>
      <w:r w:rsidRPr="00E95557">
        <w:rPr>
          <w:rFonts w:asciiTheme="majorBidi" w:hAnsiTheme="majorBidi" w:cstheme="majorBidi"/>
          <w:sz w:val="24"/>
          <w:szCs w:val="24"/>
        </w:rPr>
        <w:instrText xml:space="preserve"> SEQ Table \* ARABIC </w:instrText>
      </w:r>
      <w:r w:rsidRPr="00E95557">
        <w:rPr>
          <w:rFonts w:asciiTheme="majorBidi" w:hAnsiTheme="majorBidi" w:cstheme="majorBidi"/>
          <w:sz w:val="24"/>
          <w:szCs w:val="24"/>
        </w:rPr>
        <w:fldChar w:fldCharType="separate"/>
      </w:r>
      <w:r w:rsidR="005F11D6" w:rsidRPr="00E95557">
        <w:rPr>
          <w:rFonts w:asciiTheme="majorBidi" w:hAnsiTheme="majorBidi" w:cstheme="majorBidi"/>
          <w:sz w:val="24"/>
          <w:szCs w:val="24"/>
        </w:rPr>
        <w:t>1</w:t>
      </w:r>
      <w:r w:rsidRPr="00E95557">
        <w:rPr>
          <w:rFonts w:asciiTheme="majorBidi" w:hAnsiTheme="majorBidi" w:cstheme="majorBidi"/>
          <w:sz w:val="24"/>
          <w:szCs w:val="24"/>
        </w:rPr>
        <w:fldChar w:fldCharType="end"/>
      </w:r>
      <w:r w:rsidR="005A07B7" w:rsidRPr="00E95557">
        <w:rPr>
          <w:rFonts w:asciiTheme="majorBidi" w:hAnsiTheme="majorBidi" w:cstheme="majorBidi"/>
          <w:sz w:val="24"/>
          <w:szCs w:val="24"/>
        </w:rPr>
        <w:t xml:space="preserve">: </w:t>
      </w:r>
      <w:r w:rsidR="00EC0547" w:rsidRPr="00E95557">
        <w:rPr>
          <w:rFonts w:asciiTheme="majorBidi" w:hAnsiTheme="majorBidi" w:cstheme="majorBidi"/>
          <w:sz w:val="24"/>
          <w:szCs w:val="24"/>
        </w:rPr>
        <w:t xml:space="preserve">The measured amount of expelled xylene from 3% PVA-B. </w:t>
      </w:r>
      <w:r w:rsidR="004A5EB0" w:rsidRPr="00E95557">
        <w:rPr>
          <w:rFonts w:asciiTheme="majorBidi" w:hAnsiTheme="majorBidi" w:cstheme="majorBidi"/>
          <w:sz w:val="24"/>
          <w:szCs w:val="24"/>
        </w:rPr>
        <w:t xml:space="preserve">The prepared amount of the </w:t>
      </w:r>
      <w:r w:rsidR="00672F5E" w:rsidRPr="00E95557">
        <w:rPr>
          <w:rFonts w:asciiTheme="majorBidi" w:hAnsiTheme="majorBidi" w:cstheme="majorBidi"/>
          <w:sz w:val="24"/>
          <w:szCs w:val="24"/>
        </w:rPr>
        <w:t xml:space="preserve">hydrogel formulations </w:t>
      </w:r>
      <w:r w:rsidR="004A5EB0" w:rsidRPr="00E95557">
        <w:rPr>
          <w:rFonts w:asciiTheme="majorBidi" w:hAnsiTheme="majorBidi" w:cstheme="majorBidi"/>
          <w:sz w:val="24"/>
          <w:szCs w:val="24"/>
        </w:rPr>
        <w:t xml:space="preserve">is 10 ml. </w:t>
      </w:r>
    </w:p>
    <w:tbl>
      <w:tblPr>
        <w:tblStyle w:val="TableGrid"/>
        <w:tblW w:w="0" w:type="auto"/>
        <w:tblLook w:val="04A0" w:firstRow="1" w:lastRow="0" w:firstColumn="1" w:lastColumn="0" w:noHBand="0" w:noVBand="1"/>
      </w:tblPr>
      <w:tblGrid>
        <w:gridCol w:w="1382"/>
        <w:gridCol w:w="1382"/>
        <w:gridCol w:w="1383"/>
        <w:gridCol w:w="1383"/>
        <w:gridCol w:w="1383"/>
        <w:gridCol w:w="1523"/>
      </w:tblGrid>
      <w:tr w:rsidR="00EC0547" w:rsidRPr="00E95557" w14:paraId="25D7B16D" w14:textId="77777777" w:rsidTr="00F7628F">
        <w:tc>
          <w:tcPr>
            <w:tcW w:w="1382" w:type="dxa"/>
            <w:vAlign w:val="center"/>
          </w:tcPr>
          <w:p w14:paraId="41AE6073" w14:textId="77777777" w:rsidR="00EC0547" w:rsidRPr="00E95557" w:rsidRDefault="00EC0547"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w:t>
            </w:r>
          </w:p>
        </w:tc>
        <w:tc>
          <w:tcPr>
            <w:tcW w:w="1382" w:type="dxa"/>
            <w:vAlign w:val="center"/>
          </w:tcPr>
          <w:p w14:paraId="59B6FE4F"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Volume (ml)</w:t>
            </w:r>
          </w:p>
        </w:tc>
        <w:tc>
          <w:tcPr>
            <w:tcW w:w="1383" w:type="dxa"/>
            <w:vAlign w:val="center"/>
          </w:tcPr>
          <w:p w14:paraId="5C46F111"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Mass (g)</w:t>
            </w:r>
          </w:p>
        </w:tc>
        <w:tc>
          <w:tcPr>
            <w:tcW w:w="1383" w:type="dxa"/>
            <w:vAlign w:val="center"/>
          </w:tcPr>
          <w:p w14:paraId="289B073F"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Density (g/ml)</w:t>
            </w:r>
          </w:p>
        </w:tc>
        <w:tc>
          <w:tcPr>
            <w:tcW w:w="1383" w:type="dxa"/>
            <w:vAlign w:val="center"/>
          </w:tcPr>
          <w:p w14:paraId="5E71CF35"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Expelled Xyl (%)</w:t>
            </w:r>
          </w:p>
        </w:tc>
        <w:tc>
          <w:tcPr>
            <w:tcW w:w="1394" w:type="dxa"/>
            <w:vAlign w:val="center"/>
          </w:tcPr>
          <w:p w14:paraId="4F26FD7E" w14:textId="49BB717C"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Remaining concentration</w:t>
            </w:r>
            <w:r w:rsidR="009E030F" w:rsidRPr="00E95557">
              <w:rPr>
                <w:rFonts w:asciiTheme="majorBidi" w:hAnsiTheme="majorBidi" w:cstheme="majorBidi"/>
                <w:szCs w:val="24"/>
              </w:rPr>
              <w:t xml:space="preserve"> of</w:t>
            </w:r>
            <w:r w:rsidRPr="00E95557">
              <w:rPr>
                <w:rFonts w:asciiTheme="majorBidi" w:hAnsiTheme="majorBidi" w:cstheme="majorBidi"/>
                <w:szCs w:val="24"/>
              </w:rPr>
              <w:t xml:space="preserve"> Xyl (20%)</w:t>
            </w:r>
          </w:p>
        </w:tc>
      </w:tr>
      <w:tr w:rsidR="00F7628F" w:rsidRPr="00E95557" w14:paraId="1765A323" w14:textId="77777777" w:rsidTr="00F7628F">
        <w:tc>
          <w:tcPr>
            <w:tcW w:w="1382" w:type="dxa"/>
          </w:tcPr>
          <w:p w14:paraId="5EBE7697"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1</w:t>
            </w:r>
          </w:p>
        </w:tc>
        <w:tc>
          <w:tcPr>
            <w:tcW w:w="1382" w:type="dxa"/>
          </w:tcPr>
          <w:p w14:paraId="4BD87072"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0.43</w:t>
            </w:r>
          </w:p>
        </w:tc>
        <w:tc>
          <w:tcPr>
            <w:tcW w:w="1383" w:type="dxa"/>
          </w:tcPr>
          <w:p w14:paraId="495EAD57"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0.3747</w:t>
            </w:r>
          </w:p>
        </w:tc>
        <w:tc>
          <w:tcPr>
            <w:tcW w:w="1383" w:type="dxa"/>
          </w:tcPr>
          <w:p w14:paraId="502CB9F9"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0.871</w:t>
            </w:r>
          </w:p>
        </w:tc>
        <w:tc>
          <w:tcPr>
            <w:tcW w:w="1383" w:type="dxa"/>
            <w:vAlign w:val="bottom"/>
          </w:tcPr>
          <w:p w14:paraId="5EE7575A" w14:textId="49D77B1E"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21.5</w:t>
            </w:r>
          </w:p>
        </w:tc>
        <w:tc>
          <w:tcPr>
            <w:tcW w:w="1394" w:type="dxa"/>
          </w:tcPr>
          <w:p w14:paraId="6C0F05FD"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15.7</w:t>
            </w:r>
          </w:p>
        </w:tc>
      </w:tr>
      <w:tr w:rsidR="00F7628F" w:rsidRPr="00E95557" w14:paraId="0503128D" w14:textId="77777777" w:rsidTr="00F7628F">
        <w:tc>
          <w:tcPr>
            <w:tcW w:w="1382" w:type="dxa"/>
          </w:tcPr>
          <w:p w14:paraId="313042AB"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2</w:t>
            </w:r>
          </w:p>
        </w:tc>
        <w:tc>
          <w:tcPr>
            <w:tcW w:w="1382" w:type="dxa"/>
          </w:tcPr>
          <w:p w14:paraId="237A6281"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0.54</w:t>
            </w:r>
          </w:p>
        </w:tc>
        <w:tc>
          <w:tcPr>
            <w:tcW w:w="1383" w:type="dxa"/>
          </w:tcPr>
          <w:p w14:paraId="2921B42C" w14:textId="3D845484" w:rsidR="00F7628F" w:rsidRPr="00E95557" w:rsidRDefault="00416696"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w:t>
            </w:r>
            <w:r w:rsidR="00F7628F" w:rsidRPr="00E95557">
              <w:rPr>
                <w:rFonts w:asciiTheme="majorBidi" w:hAnsiTheme="majorBidi" w:cstheme="majorBidi"/>
                <w:szCs w:val="24"/>
              </w:rPr>
              <w:t>4684</w:t>
            </w:r>
          </w:p>
        </w:tc>
        <w:tc>
          <w:tcPr>
            <w:tcW w:w="1383" w:type="dxa"/>
          </w:tcPr>
          <w:p w14:paraId="0D09D680"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0.867</w:t>
            </w:r>
          </w:p>
        </w:tc>
        <w:tc>
          <w:tcPr>
            <w:tcW w:w="1383" w:type="dxa"/>
            <w:vAlign w:val="bottom"/>
          </w:tcPr>
          <w:p w14:paraId="4D76B029" w14:textId="4D89C07E"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27</w:t>
            </w:r>
          </w:p>
        </w:tc>
        <w:tc>
          <w:tcPr>
            <w:tcW w:w="1394" w:type="dxa"/>
          </w:tcPr>
          <w:p w14:paraId="5D50EF8E"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14.6</w:t>
            </w:r>
          </w:p>
        </w:tc>
      </w:tr>
      <w:tr w:rsidR="00F7628F" w:rsidRPr="00E95557" w14:paraId="24FFD254" w14:textId="77777777" w:rsidTr="00F7628F">
        <w:tc>
          <w:tcPr>
            <w:tcW w:w="1382" w:type="dxa"/>
          </w:tcPr>
          <w:p w14:paraId="61EB5747"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3</w:t>
            </w:r>
          </w:p>
        </w:tc>
        <w:tc>
          <w:tcPr>
            <w:tcW w:w="1382" w:type="dxa"/>
          </w:tcPr>
          <w:p w14:paraId="1C803781"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0.34</w:t>
            </w:r>
          </w:p>
        </w:tc>
        <w:tc>
          <w:tcPr>
            <w:tcW w:w="1383" w:type="dxa"/>
          </w:tcPr>
          <w:p w14:paraId="7DDE1B3D"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0.2905</w:t>
            </w:r>
          </w:p>
        </w:tc>
        <w:tc>
          <w:tcPr>
            <w:tcW w:w="1383" w:type="dxa"/>
          </w:tcPr>
          <w:p w14:paraId="4CC7E906"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0.854</w:t>
            </w:r>
          </w:p>
        </w:tc>
        <w:tc>
          <w:tcPr>
            <w:tcW w:w="1383" w:type="dxa"/>
            <w:vAlign w:val="bottom"/>
          </w:tcPr>
          <w:p w14:paraId="2C435A61" w14:textId="63EC9333"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17</w:t>
            </w:r>
          </w:p>
        </w:tc>
        <w:tc>
          <w:tcPr>
            <w:tcW w:w="1394" w:type="dxa"/>
          </w:tcPr>
          <w:p w14:paraId="2EEF14DB"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16.6</w:t>
            </w:r>
          </w:p>
        </w:tc>
      </w:tr>
      <w:tr w:rsidR="00F7628F" w:rsidRPr="00E95557" w14:paraId="2312F46D" w14:textId="77777777" w:rsidTr="00F7628F">
        <w:tc>
          <w:tcPr>
            <w:tcW w:w="1382" w:type="dxa"/>
          </w:tcPr>
          <w:p w14:paraId="05349FE9"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4</w:t>
            </w:r>
          </w:p>
        </w:tc>
        <w:tc>
          <w:tcPr>
            <w:tcW w:w="1382" w:type="dxa"/>
          </w:tcPr>
          <w:p w14:paraId="4EE75462"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0.65</w:t>
            </w:r>
          </w:p>
        </w:tc>
        <w:tc>
          <w:tcPr>
            <w:tcW w:w="1383" w:type="dxa"/>
          </w:tcPr>
          <w:p w14:paraId="1B9D09EC"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0.5603</w:t>
            </w:r>
          </w:p>
        </w:tc>
        <w:tc>
          <w:tcPr>
            <w:tcW w:w="1383" w:type="dxa"/>
          </w:tcPr>
          <w:p w14:paraId="72925FCC"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0.862</w:t>
            </w:r>
          </w:p>
        </w:tc>
        <w:tc>
          <w:tcPr>
            <w:tcW w:w="1383" w:type="dxa"/>
            <w:vAlign w:val="bottom"/>
          </w:tcPr>
          <w:p w14:paraId="747216BC" w14:textId="05D7F70E"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32.5</w:t>
            </w:r>
          </w:p>
        </w:tc>
        <w:tc>
          <w:tcPr>
            <w:tcW w:w="1394" w:type="dxa"/>
          </w:tcPr>
          <w:p w14:paraId="57DF0D6D"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13.5</w:t>
            </w:r>
          </w:p>
        </w:tc>
      </w:tr>
    </w:tbl>
    <w:p w14:paraId="6A72E7AF" w14:textId="5CD9EB51" w:rsidR="005A07B7" w:rsidRPr="00E95557" w:rsidRDefault="005A07B7" w:rsidP="00B57DCE">
      <w:pPr>
        <w:pStyle w:val="TCTableBody"/>
        <w:spacing w:line="480" w:lineRule="auto"/>
        <w:jc w:val="left"/>
        <w:rPr>
          <w:rFonts w:asciiTheme="majorBidi" w:hAnsiTheme="majorBidi" w:cstheme="majorBidi"/>
          <w:szCs w:val="24"/>
        </w:rPr>
      </w:pPr>
    </w:p>
    <w:p w14:paraId="0FA72A17" w14:textId="77777777" w:rsidR="00E9204C" w:rsidRPr="00E95557" w:rsidRDefault="00E9204C">
      <w:pPr>
        <w:rPr>
          <w:rFonts w:asciiTheme="majorBidi" w:eastAsia="Times New Roman" w:hAnsiTheme="majorBidi" w:cstheme="majorBidi"/>
          <w:sz w:val="24"/>
          <w:szCs w:val="24"/>
        </w:rPr>
      </w:pPr>
      <w:r w:rsidRPr="00E95557">
        <w:rPr>
          <w:rFonts w:asciiTheme="majorBidi" w:hAnsiTheme="majorBidi" w:cstheme="majorBidi"/>
          <w:szCs w:val="24"/>
        </w:rPr>
        <w:br w:type="page"/>
      </w:r>
    </w:p>
    <w:p w14:paraId="57B3AD06" w14:textId="67B6F67D" w:rsidR="00EC0547" w:rsidRPr="00E95557" w:rsidRDefault="005F11D6" w:rsidP="00E95557">
      <w:pPr>
        <w:pStyle w:val="TCTableBody"/>
        <w:spacing w:line="480" w:lineRule="auto"/>
        <w:rPr>
          <w:rFonts w:asciiTheme="majorBidi" w:hAnsiTheme="majorBidi" w:cstheme="majorBidi"/>
          <w:szCs w:val="24"/>
        </w:rPr>
      </w:pPr>
      <w:r w:rsidRPr="00E95557">
        <w:rPr>
          <w:rFonts w:asciiTheme="majorBidi" w:hAnsiTheme="majorBidi" w:cstheme="majorBidi"/>
          <w:szCs w:val="24"/>
        </w:rPr>
        <w:lastRenderedPageBreak/>
        <w:t>Table S</w:t>
      </w:r>
      <w:r w:rsidRPr="00E95557">
        <w:rPr>
          <w:rFonts w:asciiTheme="majorBidi" w:hAnsiTheme="majorBidi" w:cstheme="majorBidi"/>
          <w:szCs w:val="24"/>
        </w:rPr>
        <w:fldChar w:fldCharType="begin"/>
      </w:r>
      <w:r w:rsidRPr="00E95557">
        <w:rPr>
          <w:rFonts w:asciiTheme="majorBidi" w:hAnsiTheme="majorBidi" w:cstheme="majorBidi"/>
          <w:szCs w:val="24"/>
        </w:rPr>
        <w:instrText xml:space="preserve"> SEQ Table \* ARABIC </w:instrText>
      </w:r>
      <w:r w:rsidRPr="00E95557">
        <w:rPr>
          <w:rFonts w:asciiTheme="majorBidi" w:hAnsiTheme="majorBidi" w:cstheme="majorBidi"/>
          <w:szCs w:val="24"/>
        </w:rPr>
        <w:fldChar w:fldCharType="separate"/>
      </w:r>
      <w:r w:rsidRPr="00E95557">
        <w:rPr>
          <w:rFonts w:asciiTheme="majorBidi" w:hAnsiTheme="majorBidi" w:cstheme="majorBidi"/>
          <w:szCs w:val="24"/>
        </w:rPr>
        <w:t>2</w:t>
      </w:r>
      <w:r w:rsidRPr="00E95557">
        <w:rPr>
          <w:rFonts w:asciiTheme="majorBidi" w:hAnsiTheme="majorBidi" w:cstheme="majorBidi"/>
          <w:szCs w:val="24"/>
        </w:rPr>
        <w:fldChar w:fldCharType="end"/>
      </w:r>
      <w:r w:rsidR="00672F5E" w:rsidRPr="00E95557">
        <w:rPr>
          <w:rFonts w:asciiTheme="majorBidi" w:hAnsiTheme="majorBidi" w:cstheme="majorBidi"/>
          <w:szCs w:val="24"/>
        </w:rPr>
        <w:t xml:space="preserve">: </w:t>
      </w:r>
      <w:r w:rsidR="00EC0547" w:rsidRPr="00E95557">
        <w:rPr>
          <w:rFonts w:asciiTheme="majorBidi" w:hAnsiTheme="majorBidi" w:cstheme="majorBidi"/>
          <w:szCs w:val="24"/>
        </w:rPr>
        <w:t xml:space="preserve">The measured amount of expelled xylene from </w:t>
      </w:r>
      <w:r w:rsidR="00EC0547" w:rsidRPr="00E95557">
        <w:rPr>
          <w:rFonts w:asciiTheme="majorBidi" w:hAnsiTheme="majorBidi" w:cstheme="majorBidi"/>
          <w:szCs w:val="24"/>
          <w:highlight w:val="yellow"/>
        </w:rPr>
        <w:t>3</w:t>
      </w:r>
      <w:r w:rsidR="00D37D8F" w:rsidRPr="00E95557">
        <w:rPr>
          <w:rFonts w:asciiTheme="majorBidi" w:hAnsiTheme="majorBidi" w:cstheme="majorBidi"/>
          <w:szCs w:val="24"/>
          <w:highlight w:val="yellow"/>
        </w:rPr>
        <w:t>%</w:t>
      </w:r>
      <w:r w:rsidR="00EC0547" w:rsidRPr="00E95557">
        <w:rPr>
          <w:rFonts w:asciiTheme="majorBidi" w:hAnsiTheme="majorBidi" w:cstheme="majorBidi"/>
          <w:szCs w:val="24"/>
          <w:highlight w:val="yellow"/>
        </w:rPr>
        <w:t>/1%</w:t>
      </w:r>
      <w:r w:rsidR="00EC0547" w:rsidRPr="00E95557">
        <w:rPr>
          <w:rFonts w:asciiTheme="majorBidi" w:hAnsiTheme="majorBidi" w:cstheme="majorBidi"/>
          <w:szCs w:val="24"/>
        </w:rPr>
        <w:t xml:space="preserve"> PVA-B/AG.</w:t>
      </w:r>
      <w:r w:rsidR="004A5EB0" w:rsidRPr="00E95557">
        <w:rPr>
          <w:rFonts w:asciiTheme="majorBidi" w:hAnsiTheme="majorBidi" w:cstheme="majorBidi"/>
          <w:szCs w:val="24"/>
        </w:rPr>
        <w:t xml:space="preserve"> The prepared amount of the </w:t>
      </w:r>
      <w:r w:rsidR="00672F5E" w:rsidRPr="00E95557">
        <w:rPr>
          <w:rFonts w:asciiTheme="majorBidi" w:hAnsiTheme="majorBidi" w:cstheme="majorBidi"/>
          <w:szCs w:val="24"/>
        </w:rPr>
        <w:t xml:space="preserve">hydrogel formulations </w:t>
      </w:r>
      <w:r w:rsidR="004A5EB0" w:rsidRPr="00E95557">
        <w:rPr>
          <w:rFonts w:asciiTheme="majorBidi" w:hAnsiTheme="majorBidi" w:cstheme="majorBidi"/>
          <w:szCs w:val="24"/>
        </w:rPr>
        <w:t>is 10 ml.</w:t>
      </w:r>
    </w:p>
    <w:tbl>
      <w:tblPr>
        <w:tblStyle w:val="TableGrid"/>
        <w:tblW w:w="0" w:type="auto"/>
        <w:tblLook w:val="04A0" w:firstRow="1" w:lastRow="0" w:firstColumn="1" w:lastColumn="0" w:noHBand="0" w:noVBand="1"/>
      </w:tblPr>
      <w:tblGrid>
        <w:gridCol w:w="1382"/>
        <w:gridCol w:w="1382"/>
        <w:gridCol w:w="1383"/>
        <w:gridCol w:w="1383"/>
        <w:gridCol w:w="1383"/>
        <w:gridCol w:w="1523"/>
      </w:tblGrid>
      <w:tr w:rsidR="00EC0547" w:rsidRPr="00E95557" w14:paraId="6380BD88" w14:textId="77777777" w:rsidTr="00F7628F">
        <w:tc>
          <w:tcPr>
            <w:tcW w:w="1382" w:type="dxa"/>
            <w:vAlign w:val="center"/>
          </w:tcPr>
          <w:p w14:paraId="2301931A" w14:textId="77777777" w:rsidR="00EC0547" w:rsidRPr="00E95557" w:rsidRDefault="00EC0547"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w:t>
            </w:r>
          </w:p>
        </w:tc>
        <w:tc>
          <w:tcPr>
            <w:tcW w:w="1382" w:type="dxa"/>
            <w:vAlign w:val="center"/>
          </w:tcPr>
          <w:p w14:paraId="0E7510B5"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Volume (ml)</w:t>
            </w:r>
          </w:p>
        </w:tc>
        <w:tc>
          <w:tcPr>
            <w:tcW w:w="1383" w:type="dxa"/>
            <w:vAlign w:val="center"/>
          </w:tcPr>
          <w:p w14:paraId="3C0EB570"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Mass (g)</w:t>
            </w:r>
          </w:p>
        </w:tc>
        <w:tc>
          <w:tcPr>
            <w:tcW w:w="1383" w:type="dxa"/>
            <w:vAlign w:val="center"/>
          </w:tcPr>
          <w:p w14:paraId="1B5360AF"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Density (g/ml)</w:t>
            </w:r>
          </w:p>
        </w:tc>
        <w:tc>
          <w:tcPr>
            <w:tcW w:w="1383" w:type="dxa"/>
            <w:vAlign w:val="center"/>
          </w:tcPr>
          <w:p w14:paraId="68B0C8A1" w14:textId="77777777"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Expelled Xyl (%)</w:t>
            </w:r>
          </w:p>
        </w:tc>
        <w:tc>
          <w:tcPr>
            <w:tcW w:w="1394" w:type="dxa"/>
            <w:vAlign w:val="center"/>
          </w:tcPr>
          <w:p w14:paraId="610DA506" w14:textId="39DB2B6F" w:rsidR="00EC0547" w:rsidRPr="00E95557" w:rsidRDefault="00EC0547"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 xml:space="preserve">Remaining concentration </w:t>
            </w:r>
            <w:r w:rsidR="009E030F" w:rsidRPr="00E95557">
              <w:rPr>
                <w:rFonts w:asciiTheme="majorBidi" w:hAnsiTheme="majorBidi" w:cstheme="majorBidi"/>
                <w:szCs w:val="24"/>
              </w:rPr>
              <w:t xml:space="preserve">of </w:t>
            </w:r>
            <w:r w:rsidRPr="00E95557">
              <w:rPr>
                <w:rFonts w:asciiTheme="majorBidi" w:hAnsiTheme="majorBidi" w:cstheme="majorBidi"/>
                <w:szCs w:val="24"/>
              </w:rPr>
              <w:t>Xyl (20%)</w:t>
            </w:r>
          </w:p>
        </w:tc>
      </w:tr>
      <w:tr w:rsidR="00F7628F" w:rsidRPr="00E95557" w14:paraId="00D90BFA" w14:textId="77777777" w:rsidTr="00F7628F">
        <w:tc>
          <w:tcPr>
            <w:tcW w:w="1382" w:type="dxa"/>
            <w:vAlign w:val="center"/>
          </w:tcPr>
          <w:p w14:paraId="5CF3E8E4"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1</w:t>
            </w:r>
          </w:p>
        </w:tc>
        <w:tc>
          <w:tcPr>
            <w:tcW w:w="1382" w:type="dxa"/>
            <w:vAlign w:val="center"/>
          </w:tcPr>
          <w:p w14:paraId="143A4E8B"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0.031</w:t>
            </w:r>
          </w:p>
        </w:tc>
        <w:tc>
          <w:tcPr>
            <w:tcW w:w="1383" w:type="dxa"/>
            <w:vAlign w:val="center"/>
          </w:tcPr>
          <w:p w14:paraId="1BE3EA90"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0.0271</w:t>
            </w:r>
          </w:p>
        </w:tc>
        <w:tc>
          <w:tcPr>
            <w:tcW w:w="1383" w:type="dxa"/>
            <w:vAlign w:val="center"/>
          </w:tcPr>
          <w:p w14:paraId="11AA5568"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0.874</w:t>
            </w:r>
          </w:p>
        </w:tc>
        <w:tc>
          <w:tcPr>
            <w:tcW w:w="1383" w:type="dxa"/>
            <w:vAlign w:val="bottom"/>
          </w:tcPr>
          <w:p w14:paraId="4E9B2802" w14:textId="1CDE04F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1.55</w:t>
            </w:r>
          </w:p>
        </w:tc>
        <w:tc>
          <w:tcPr>
            <w:tcW w:w="1394" w:type="dxa"/>
            <w:vAlign w:val="center"/>
          </w:tcPr>
          <w:p w14:paraId="315ABB88"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19.7</w:t>
            </w:r>
          </w:p>
        </w:tc>
      </w:tr>
      <w:tr w:rsidR="00F7628F" w:rsidRPr="00E95557" w14:paraId="2AFE53C8" w14:textId="77777777" w:rsidTr="00F7628F">
        <w:tc>
          <w:tcPr>
            <w:tcW w:w="1382" w:type="dxa"/>
            <w:vAlign w:val="center"/>
          </w:tcPr>
          <w:p w14:paraId="21AD38CF"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2</w:t>
            </w:r>
          </w:p>
        </w:tc>
        <w:tc>
          <w:tcPr>
            <w:tcW w:w="1382" w:type="dxa"/>
            <w:vAlign w:val="center"/>
          </w:tcPr>
          <w:p w14:paraId="0D691F84"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w:t>
            </w:r>
          </w:p>
        </w:tc>
        <w:tc>
          <w:tcPr>
            <w:tcW w:w="1383" w:type="dxa"/>
            <w:vAlign w:val="center"/>
          </w:tcPr>
          <w:p w14:paraId="14EAC06B"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w:t>
            </w:r>
          </w:p>
        </w:tc>
        <w:tc>
          <w:tcPr>
            <w:tcW w:w="1383" w:type="dxa"/>
            <w:vAlign w:val="center"/>
          </w:tcPr>
          <w:p w14:paraId="0CE48036"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w:t>
            </w:r>
          </w:p>
        </w:tc>
        <w:tc>
          <w:tcPr>
            <w:tcW w:w="1383" w:type="dxa"/>
            <w:vAlign w:val="bottom"/>
          </w:tcPr>
          <w:p w14:paraId="35173D58" w14:textId="079E1AFD"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w:t>
            </w:r>
          </w:p>
        </w:tc>
        <w:tc>
          <w:tcPr>
            <w:tcW w:w="1394" w:type="dxa"/>
            <w:vAlign w:val="center"/>
          </w:tcPr>
          <w:p w14:paraId="5799311F"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20</w:t>
            </w:r>
          </w:p>
        </w:tc>
      </w:tr>
      <w:tr w:rsidR="00F7628F" w:rsidRPr="00E95557" w14:paraId="28288552" w14:textId="77777777" w:rsidTr="00F7628F">
        <w:tc>
          <w:tcPr>
            <w:tcW w:w="1382" w:type="dxa"/>
            <w:vAlign w:val="center"/>
          </w:tcPr>
          <w:p w14:paraId="79E0F5D2"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3</w:t>
            </w:r>
          </w:p>
        </w:tc>
        <w:tc>
          <w:tcPr>
            <w:tcW w:w="1382" w:type="dxa"/>
            <w:vAlign w:val="center"/>
          </w:tcPr>
          <w:p w14:paraId="46437525"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0.043</w:t>
            </w:r>
          </w:p>
        </w:tc>
        <w:tc>
          <w:tcPr>
            <w:tcW w:w="1383" w:type="dxa"/>
            <w:vAlign w:val="center"/>
          </w:tcPr>
          <w:p w14:paraId="24F1F006"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0.0369</w:t>
            </w:r>
          </w:p>
        </w:tc>
        <w:tc>
          <w:tcPr>
            <w:tcW w:w="1383" w:type="dxa"/>
            <w:vAlign w:val="center"/>
          </w:tcPr>
          <w:p w14:paraId="7091D903"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0.858</w:t>
            </w:r>
          </w:p>
        </w:tc>
        <w:tc>
          <w:tcPr>
            <w:tcW w:w="1383" w:type="dxa"/>
            <w:vAlign w:val="bottom"/>
          </w:tcPr>
          <w:p w14:paraId="263F4931" w14:textId="37032D3E"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2.15</w:t>
            </w:r>
          </w:p>
        </w:tc>
        <w:tc>
          <w:tcPr>
            <w:tcW w:w="1394" w:type="dxa"/>
            <w:vAlign w:val="center"/>
          </w:tcPr>
          <w:p w14:paraId="64E7B570"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19.6</w:t>
            </w:r>
          </w:p>
        </w:tc>
      </w:tr>
      <w:tr w:rsidR="00F7628F" w:rsidRPr="00E95557" w14:paraId="3B14A4CD" w14:textId="77777777" w:rsidTr="00F7628F">
        <w:tc>
          <w:tcPr>
            <w:tcW w:w="1382" w:type="dxa"/>
            <w:vAlign w:val="center"/>
          </w:tcPr>
          <w:p w14:paraId="358F6964" w14:textId="77777777" w:rsidR="00F7628F" w:rsidRPr="00E95557" w:rsidRDefault="00F7628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4</w:t>
            </w:r>
          </w:p>
        </w:tc>
        <w:tc>
          <w:tcPr>
            <w:tcW w:w="1382" w:type="dxa"/>
            <w:vAlign w:val="center"/>
          </w:tcPr>
          <w:p w14:paraId="59CAE98F"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0.1</w:t>
            </w:r>
          </w:p>
        </w:tc>
        <w:tc>
          <w:tcPr>
            <w:tcW w:w="1383" w:type="dxa"/>
            <w:vAlign w:val="center"/>
          </w:tcPr>
          <w:p w14:paraId="586EF0AF"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0.0875</w:t>
            </w:r>
          </w:p>
        </w:tc>
        <w:tc>
          <w:tcPr>
            <w:tcW w:w="1383" w:type="dxa"/>
            <w:vAlign w:val="center"/>
          </w:tcPr>
          <w:p w14:paraId="33144C55"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0.875</w:t>
            </w:r>
          </w:p>
        </w:tc>
        <w:tc>
          <w:tcPr>
            <w:tcW w:w="1383" w:type="dxa"/>
            <w:vAlign w:val="bottom"/>
          </w:tcPr>
          <w:p w14:paraId="2CC11BCB" w14:textId="755A24D5"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5</w:t>
            </w:r>
          </w:p>
        </w:tc>
        <w:tc>
          <w:tcPr>
            <w:tcW w:w="1394" w:type="dxa"/>
            <w:vAlign w:val="center"/>
          </w:tcPr>
          <w:p w14:paraId="0753F618" w14:textId="7777777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19</w:t>
            </w:r>
          </w:p>
        </w:tc>
      </w:tr>
    </w:tbl>
    <w:p w14:paraId="1BD4C60F" w14:textId="4CBF014B" w:rsidR="00672F5E" w:rsidRPr="00E95557" w:rsidRDefault="00672F5E" w:rsidP="00B57DCE">
      <w:pPr>
        <w:pStyle w:val="TCTableBody"/>
        <w:spacing w:line="480" w:lineRule="auto"/>
        <w:jc w:val="left"/>
        <w:rPr>
          <w:rFonts w:asciiTheme="majorBidi" w:hAnsiTheme="majorBidi" w:cstheme="majorBidi"/>
          <w:szCs w:val="24"/>
        </w:rPr>
      </w:pPr>
    </w:p>
    <w:p w14:paraId="56A17DE6" w14:textId="0400374D" w:rsidR="00672F5E" w:rsidRPr="00E95557" w:rsidRDefault="00672F5E"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Table S</w:t>
      </w:r>
      <w:r w:rsidR="00254B19" w:rsidRPr="00E95557">
        <w:rPr>
          <w:rFonts w:asciiTheme="majorBidi" w:hAnsiTheme="majorBidi" w:cstheme="majorBidi"/>
          <w:szCs w:val="24"/>
        </w:rPr>
        <w:fldChar w:fldCharType="begin"/>
      </w:r>
      <w:r w:rsidR="00254B19" w:rsidRPr="00E95557">
        <w:rPr>
          <w:rFonts w:asciiTheme="majorBidi" w:hAnsiTheme="majorBidi" w:cstheme="majorBidi"/>
          <w:szCs w:val="24"/>
        </w:rPr>
        <w:instrText xml:space="preserve"> SEQ Table_S \* ARABIC </w:instrText>
      </w:r>
      <w:r w:rsidR="00254B19" w:rsidRPr="00E95557">
        <w:rPr>
          <w:rFonts w:asciiTheme="majorBidi" w:hAnsiTheme="majorBidi" w:cstheme="majorBidi"/>
          <w:szCs w:val="24"/>
        </w:rPr>
        <w:fldChar w:fldCharType="separate"/>
      </w:r>
      <w:r w:rsidR="007F14F5" w:rsidRPr="00E95557">
        <w:rPr>
          <w:rFonts w:asciiTheme="majorBidi" w:hAnsiTheme="majorBidi" w:cstheme="majorBidi"/>
          <w:szCs w:val="24"/>
        </w:rPr>
        <w:t>3</w:t>
      </w:r>
      <w:r w:rsidR="00254B19" w:rsidRPr="00E95557">
        <w:rPr>
          <w:rFonts w:asciiTheme="majorBidi" w:hAnsiTheme="majorBidi" w:cstheme="majorBidi"/>
          <w:szCs w:val="24"/>
        </w:rPr>
        <w:fldChar w:fldCharType="end"/>
      </w:r>
      <w:r w:rsidRPr="00E95557">
        <w:rPr>
          <w:rFonts w:asciiTheme="majorBidi" w:hAnsiTheme="majorBidi" w:cstheme="majorBidi"/>
          <w:szCs w:val="24"/>
        </w:rPr>
        <w:t>: The measured amount of expelled xylene from the hydrogels investigated in the vertical flow test</w:t>
      </w:r>
      <w:r w:rsidR="00F1427F" w:rsidRPr="00E95557">
        <w:rPr>
          <w:rFonts w:asciiTheme="majorBidi" w:hAnsiTheme="majorBidi" w:cstheme="majorBidi"/>
          <w:szCs w:val="24"/>
        </w:rPr>
        <w:t>s</w:t>
      </w:r>
      <w:r w:rsidRPr="00E95557">
        <w:rPr>
          <w:rFonts w:asciiTheme="majorBidi" w:hAnsiTheme="majorBidi" w:cstheme="majorBidi"/>
          <w:szCs w:val="24"/>
        </w:rPr>
        <w:t>. The prepared amount of the hydrogel formulations is 20 ml.</w:t>
      </w:r>
    </w:p>
    <w:tbl>
      <w:tblPr>
        <w:tblStyle w:val="TableGrid"/>
        <w:tblW w:w="9365" w:type="dxa"/>
        <w:tblLook w:val="04A0" w:firstRow="1" w:lastRow="0" w:firstColumn="1" w:lastColumn="0" w:noHBand="0" w:noVBand="1"/>
      </w:tblPr>
      <w:tblGrid>
        <w:gridCol w:w="2311"/>
        <w:gridCol w:w="1382"/>
        <w:gridCol w:w="1383"/>
        <w:gridCol w:w="1383"/>
        <w:gridCol w:w="1383"/>
        <w:gridCol w:w="1523"/>
      </w:tblGrid>
      <w:tr w:rsidR="00CC1524" w:rsidRPr="00E95557" w14:paraId="78F46560" w14:textId="77777777" w:rsidTr="00584B8A">
        <w:tc>
          <w:tcPr>
            <w:tcW w:w="2311" w:type="dxa"/>
            <w:vAlign w:val="center"/>
          </w:tcPr>
          <w:p w14:paraId="77C52F43" w14:textId="3D30BBA5" w:rsidR="00CC1524" w:rsidRPr="00E95557" w:rsidRDefault="008A241F"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Hydrogel formulation</w:t>
            </w:r>
            <w:bookmarkStart w:id="3" w:name="_GoBack"/>
            <w:bookmarkEnd w:id="3"/>
          </w:p>
        </w:tc>
        <w:tc>
          <w:tcPr>
            <w:tcW w:w="1382" w:type="dxa"/>
            <w:vAlign w:val="center"/>
          </w:tcPr>
          <w:p w14:paraId="62B322C9" w14:textId="77777777" w:rsidR="00CC1524" w:rsidRPr="00E95557" w:rsidRDefault="00CC1524"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Volume (ml)</w:t>
            </w:r>
          </w:p>
        </w:tc>
        <w:tc>
          <w:tcPr>
            <w:tcW w:w="1383" w:type="dxa"/>
            <w:vAlign w:val="center"/>
          </w:tcPr>
          <w:p w14:paraId="0D4A6632" w14:textId="77777777" w:rsidR="00CC1524" w:rsidRPr="00E95557" w:rsidRDefault="00CC1524"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Mass (g)</w:t>
            </w:r>
          </w:p>
        </w:tc>
        <w:tc>
          <w:tcPr>
            <w:tcW w:w="1383" w:type="dxa"/>
            <w:vAlign w:val="center"/>
          </w:tcPr>
          <w:p w14:paraId="7A3F3239" w14:textId="77777777" w:rsidR="00CC1524" w:rsidRPr="00E95557" w:rsidRDefault="00CC1524"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Density (g/ml)</w:t>
            </w:r>
          </w:p>
        </w:tc>
        <w:tc>
          <w:tcPr>
            <w:tcW w:w="1383" w:type="dxa"/>
            <w:vAlign w:val="center"/>
          </w:tcPr>
          <w:p w14:paraId="6576BF66" w14:textId="77777777" w:rsidR="00CC1524" w:rsidRPr="00E95557" w:rsidRDefault="00CC1524"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Expelled Xyl (%)</w:t>
            </w:r>
          </w:p>
        </w:tc>
        <w:tc>
          <w:tcPr>
            <w:tcW w:w="1523" w:type="dxa"/>
            <w:vAlign w:val="center"/>
          </w:tcPr>
          <w:p w14:paraId="17998E4A" w14:textId="29E4799D" w:rsidR="00CC1524" w:rsidRPr="00E95557" w:rsidRDefault="00CC1524"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 xml:space="preserve">Remaining concentration </w:t>
            </w:r>
            <w:r w:rsidR="005D0572" w:rsidRPr="00E95557">
              <w:rPr>
                <w:rFonts w:asciiTheme="majorBidi" w:hAnsiTheme="majorBidi" w:cstheme="majorBidi"/>
                <w:szCs w:val="24"/>
              </w:rPr>
              <w:t xml:space="preserve">of </w:t>
            </w:r>
            <w:r w:rsidRPr="00E95557">
              <w:rPr>
                <w:rFonts w:asciiTheme="majorBidi" w:hAnsiTheme="majorBidi" w:cstheme="majorBidi"/>
                <w:szCs w:val="24"/>
              </w:rPr>
              <w:t>Xyl (20%)</w:t>
            </w:r>
          </w:p>
        </w:tc>
      </w:tr>
      <w:tr w:rsidR="00F7628F" w:rsidRPr="00E95557" w14:paraId="0738FDB6" w14:textId="77777777" w:rsidTr="00584B8A">
        <w:tc>
          <w:tcPr>
            <w:tcW w:w="2311" w:type="dxa"/>
            <w:vAlign w:val="bottom"/>
          </w:tcPr>
          <w:p w14:paraId="52E2126E" w14:textId="35224E0A" w:rsidR="00F7628F" w:rsidRPr="00E95557" w:rsidRDefault="00E46385"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 xml:space="preserve">3% </w:t>
            </w:r>
            <w:r w:rsidR="00F7628F" w:rsidRPr="00E95557">
              <w:rPr>
                <w:rFonts w:asciiTheme="majorBidi" w:hAnsiTheme="majorBidi" w:cstheme="majorBidi"/>
                <w:szCs w:val="24"/>
              </w:rPr>
              <w:t xml:space="preserve">PVA-B </w:t>
            </w:r>
          </w:p>
        </w:tc>
        <w:tc>
          <w:tcPr>
            <w:tcW w:w="1382" w:type="dxa"/>
            <w:vAlign w:val="bottom"/>
          </w:tcPr>
          <w:p w14:paraId="45E9D7DC" w14:textId="37878055"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0.807</w:t>
            </w:r>
          </w:p>
        </w:tc>
        <w:tc>
          <w:tcPr>
            <w:tcW w:w="1383" w:type="dxa"/>
            <w:vAlign w:val="bottom"/>
          </w:tcPr>
          <w:p w14:paraId="370ADADB" w14:textId="60ACF8C2"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0.6995</w:t>
            </w:r>
          </w:p>
        </w:tc>
        <w:tc>
          <w:tcPr>
            <w:tcW w:w="1383" w:type="dxa"/>
            <w:vAlign w:val="bottom"/>
          </w:tcPr>
          <w:p w14:paraId="367AC56C" w14:textId="57EE8A51"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0.867</w:t>
            </w:r>
          </w:p>
        </w:tc>
        <w:tc>
          <w:tcPr>
            <w:tcW w:w="1383" w:type="dxa"/>
            <w:vAlign w:val="bottom"/>
          </w:tcPr>
          <w:p w14:paraId="1EF48D1D" w14:textId="040B265B"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40.35</w:t>
            </w:r>
          </w:p>
        </w:tc>
        <w:tc>
          <w:tcPr>
            <w:tcW w:w="1523" w:type="dxa"/>
            <w:vAlign w:val="bottom"/>
          </w:tcPr>
          <w:p w14:paraId="26D652F3" w14:textId="1E416378"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11.9</w:t>
            </w:r>
          </w:p>
        </w:tc>
      </w:tr>
      <w:tr w:rsidR="00F7628F" w:rsidRPr="00E95557" w14:paraId="33938994" w14:textId="77777777" w:rsidTr="00584B8A">
        <w:tc>
          <w:tcPr>
            <w:tcW w:w="2311" w:type="dxa"/>
            <w:vAlign w:val="bottom"/>
          </w:tcPr>
          <w:p w14:paraId="3069E2E5" w14:textId="48E12015" w:rsidR="00F7628F" w:rsidRPr="00E95557" w:rsidRDefault="00E46385"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highlight w:val="yellow"/>
              </w:rPr>
              <w:t>3</w:t>
            </w:r>
            <w:r w:rsidR="00495105" w:rsidRPr="00E95557">
              <w:rPr>
                <w:rFonts w:asciiTheme="majorBidi" w:hAnsiTheme="majorBidi" w:cstheme="majorBidi"/>
                <w:szCs w:val="24"/>
                <w:highlight w:val="yellow"/>
              </w:rPr>
              <w:t>%</w:t>
            </w:r>
            <w:r w:rsidRPr="00E95557">
              <w:rPr>
                <w:rFonts w:asciiTheme="majorBidi" w:hAnsiTheme="majorBidi" w:cstheme="majorBidi"/>
                <w:szCs w:val="24"/>
                <w:highlight w:val="yellow"/>
              </w:rPr>
              <w:t>/1%</w:t>
            </w:r>
            <w:r w:rsidRPr="00E95557">
              <w:rPr>
                <w:rFonts w:asciiTheme="majorBidi" w:hAnsiTheme="majorBidi" w:cstheme="majorBidi"/>
                <w:szCs w:val="24"/>
              </w:rPr>
              <w:t xml:space="preserve"> </w:t>
            </w:r>
            <w:r w:rsidR="00F7628F" w:rsidRPr="00E95557">
              <w:rPr>
                <w:rFonts w:asciiTheme="majorBidi" w:hAnsiTheme="majorBidi" w:cstheme="majorBidi"/>
                <w:szCs w:val="24"/>
              </w:rPr>
              <w:t xml:space="preserve">PVA-B/AG </w:t>
            </w:r>
          </w:p>
        </w:tc>
        <w:tc>
          <w:tcPr>
            <w:tcW w:w="1382" w:type="dxa"/>
            <w:vAlign w:val="bottom"/>
          </w:tcPr>
          <w:p w14:paraId="6932325F" w14:textId="0D97864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0.27</w:t>
            </w:r>
          </w:p>
        </w:tc>
        <w:tc>
          <w:tcPr>
            <w:tcW w:w="1383" w:type="dxa"/>
            <w:vAlign w:val="bottom"/>
          </w:tcPr>
          <w:p w14:paraId="45C355C8" w14:textId="6C484669"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0.2344</w:t>
            </w:r>
          </w:p>
        </w:tc>
        <w:tc>
          <w:tcPr>
            <w:tcW w:w="1383" w:type="dxa"/>
            <w:vAlign w:val="bottom"/>
          </w:tcPr>
          <w:p w14:paraId="71BEA961" w14:textId="50168A27"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0.868</w:t>
            </w:r>
          </w:p>
        </w:tc>
        <w:tc>
          <w:tcPr>
            <w:tcW w:w="1383" w:type="dxa"/>
            <w:vAlign w:val="bottom"/>
          </w:tcPr>
          <w:p w14:paraId="3A74D245" w14:textId="4A4F3C00"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13.5</w:t>
            </w:r>
          </w:p>
        </w:tc>
        <w:tc>
          <w:tcPr>
            <w:tcW w:w="1523" w:type="dxa"/>
            <w:vAlign w:val="bottom"/>
          </w:tcPr>
          <w:p w14:paraId="2EB3676D" w14:textId="3C448BF9"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17.3</w:t>
            </w:r>
          </w:p>
        </w:tc>
      </w:tr>
      <w:tr w:rsidR="00F7628F" w:rsidRPr="00E95557" w14:paraId="50ED6CE5" w14:textId="77777777" w:rsidTr="00584B8A">
        <w:tc>
          <w:tcPr>
            <w:tcW w:w="2311" w:type="dxa"/>
            <w:vAlign w:val="bottom"/>
          </w:tcPr>
          <w:p w14:paraId="3E11C975" w14:textId="21B752CC" w:rsidR="00F7628F" w:rsidRPr="00E95557" w:rsidRDefault="00E46385"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4%</w:t>
            </w:r>
            <w:r w:rsidR="00F7628F" w:rsidRPr="00E95557">
              <w:rPr>
                <w:rFonts w:asciiTheme="majorBidi" w:hAnsiTheme="majorBidi" w:cstheme="majorBidi"/>
                <w:szCs w:val="24"/>
              </w:rPr>
              <w:t xml:space="preserve">PVA-B </w:t>
            </w:r>
          </w:p>
        </w:tc>
        <w:tc>
          <w:tcPr>
            <w:tcW w:w="1382" w:type="dxa"/>
            <w:vAlign w:val="bottom"/>
          </w:tcPr>
          <w:p w14:paraId="4B6A6D69" w14:textId="289C9AAF"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0.265</w:t>
            </w:r>
          </w:p>
        </w:tc>
        <w:tc>
          <w:tcPr>
            <w:tcW w:w="1383" w:type="dxa"/>
            <w:vAlign w:val="bottom"/>
          </w:tcPr>
          <w:p w14:paraId="4CF4422A" w14:textId="282FAE91"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0.2325</w:t>
            </w:r>
          </w:p>
        </w:tc>
        <w:tc>
          <w:tcPr>
            <w:tcW w:w="1383" w:type="dxa"/>
            <w:vAlign w:val="bottom"/>
          </w:tcPr>
          <w:p w14:paraId="519B2A1C" w14:textId="27E4E5C9"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0.877</w:t>
            </w:r>
          </w:p>
        </w:tc>
        <w:tc>
          <w:tcPr>
            <w:tcW w:w="1383" w:type="dxa"/>
            <w:vAlign w:val="bottom"/>
          </w:tcPr>
          <w:p w14:paraId="48AB60BE" w14:textId="756BF97E"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13.25</w:t>
            </w:r>
          </w:p>
        </w:tc>
        <w:tc>
          <w:tcPr>
            <w:tcW w:w="1523" w:type="dxa"/>
            <w:vAlign w:val="bottom"/>
          </w:tcPr>
          <w:p w14:paraId="71AB3A6D" w14:textId="34F72DB6" w:rsidR="00F7628F" w:rsidRPr="00E95557" w:rsidRDefault="00F7628F"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t>17.4</w:t>
            </w:r>
          </w:p>
        </w:tc>
      </w:tr>
    </w:tbl>
    <w:p w14:paraId="74110155" w14:textId="4824326C" w:rsidR="003B4B8C" w:rsidRPr="00E95557" w:rsidRDefault="003B4B8C" w:rsidP="00B57DCE">
      <w:pPr>
        <w:pStyle w:val="TCTableBody"/>
        <w:spacing w:line="480" w:lineRule="auto"/>
        <w:jc w:val="left"/>
        <w:rPr>
          <w:rFonts w:asciiTheme="majorBidi" w:hAnsiTheme="majorBidi" w:cstheme="majorBidi"/>
          <w:szCs w:val="24"/>
        </w:rPr>
      </w:pPr>
    </w:p>
    <w:p w14:paraId="2FAF24D7" w14:textId="17363335" w:rsidR="00007980" w:rsidRPr="00E95557" w:rsidRDefault="00B44BCA" w:rsidP="00B57DCE">
      <w:pPr>
        <w:pStyle w:val="TCTableBody"/>
        <w:spacing w:line="480" w:lineRule="auto"/>
        <w:jc w:val="center"/>
        <w:rPr>
          <w:rFonts w:asciiTheme="majorBidi" w:hAnsiTheme="majorBidi" w:cstheme="majorBidi"/>
          <w:szCs w:val="24"/>
        </w:rPr>
      </w:pPr>
      <w:r w:rsidRPr="00E95557">
        <w:lastRenderedPageBreak/>
        <w:t xml:space="preserve"> </w:t>
      </w:r>
      <w:r w:rsidRPr="00E95557">
        <w:drawing>
          <wp:inline distT="0" distB="0" distL="0" distR="0" wp14:anchorId="6A4C87CE" wp14:editId="58B55082">
            <wp:extent cx="2078238" cy="274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78238" cy="2743200"/>
                    </a:xfrm>
                    <a:prstGeom prst="rect">
                      <a:avLst/>
                    </a:prstGeom>
                    <a:noFill/>
                    <a:ln>
                      <a:noFill/>
                    </a:ln>
                  </pic:spPr>
                </pic:pic>
              </a:graphicData>
            </a:graphic>
          </wp:inline>
        </w:drawing>
      </w:r>
    </w:p>
    <w:p w14:paraId="6800657E" w14:textId="1375E0D1" w:rsidR="00007980" w:rsidRPr="00E95557" w:rsidRDefault="00007980" w:rsidP="00E95557">
      <w:pPr>
        <w:pStyle w:val="TCTableBody"/>
        <w:spacing w:line="480" w:lineRule="auto"/>
        <w:rPr>
          <w:rFonts w:asciiTheme="majorBidi" w:hAnsiTheme="majorBidi" w:cstheme="majorBidi"/>
          <w:szCs w:val="24"/>
        </w:rPr>
      </w:pPr>
      <w:bookmarkStart w:id="4" w:name="FS1"/>
      <w:r w:rsidRPr="00E95557">
        <w:rPr>
          <w:rFonts w:asciiTheme="majorBidi" w:hAnsiTheme="majorBidi" w:cstheme="majorBidi"/>
          <w:szCs w:val="24"/>
        </w:rPr>
        <w:t>Figure S</w:t>
      </w:r>
      <w:r w:rsidR="00F6247E" w:rsidRPr="00E95557">
        <w:rPr>
          <w:rFonts w:asciiTheme="majorBidi" w:hAnsiTheme="majorBidi" w:cstheme="majorBidi"/>
          <w:szCs w:val="24"/>
        </w:rPr>
        <w:t>1</w:t>
      </w:r>
      <w:bookmarkEnd w:id="4"/>
      <w:r w:rsidRPr="00E95557">
        <w:rPr>
          <w:rFonts w:asciiTheme="majorBidi" w:hAnsiTheme="majorBidi" w:cstheme="majorBidi"/>
          <w:szCs w:val="24"/>
        </w:rPr>
        <w:t xml:space="preserve">: </w:t>
      </w:r>
      <w:r w:rsidR="007B6C54" w:rsidRPr="00E95557">
        <w:rPr>
          <w:rFonts w:asciiTheme="majorBidi" w:hAnsiTheme="majorBidi" w:cstheme="majorBidi"/>
          <w:szCs w:val="24"/>
        </w:rPr>
        <w:t>a</w:t>
      </w:r>
      <w:r w:rsidRPr="00E95557">
        <w:rPr>
          <w:rFonts w:asciiTheme="majorBidi" w:hAnsiTheme="majorBidi" w:cstheme="majorBidi"/>
          <w:szCs w:val="24"/>
        </w:rPr>
        <w:t xml:space="preserve">) </w:t>
      </w:r>
      <w:r w:rsidR="00543F3A" w:rsidRPr="00E95557">
        <w:rPr>
          <w:rFonts w:asciiTheme="majorBidi" w:hAnsiTheme="majorBidi" w:cstheme="majorBidi"/>
          <w:szCs w:val="24"/>
        </w:rPr>
        <w:t xml:space="preserve">Agarose chemical structure. </w:t>
      </w:r>
      <w:r w:rsidR="007B6C54" w:rsidRPr="00E95557">
        <w:rPr>
          <w:rFonts w:asciiTheme="majorBidi" w:hAnsiTheme="majorBidi" w:cstheme="majorBidi"/>
          <w:szCs w:val="24"/>
        </w:rPr>
        <w:t>b</w:t>
      </w:r>
      <w:r w:rsidRPr="00E95557">
        <w:rPr>
          <w:rFonts w:asciiTheme="majorBidi" w:hAnsiTheme="majorBidi" w:cstheme="majorBidi"/>
          <w:szCs w:val="24"/>
        </w:rPr>
        <w:t xml:space="preserve">) </w:t>
      </w:r>
      <w:r w:rsidR="00543F3A" w:rsidRPr="00E95557">
        <w:rPr>
          <w:rFonts w:asciiTheme="majorBidi" w:hAnsiTheme="majorBidi" w:cstheme="majorBidi"/>
          <w:szCs w:val="24"/>
        </w:rPr>
        <w:t>Gelation process of agarose</w:t>
      </w:r>
      <w:r w:rsidR="002F4A63" w:rsidRPr="00E95557">
        <w:rPr>
          <w:rFonts w:asciiTheme="majorBidi" w:hAnsiTheme="majorBidi" w:cstheme="majorBidi"/>
          <w:szCs w:val="24"/>
        </w:rPr>
        <w:t>.</w:t>
      </w:r>
      <w:r w:rsidR="00543F3A" w:rsidRPr="00E95557">
        <w:rPr>
          <w:rFonts w:asciiTheme="majorBidi" w:hAnsiTheme="majorBidi" w:cstheme="majorBidi"/>
          <w:szCs w:val="24"/>
        </w:rPr>
        <w:t xml:space="preserve"> </w:t>
      </w:r>
      <w:r w:rsidR="007B6C54" w:rsidRPr="00E95557">
        <w:rPr>
          <w:rFonts w:asciiTheme="majorBidi" w:hAnsiTheme="majorBidi" w:cstheme="majorBidi"/>
          <w:szCs w:val="24"/>
        </w:rPr>
        <w:t>c</w:t>
      </w:r>
      <w:r w:rsidRPr="00E95557">
        <w:rPr>
          <w:rFonts w:asciiTheme="majorBidi" w:hAnsiTheme="majorBidi" w:cstheme="majorBidi"/>
          <w:szCs w:val="24"/>
        </w:rPr>
        <w:t xml:space="preserve">) </w:t>
      </w:r>
      <w:r w:rsidR="00543F3A" w:rsidRPr="00E95557">
        <w:rPr>
          <w:rFonts w:asciiTheme="majorBidi" w:hAnsiTheme="majorBidi" w:cstheme="majorBidi"/>
          <w:szCs w:val="24"/>
        </w:rPr>
        <w:t>Crosslinking of PVA by a borax.</w:t>
      </w:r>
    </w:p>
    <w:p w14:paraId="7E67C8A3" w14:textId="77777777" w:rsidR="00B07973" w:rsidRPr="00E95557" w:rsidRDefault="00B07973" w:rsidP="00B57DCE">
      <w:pPr>
        <w:pStyle w:val="TCTableBody"/>
        <w:spacing w:line="480" w:lineRule="auto"/>
        <w:jc w:val="center"/>
        <w:rPr>
          <w:rFonts w:asciiTheme="majorBidi" w:hAnsiTheme="majorBidi" w:cstheme="majorBidi"/>
          <w:szCs w:val="24"/>
        </w:rPr>
      </w:pPr>
    </w:p>
    <w:p w14:paraId="0BE7C833" w14:textId="2C3E70CB" w:rsidR="00A34610" w:rsidRPr="00E95557" w:rsidRDefault="00B44BCA" w:rsidP="00B57DCE">
      <w:pPr>
        <w:pStyle w:val="TCTableBody"/>
        <w:spacing w:line="480" w:lineRule="auto"/>
        <w:jc w:val="center"/>
        <w:rPr>
          <w:rFonts w:asciiTheme="majorBidi" w:hAnsiTheme="majorBidi" w:cstheme="majorBidi"/>
          <w:szCs w:val="24"/>
        </w:rPr>
      </w:pPr>
      <w:r w:rsidRPr="00E95557">
        <w:t xml:space="preserve"> </w:t>
      </w:r>
      <w:r w:rsidRPr="00E95557">
        <w:drawing>
          <wp:inline distT="0" distB="0" distL="0" distR="0" wp14:anchorId="3322208C" wp14:editId="4DD6493A">
            <wp:extent cx="5731510" cy="1998980"/>
            <wp:effectExtent l="0" t="0" r="254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998980"/>
                    </a:xfrm>
                    <a:prstGeom prst="rect">
                      <a:avLst/>
                    </a:prstGeom>
                    <a:noFill/>
                    <a:ln>
                      <a:noFill/>
                    </a:ln>
                  </pic:spPr>
                </pic:pic>
              </a:graphicData>
            </a:graphic>
          </wp:inline>
        </w:drawing>
      </w:r>
    </w:p>
    <w:p w14:paraId="55F7FC41" w14:textId="187BE821" w:rsidR="00A34610" w:rsidRPr="00E95557" w:rsidRDefault="00A34610" w:rsidP="00E95557">
      <w:pPr>
        <w:pStyle w:val="TCTableBody"/>
        <w:spacing w:line="480" w:lineRule="auto"/>
        <w:rPr>
          <w:rFonts w:asciiTheme="majorBidi" w:hAnsiTheme="majorBidi" w:cstheme="majorBidi"/>
          <w:szCs w:val="24"/>
        </w:rPr>
      </w:pPr>
      <w:r w:rsidRPr="00E95557">
        <w:rPr>
          <w:rFonts w:asciiTheme="majorBidi" w:hAnsiTheme="majorBidi" w:cstheme="majorBidi"/>
          <w:szCs w:val="24"/>
        </w:rPr>
        <w:t>Figure S</w:t>
      </w:r>
      <w:r w:rsidR="00F6247E" w:rsidRPr="00E95557">
        <w:rPr>
          <w:rFonts w:asciiTheme="majorBidi" w:hAnsiTheme="majorBidi" w:cstheme="majorBidi"/>
          <w:szCs w:val="24"/>
        </w:rPr>
        <w:t>2</w:t>
      </w:r>
      <w:r w:rsidRPr="00E95557">
        <w:rPr>
          <w:rFonts w:asciiTheme="majorBidi" w:hAnsiTheme="majorBidi" w:cstheme="majorBidi"/>
          <w:szCs w:val="24"/>
        </w:rPr>
        <w:t xml:space="preserve">: </w:t>
      </w:r>
      <w:r w:rsidR="007B6C54" w:rsidRPr="00E95557">
        <w:rPr>
          <w:rFonts w:asciiTheme="majorBidi" w:hAnsiTheme="majorBidi" w:cstheme="majorBidi"/>
          <w:szCs w:val="24"/>
        </w:rPr>
        <w:t>a</w:t>
      </w:r>
      <w:r w:rsidRPr="00E95557">
        <w:rPr>
          <w:rFonts w:asciiTheme="majorBidi" w:hAnsiTheme="majorBidi" w:cstheme="majorBidi"/>
          <w:szCs w:val="24"/>
        </w:rPr>
        <w:t xml:space="preserve">) </w:t>
      </w:r>
      <w:r w:rsidR="00D847BF" w:rsidRPr="00E95557">
        <w:rPr>
          <w:rFonts w:asciiTheme="majorBidi" w:hAnsiTheme="majorBidi" w:cstheme="majorBidi"/>
          <w:szCs w:val="24"/>
          <w:highlight w:val="yellow"/>
        </w:rPr>
        <w:t>3%/1%</w:t>
      </w:r>
      <w:r w:rsidR="00D847BF" w:rsidRPr="00E95557">
        <w:rPr>
          <w:rFonts w:asciiTheme="majorBidi" w:hAnsiTheme="majorBidi" w:cstheme="majorBidi"/>
          <w:szCs w:val="24"/>
        </w:rPr>
        <w:t xml:space="preserve"> PVA-B/AG (front row) </w:t>
      </w:r>
      <w:r w:rsidRPr="00E95557">
        <w:rPr>
          <w:rFonts w:asciiTheme="majorBidi" w:hAnsiTheme="majorBidi" w:cstheme="majorBidi"/>
          <w:szCs w:val="24"/>
        </w:rPr>
        <w:t xml:space="preserve">and </w:t>
      </w:r>
      <w:r w:rsidR="00D847BF" w:rsidRPr="00E95557">
        <w:rPr>
          <w:rFonts w:asciiTheme="majorBidi" w:hAnsiTheme="majorBidi" w:cstheme="majorBidi"/>
          <w:szCs w:val="24"/>
        </w:rPr>
        <w:t xml:space="preserve">3% PVA- B (back row) </w:t>
      </w:r>
      <w:r w:rsidRPr="00E95557">
        <w:rPr>
          <w:rFonts w:asciiTheme="majorBidi" w:hAnsiTheme="majorBidi" w:cstheme="majorBidi"/>
          <w:szCs w:val="24"/>
        </w:rPr>
        <w:t>hydrogels, loaded with different cleaning agents (</w:t>
      </w:r>
      <w:r w:rsidR="00D37D8F" w:rsidRPr="00E95557">
        <w:rPr>
          <w:rFonts w:asciiTheme="majorBidi" w:hAnsiTheme="majorBidi" w:cstheme="majorBidi"/>
          <w:szCs w:val="24"/>
        </w:rPr>
        <w:t xml:space="preserve">right </w:t>
      </w:r>
      <w:r w:rsidRPr="00E95557">
        <w:rPr>
          <w:rFonts w:asciiTheme="majorBidi" w:hAnsiTheme="majorBidi" w:cstheme="majorBidi"/>
          <w:szCs w:val="24"/>
        </w:rPr>
        <w:t xml:space="preserve">to </w:t>
      </w:r>
      <w:r w:rsidR="00D37D8F" w:rsidRPr="00E95557">
        <w:rPr>
          <w:rFonts w:asciiTheme="majorBidi" w:hAnsiTheme="majorBidi" w:cstheme="majorBidi"/>
          <w:szCs w:val="24"/>
        </w:rPr>
        <w:t>left</w:t>
      </w:r>
      <w:r w:rsidRPr="00E95557">
        <w:rPr>
          <w:rFonts w:asciiTheme="majorBidi" w:hAnsiTheme="majorBidi" w:cstheme="majorBidi"/>
          <w:szCs w:val="24"/>
        </w:rPr>
        <w:t>: only water, 20% AC, 20% EtOH, 20% Xyl, 0.5% EDTA, 5% C2</w:t>
      </w:r>
      <w:r w:rsidR="00A47FFD" w:rsidRPr="00E95557">
        <w:rPr>
          <w:rFonts w:asciiTheme="majorBidi" w:hAnsiTheme="majorBidi" w:cstheme="majorBidi"/>
          <w:szCs w:val="24"/>
        </w:rPr>
        <w:t>5</w:t>
      </w:r>
      <w:r w:rsidRPr="00E95557">
        <w:rPr>
          <w:rFonts w:asciiTheme="majorBidi" w:hAnsiTheme="majorBidi" w:cstheme="majorBidi"/>
          <w:szCs w:val="24"/>
        </w:rPr>
        <w:t xml:space="preserve">), confined in syringes. </w:t>
      </w:r>
      <w:r w:rsidR="007B6C54" w:rsidRPr="00E95557">
        <w:rPr>
          <w:rFonts w:asciiTheme="majorBidi" w:hAnsiTheme="majorBidi" w:cstheme="majorBidi"/>
          <w:szCs w:val="24"/>
        </w:rPr>
        <w:t>b</w:t>
      </w:r>
      <w:r w:rsidRPr="00E95557">
        <w:rPr>
          <w:rFonts w:asciiTheme="majorBidi" w:hAnsiTheme="majorBidi" w:cstheme="majorBidi"/>
          <w:szCs w:val="24"/>
        </w:rPr>
        <w:t xml:space="preserve">) The </w:t>
      </w:r>
      <w:r w:rsidR="00B322F4" w:rsidRPr="00E95557">
        <w:rPr>
          <w:rFonts w:asciiTheme="majorBidi" w:hAnsiTheme="majorBidi" w:cstheme="majorBidi"/>
          <w:szCs w:val="24"/>
        </w:rPr>
        <w:t>color</w:t>
      </w:r>
      <w:r w:rsidRPr="00E95557">
        <w:rPr>
          <w:rFonts w:asciiTheme="majorBidi" w:hAnsiTheme="majorBidi" w:cstheme="majorBidi"/>
          <w:szCs w:val="24"/>
        </w:rPr>
        <w:t xml:space="preserve"> of the corresponding hydrogel formulations against a black background.</w:t>
      </w:r>
    </w:p>
    <w:p w14:paraId="381B565E" w14:textId="77777777" w:rsidR="00B07973" w:rsidRPr="00E95557" w:rsidRDefault="00B07973" w:rsidP="00B57DCE">
      <w:pPr>
        <w:pStyle w:val="TCTableBody"/>
        <w:spacing w:line="480" w:lineRule="auto"/>
        <w:jc w:val="center"/>
        <w:rPr>
          <w:rFonts w:asciiTheme="majorBidi" w:hAnsiTheme="majorBidi" w:cstheme="majorBidi"/>
          <w:szCs w:val="24"/>
        </w:rPr>
      </w:pPr>
    </w:p>
    <w:p w14:paraId="6BB18127" w14:textId="66AE0F15" w:rsidR="009F3946" w:rsidRPr="00E95557" w:rsidRDefault="009247F9"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lastRenderedPageBreak/>
        <w:drawing>
          <wp:inline distT="0" distB="0" distL="0" distR="0" wp14:anchorId="4FD537BA" wp14:editId="54C9E150">
            <wp:extent cx="5731510" cy="213423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2134235"/>
                    </a:xfrm>
                    <a:prstGeom prst="rect">
                      <a:avLst/>
                    </a:prstGeom>
                    <a:noFill/>
                    <a:ln>
                      <a:noFill/>
                    </a:ln>
                  </pic:spPr>
                </pic:pic>
              </a:graphicData>
            </a:graphic>
          </wp:inline>
        </w:drawing>
      </w:r>
    </w:p>
    <w:p w14:paraId="13B4AF3B" w14:textId="19280F4D" w:rsidR="009F3946" w:rsidRPr="00E95557" w:rsidRDefault="009F3946" w:rsidP="00E95557">
      <w:pPr>
        <w:pStyle w:val="TCTableBody"/>
        <w:spacing w:line="480" w:lineRule="auto"/>
        <w:rPr>
          <w:rFonts w:asciiTheme="majorBidi" w:hAnsiTheme="majorBidi" w:cstheme="majorBidi"/>
          <w:szCs w:val="24"/>
        </w:rPr>
      </w:pPr>
      <w:r w:rsidRPr="00E95557">
        <w:rPr>
          <w:rFonts w:asciiTheme="majorBidi" w:hAnsiTheme="majorBidi" w:cstheme="majorBidi"/>
          <w:szCs w:val="24"/>
        </w:rPr>
        <w:t>Figure S</w:t>
      </w:r>
      <w:r w:rsidR="00CF24CE" w:rsidRPr="00E95557">
        <w:rPr>
          <w:rFonts w:asciiTheme="majorBidi" w:hAnsiTheme="majorBidi" w:cstheme="majorBidi"/>
          <w:szCs w:val="24"/>
        </w:rPr>
        <w:t>3</w:t>
      </w:r>
      <w:r w:rsidRPr="00E95557">
        <w:rPr>
          <w:rFonts w:asciiTheme="majorBidi" w:hAnsiTheme="majorBidi" w:cstheme="majorBidi"/>
          <w:szCs w:val="24"/>
        </w:rPr>
        <w:t>: Depth of penetration of liquid phase into</w:t>
      </w:r>
      <w:r w:rsidR="00E15B09" w:rsidRPr="00E95557">
        <w:rPr>
          <w:rFonts w:asciiTheme="majorBidi" w:hAnsiTheme="majorBidi" w:cstheme="majorBidi"/>
          <w:szCs w:val="24"/>
        </w:rPr>
        <w:t xml:space="preserve"> a)</w:t>
      </w:r>
      <w:r w:rsidRPr="00E95557">
        <w:rPr>
          <w:rFonts w:asciiTheme="majorBidi" w:hAnsiTheme="majorBidi" w:cstheme="majorBidi"/>
          <w:szCs w:val="24"/>
        </w:rPr>
        <w:t xml:space="preserve"> limestone and </w:t>
      </w:r>
      <w:r w:rsidR="00E15B09" w:rsidRPr="00E95557">
        <w:rPr>
          <w:rFonts w:asciiTheme="majorBidi" w:hAnsiTheme="majorBidi" w:cstheme="majorBidi"/>
          <w:szCs w:val="24"/>
        </w:rPr>
        <w:t xml:space="preserve">b) </w:t>
      </w:r>
      <w:r w:rsidRPr="00E95557">
        <w:rPr>
          <w:rFonts w:asciiTheme="majorBidi" w:hAnsiTheme="majorBidi" w:cstheme="majorBidi"/>
          <w:szCs w:val="24"/>
        </w:rPr>
        <w:t>plaster tiles. The error bars are based on the standard deviation of the data.</w:t>
      </w:r>
    </w:p>
    <w:p w14:paraId="58A276B9" w14:textId="77777777" w:rsidR="009F3946" w:rsidRPr="00E95557" w:rsidRDefault="009F3946" w:rsidP="00B57DCE">
      <w:pPr>
        <w:pStyle w:val="TCTableBody"/>
        <w:spacing w:line="480" w:lineRule="auto"/>
        <w:jc w:val="left"/>
        <w:rPr>
          <w:rFonts w:asciiTheme="majorBidi" w:hAnsiTheme="majorBidi" w:cstheme="majorBidi"/>
          <w:szCs w:val="24"/>
        </w:rPr>
      </w:pPr>
    </w:p>
    <w:p w14:paraId="2F17C157" w14:textId="66B440CD" w:rsidR="009D3128" w:rsidRPr="00E95557" w:rsidRDefault="007A0D06" w:rsidP="00B57DCE">
      <w:pPr>
        <w:pStyle w:val="TCTableBody"/>
        <w:spacing w:line="480" w:lineRule="auto"/>
        <w:jc w:val="center"/>
        <w:rPr>
          <w:rFonts w:asciiTheme="majorBidi" w:hAnsiTheme="majorBidi" w:cstheme="majorBidi"/>
          <w:szCs w:val="24"/>
        </w:rPr>
      </w:pPr>
      <w:r w:rsidRPr="00E95557">
        <w:t xml:space="preserve"> </w:t>
      </w:r>
      <w:r w:rsidR="00BC24B7" w:rsidRPr="00E95557">
        <w:drawing>
          <wp:inline distT="0" distB="0" distL="0" distR="0" wp14:anchorId="1EE0E8FE" wp14:editId="04CBFCFE">
            <wp:extent cx="4803261" cy="32004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03261" cy="3200400"/>
                    </a:xfrm>
                    <a:prstGeom prst="rect">
                      <a:avLst/>
                    </a:prstGeom>
                    <a:noFill/>
                    <a:ln>
                      <a:noFill/>
                    </a:ln>
                  </pic:spPr>
                </pic:pic>
              </a:graphicData>
            </a:graphic>
          </wp:inline>
        </w:drawing>
      </w:r>
    </w:p>
    <w:p w14:paraId="78033BBD" w14:textId="4DB363A9" w:rsidR="009D3128" w:rsidRPr="00E95557" w:rsidRDefault="009D3128" w:rsidP="00E95557">
      <w:pPr>
        <w:pStyle w:val="TCTableBody"/>
        <w:spacing w:line="480" w:lineRule="auto"/>
        <w:rPr>
          <w:rFonts w:asciiTheme="majorBidi" w:hAnsiTheme="majorBidi" w:cstheme="majorBidi"/>
          <w:szCs w:val="24"/>
        </w:rPr>
      </w:pPr>
      <w:r w:rsidRPr="00E95557">
        <w:rPr>
          <w:rFonts w:asciiTheme="majorBidi" w:hAnsiTheme="majorBidi" w:cstheme="majorBidi"/>
          <w:szCs w:val="24"/>
        </w:rPr>
        <w:t>Figure S</w:t>
      </w:r>
      <w:r w:rsidR="0099265A" w:rsidRPr="00E95557">
        <w:rPr>
          <w:rFonts w:asciiTheme="majorBidi" w:hAnsiTheme="majorBidi" w:cstheme="majorBidi"/>
          <w:szCs w:val="24"/>
        </w:rPr>
        <w:t>4</w:t>
      </w:r>
      <w:r w:rsidRPr="00E95557">
        <w:rPr>
          <w:rFonts w:asciiTheme="majorBidi" w:hAnsiTheme="majorBidi" w:cstheme="majorBidi"/>
          <w:szCs w:val="24"/>
        </w:rPr>
        <w:t xml:space="preserve">: Cross sections of tiles treated with 3% PVA-B, 4% PVA-B, and </w:t>
      </w:r>
      <w:r w:rsidRPr="00E95557">
        <w:rPr>
          <w:rFonts w:asciiTheme="majorBidi" w:hAnsiTheme="majorBidi" w:cstheme="majorBidi"/>
          <w:szCs w:val="24"/>
          <w:highlight w:val="yellow"/>
        </w:rPr>
        <w:t>3</w:t>
      </w:r>
      <w:r w:rsidR="009364EE" w:rsidRPr="00E95557">
        <w:rPr>
          <w:rFonts w:asciiTheme="majorBidi" w:hAnsiTheme="majorBidi" w:cstheme="majorBidi"/>
          <w:szCs w:val="24"/>
          <w:highlight w:val="yellow"/>
        </w:rPr>
        <w:t>%</w:t>
      </w:r>
      <w:r w:rsidRPr="00E95557">
        <w:rPr>
          <w:rFonts w:asciiTheme="majorBidi" w:hAnsiTheme="majorBidi" w:cstheme="majorBidi"/>
          <w:szCs w:val="24"/>
          <w:highlight w:val="yellow"/>
        </w:rPr>
        <w:t>/1%</w:t>
      </w:r>
      <w:r w:rsidRPr="00E95557">
        <w:rPr>
          <w:rFonts w:asciiTheme="majorBidi" w:hAnsiTheme="majorBidi" w:cstheme="majorBidi"/>
          <w:szCs w:val="24"/>
        </w:rPr>
        <w:t xml:space="preserve"> PVA-B/AG formulations dyed with rhodamine B dye to track the diffusion of the liquid phase. The diffusion of rhodamine B dye into </w:t>
      </w:r>
      <w:r w:rsidR="007B6C54" w:rsidRPr="00E95557">
        <w:rPr>
          <w:rFonts w:asciiTheme="majorBidi" w:hAnsiTheme="majorBidi" w:cstheme="majorBidi"/>
          <w:szCs w:val="24"/>
        </w:rPr>
        <w:t>a</w:t>
      </w:r>
      <w:r w:rsidRPr="00E95557">
        <w:rPr>
          <w:rFonts w:asciiTheme="majorBidi" w:hAnsiTheme="majorBidi" w:cstheme="majorBidi"/>
          <w:szCs w:val="24"/>
        </w:rPr>
        <w:t xml:space="preserve">) limestone tiles and </w:t>
      </w:r>
      <w:r w:rsidR="007B6C54" w:rsidRPr="00E95557">
        <w:rPr>
          <w:rFonts w:asciiTheme="majorBidi" w:hAnsiTheme="majorBidi" w:cstheme="majorBidi"/>
          <w:szCs w:val="24"/>
        </w:rPr>
        <w:t>b</w:t>
      </w:r>
      <w:r w:rsidRPr="00E95557">
        <w:rPr>
          <w:rFonts w:asciiTheme="majorBidi" w:hAnsiTheme="majorBidi" w:cstheme="majorBidi"/>
          <w:szCs w:val="24"/>
        </w:rPr>
        <w:t>) plaster tiles. Vertical ruler marks spaced 1 mm apart.</w:t>
      </w:r>
    </w:p>
    <w:p w14:paraId="4DC80823" w14:textId="28FA7CB2" w:rsidR="004B27D3" w:rsidRPr="00E95557" w:rsidRDefault="007A0D06" w:rsidP="00B57DCE">
      <w:pPr>
        <w:pStyle w:val="TCTableBody"/>
        <w:spacing w:line="480" w:lineRule="auto"/>
        <w:jc w:val="center"/>
        <w:rPr>
          <w:rFonts w:asciiTheme="majorBidi" w:hAnsiTheme="majorBidi" w:cstheme="majorBidi"/>
          <w:szCs w:val="24"/>
        </w:rPr>
      </w:pPr>
      <w:r w:rsidRPr="00E95557">
        <w:lastRenderedPageBreak/>
        <w:t xml:space="preserve"> </w:t>
      </w:r>
      <w:r w:rsidRPr="00E95557">
        <w:drawing>
          <wp:inline distT="0" distB="0" distL="0" distR="0" wp14:anchorId="57AB4677" wp14:editId="659D14B9">
            <wp:extent cx="4935245" cy="2743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35245" cy="2743200"/>
                    </a:xfrm>
                    <a:prstGeom prst="rect">
                      <a:avLst/>
                    </a:prstGeom>
                    <a:noFill/>
                    <a:ln>
                      <a:noFill/>
                    </a:ln>
                  </pic:spPr>
                </pic:pic>
              </a:graphicData>
            </a:graphic>
          </wp:inline>
        </w:drawing>
      </w:r>
    </w:p>
    <w:p w14:paraId="58B1D161" w14:textId="760324C1" w:rsidR="00081422" w:rsidRPr="00E95557" w:rsidRDefault="00081422">
      <w:pPr>
        <w:pStyle w:val="TCTableBody"/>
        <w:spacing w:line="480" w:lineRule="auto"/>
        <w:rPr>
          <w:rFonts w:asciiTheme="majorBidi" w:hAnsiTheme="majorBidi" w:cstheme="majorBidi"/>
          <w:szCs w:val="24"/>
        </w:rPr>
      </w:pPr>
      <w:r w:rsidRPr="00E95557">
        <w:rPr>
          <w:rFonts w:asciiTheme="majorBidi" w:hAnsiTheme="majorBidi" w:cstheme="majorBidi"/>
          <w:szCs w:val="24"/>
        </w:rPr>
        <w:t>Figure S</w:t>
      </w:r>
      <w:r w:rsidR="0099265A" w:rsidRPr="00E95557">
        <w:rPr>
          <w:rFonts w:asciiTheme="majorBidi" w:hAnsiTheme="majorBidi" w:cstheme="majorBidi"/>
          <w:szCs w:val="24"/>
        </w:rPr>
        <w:t>5</w:t>
      </w:r>
      <w:r w:rsidRPr="00E95557">
        <w:rPr>
          <w:rFonts w:asciiTheme="majorBidi" w:hAnsiTheme="majorBidi" w:cstheme="majorBidi"/>
          <w:szCs w:val="24"/>
        </w:rPr>
        <w:t xml:space="preserve">: </w:t>
      </w:r>
      <w:r w:rsidR="004B27D3" w:rsidRPr="00E95557">
        <w:rPr>
          <w:rFonts w:asciiTheme="majorBidi" w:hAnsiTheme="majorBidi" w:cstheme="majorBidi"/>
          <w:szCs w:val="24"/>
        </w:rPr>
        <w:t xml:space="preserve">Illustrating the elongation of </w:t>
      </w:r>
      <w:r w:rsidR="007B6C54" w:rsidRPr="00E95557">
        <w:rPr>
          <w:rFonts w:asciiTheme="majorBidi" w:hAnsiTheme="majorBidi" w:cstheme="majorBidi"/>
          <w:szCs w:val="24"/>
        </w:rPr>
        <w:t>a</w:t>
      </w:r>
      <w:r w:rsidR="004B27D3" w:rsidRPr="00E95557">
        <w:rPr>
          <w:rFonts w:asciiTheme="majorBidi" w:hAnsiTheme="majorBidi" w:cstheme="majorBidi"/>
          <w:szCs w:val="24"/>
        </w:rPr>
        <w:t xml:space="preserve">) the </w:t>
      </w:r>
      <w:r w:rsidR="004B27D3" w:rsidRPr="00E95557">
        <w:rPr>
          <w:rFonts w:asciiTheme="majorBidi" w:hAnsiTheme="majorBidi" w:cstheme="majorBidi"/>
          <w:szCs w:val="24"/>
          <w:highlight w:val="yellow"/>
        </w:rPr>
        <w:t>3</w:t>
      </w:r>
      <w:r w:rsidR="009364EE" w:rsidRPr="00E95557">
        <w:rPr>
          <w:rFonts w:asciiTheme="majorBidi" w:hAnsiTheme="majorBidi" w:cstheme="majorBidi"/>
          <w:szCs w:val="24"/>
          <w:highlight w:val="yellow"/>
        </w:rPr>
        <w:t>%</w:t>
      </w:r>
      <w:r w:rsidR="004B27D3" w:rsidRPr="00E95557">
        <w:rPr>
          <w:rFonts w:asciiTheme="majorBidi" w:hAnsiTheme="majorBidi" w:cstheme="majorBidi"/>
          <w:szCs w:val="24"/>
          <w:highlight w:val="yellow"/>
        </w:rPr>
        <w:t>/1%</w:t>
      </w:r>
      <w:r w:rsidR="004B27D3" w:rsidRPr="00E95557">
        <w:rPr>
          <w:rFonts w:asciiTheme="majorBidi" w:hAnsiTheme="majorBidi" w:cstheme="majorBidi"/>
          <w:szCs w:val="24"/>
        </w:rPr>
        <w:t xml:space="preserve"> PVA-B/AG DN hydrogel to the maximum gauge of the tensile testing machine. </w:t>
      </w:r>
      <w:r w:rsidR="007B6C54" w:rsidRPr="00E95557">
        <w:rPr>
          <w:rFonts w:asciiTheme="majorBidi" w:hAnsiTheme="majorBidi" w:cstheme="majorBidi"/>
          <w:szCs w:val="24"/>
        </w:rPr>
        <w:t>b</w:t>
      </w:r>
      <w:r w:rsidR="004B27D3" w:rsidRPr="00E95557">
        <w:rPr>
          <w:rFonts w:asciiTheme="majorBidi" w:hAnsiTheme="majorBidi" w:cstheme="majorBidi"/>
          <w:szCs w:val="24"/>
        </w:rPr>
        <w:t>) In the same conditions, the 4% PVA-B hydrogel broke.</w:t>
      </w:r>
    </w:p>
    <w:p w14:paraId="2E385B36" w14:textId="77777777" w:rsidR="00081422" w:rsidRPr="00E95557" w:rsidRDefault="00081422" w:rsidP="00B57DCE">
      <w:pPr>
        <w:pStyle w:val="TCTableBody"/>
        <w:spacing w:line="480" w:lineRule="auto"/>
        <w:jc w:val="left"/>
        <w:rPr>
          <w:rFonts w:asciiTheme="majorBidi" w:hAnsiTheme="majorBidi" w:cstheme="majorBidi"/>
          <w:szCs w:val="24"/>
        </w:rPr>
      </w:pPr>
    </w:p>
    <w:p w14:paraId="6C21836C" w14:textId="0F9B67C1" w:rsidR="00AD3F0F" w:rsidRPr="00E95557" w:rsidRDefault="00933022" w:rsidP="00B57DCE">
      <w:pPr>
        <w:pStyle w:val="TCTableBody"/>
        <w:spacing w:line="480" w:lineRule="auto"/>
        <w:jc w:val="center"/>
        <w:rPr>
          <w:rFonts w:asciiTheme="majorBidi" w:hAnsiTheme="majorBidi" w:cstheme="majorBidi"/>
          <w:szCs w:val="24"/>
        </w:rPr>
      </w:pPr>
      <w:r w:rsidRPr="00E95557">
        <w:t xml:space="preserve"> </w:t>
      </w:r>
      <w:r w:rsidRPr="00E95557">
        <w:drawing>
          <wp:inline distT="0" distB="0" distL="0" distR="0" wp14:anchorId="3C7949B5" wp14:editId="34E6437D">
            <wp:extent cx="5061538" cy="3017520"/>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61538" cy="3017520"/>
                    </a:xfrm>
                    <a:prstGeom prst="rect">
                      <a:avLst/>
                    </a:prstGeom>
                    <a:noFill/>
                    <a:ln>
                      <a:noFill/>
                    </a:ln>
                  </pic:spPr>
                </pic:pic>
              </a:graphicData>
            </a:graphic>
          </wp:inline>
        </w:drawing>
      </w:r>
    </w:p>
    <w:p w14:paraId="6390DE6F" w14:textId="1520FCCC" w:rsidR="007A0F83" w:rsidRPr="00E95557" w:rsidRDefault="00312E8B"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Figure S</w:t>
      </w:r>
      <w:r w:rsidR="0099265A" w:rsidRPr="00E95557">
        <w:rPr>
          <w:rFonts w:asciiTheme="majorBidi" w:hAnsiTheme="majorBidi" w:cstheme="majorBidi"/>
          <w:szCs w:val="24"/>
        </w:rPr>
        <w:t>6</w:t>
      </w:r>
      <w:r w:rsidR="007A00B5" w:rsidRPr="00E95557">
        <w:rPr>
          <w:rFonts w:asciiTheme="majorBidi" w:hAnsiTheme="majorBidi" w:cstheme="majorBidi"/>
          <w:szCs w:val="24"/>
        </w:rPr>
        <w:t xml:space="preserve">: </w:t>
      </w:r>
      <w:r w:rsidR="00DB40F4" w:rsidRPr="00E95557">
        <w:rPr>
          <w:rFonts w:asciiTheme="majorBidi" w:hAnsiTheme="majorBidi" w:cstheme="majorBidi"/>
          <w:szCs w:val="24"/>
        </w:rPr>
        <w:t>Frequency sweep</w:t>
      </w:r>
      <w:r w:rsidR="000B652E" w:rsidRPr="00E95557">
        <w:rPr>
          <w:rFonts w:asciiTheme="majorBidi" w:hAnsiTheme="majorBidi" w:cstheme="majorBidi"/>
          <w:szCs w:val="24"/>
        </w:rPr>
        <w:t xml:space="preserve"> curves of the investigated hydrogel formulations with only water (no cleaning agents</w:t>
      </w:r>
      <w:r w:rsidR="00171E78" w:rsidRPr="00E95557">
        <w:rPr>
          <w:rFonts w:asciiTheme="majorBidi" w:hAnsiTheme="majorBidi" w:cstheme="majorBidi"/>
          <w:szCs w:val="24"/>
        </w:rPr>
        <w:t>)</w:t>
      </w:r>
      <w:r w:rsidR="00DB40F4" w:rsidRPr="00E95557">
        <w:rPr>
          <w:rFonts w:asciiTheme="majorBidi" w:hAnsiTheme="majorBidi" w:cstheme="majorBidi"/>
          <w:szCs w:val="24"/>
        </w:rPr>
        <w:t>.</w:t>
      </w:r>
    </w:p>
    <w:p w14:paraId="1720B7E9" w14:textId="2D8ED782" w:rsidR="008E39D8" w:rsidRPr="00E95557" w:rsidRDefault="00933022" w:rsidP="00B57DCE">
      <w:pPr>
        <w:pStyle w:val="TCTableBody"/>
        <w:spacing w:line="480" w:lineRule="auto"/>
        <w:jc w:val="center"/>
        <w:rPr>
          <w:rFonts w:asciiTheme="majorBidi" w:hAnsiTheme="majorBidi" w:cstheme="majorBidi"/>
          <w:szCs w:val="24"/>
        </w:rPr>
      </w:pPr>
      <w:r w:rsidRPr="00E95557">
        <w:lastRenderedPageBreak/>
        <w:t xml:space="preserve"> </w:t>
      </w:r>
      <w:r w:rsidRPr="00E95557">
        <w:drawing>
          <wp:inline distT="0" distB="0" distL="0" distR="0" wp14:anchorId="705C8B06" wp14:editId="7C407B8D">
            <wp:extent cx="5058718" cy="3017520"/>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58718" cy="3017520"/>
                    </a:xfrm>
                    <a:prstGeom prst="rect">
                      <a:avLst/>
                    </a:prstGeom>
                    <a:noFill/>
                    <a:ln>
                      <a:noFill/>
                    </a:ln>
                  </pic:spPr>
                </pic:pic>
              </a:graphicData>
            </a:graphic>
          </wp:inline>
        </w:drawing>
      </w:r>
    </w:p>
    <w:p w14:paraId="30E1A4EA" w14:textId="40071043" w:rsidR="008851DA" w:rsidRDefault="001357DE" w:rsidP="00E95557">
      <w:pPr>
        <w:pStyle w:val="TCTableBody"/>
        <w:spacing w:line="480" w:lineRule="auto"/>
        <w:rPr>
          <w:rFonts w:asciiTheme="majorBidi" w:hAnsiTheme="majorBidi" w:cstheme="majorBidi"/>
          <w:szCs w:val="24"/>
        </w:rPr>
      </w:pPr>
      <w:r w:rsidRPr="00E95557">
        <w:rPr>
          <w:rFonts w:asciiTheme="majorBidi" w:hAnsiTheme="majorBidi" w:cstheme="majorBidi"/>
          <w:szCs w:val="24"/>
        </w:rPr>
        <w:t>Figure S</w:t>
      </w:r>
      <w:r w:rsidR="0099265A" w:rsidRPr="00E95557">
        <w:rPr>
          <w:rFonts w:asciiTheme="majorBidi" w:hAnsiTheme="majorBidi" w:cstheme="majorBidi"/>
          <w:szCs w:val="24"/>
        </w:rPr>
        <w:t>7</w:t>
      </w:r>
      <w:r w:rsidRPr="00E95557">
        <w:rPr>
          <w:rFonts w:asciiTheme="majorBidi" w:hAnsiTheme="majorBidi" w:cstheme="majorBidi"/>
          <w:szCs w:val="24"/>
        </w:rPr>
        <w:t xml:space="preserve">: </w:t>
      </w:r>
      <w:r w:rsidR="008851DA" w:rsidRPr="00E95557">
        <w:rPr>
          <w:rFonts w:asciiTheme="majorBidi" w:hAnsiTheme="majorBidi" w:cstheme="majorBidi"/>
          <w:szCs w:val="24"/>
        </w:rPr>
        <w:t xml:space="preserve">Frequency sweep curves of </w:t>
      </w:r>
      <w:r w:rsidR="00F26CD2" w:rsidRPr="00E95557">
        <w:rPr>
          <w:rFonts w:asciiTheme="majorBidi" w:hAnsiTheme="majorBidi" w:cstheme="majorBidi"/>
          <w:szCs w:val="24"/>
        </w:rPr>
        <w:t xml:space="preserve">the </w:t>
      </w:r>
      <w:r w:rsidR="00F26CD2" w:rsidRPr="00E95557">
        <w:rPr>
          <w:rFonts w:asciiTheme="majorBidi" w:hAnsiTheme="majorBidi" w:cstheme="majorBidi"/>
          <w:szCs w:val="24"/>
          <w:highlight w:val="yellow"/>
        </w:rPr>
        <w:t>3</w:t>
      </w:r>
      <w:r w:rsidR="009364EE" w:rsidRPr="00E95557">
        <w:rPr>
          <w:rFonts w:asciiTheme="majorBidi" w:hAnsiTheme="majorBidi" w:cstheme="majorBidi"/>
          <w:szCs w:val="24"/>
          <w:highlight w:val="yellow"/>
        </w:rPr>
        <w:t>%</w:t>
      </w:r>
      <w:r w:rsidR="00F26CD2" w:rsidRPr="00E95557">
        <w:rPr>
          <w:rFonts w:asciiTheme="majorBidi" w:hAnsiTheme="majorBidi" w:cstheme="majorBidi"/>
          <w:szCs w:val="24"/>
          <w:highlight w:val="yellow"/>
        </w:rPr>
        <w:t>/1%</w:t>
      </w:r>
      <w:r w:rsidR="00F26CD2" w:rsidRPr="00E95557">
        <w:rPr>
          <w:rFonts w:asciiTheme="majorBidi" w:hAnsiTheme="majorBidi" w:cstheme="majorBidi"/>
          <w:szCs w:val="24"/>
        </w:rPr>
        <w:t xml:space="preserve"> PVA-B/AG</w:t>
      </w:r>
      <w:r w:rsidR="00C76677" w:rsidRPr="00E95557">
        <w:rPr>
          <w:rFonts w:asciiTheme="majorBidi" w:hAnsiTheme="majorBidi" w:cstheme="majorBidi"/>
          <w:szCs w:val="24"/>
        </w:rPr>
        <w:t xml:space="preserve"> </w:t>
      </w:r>
      <w:r w:rsidR="003F41F5" w:rsidRPr="00E95557">
        <w:rPr>
          <w:rFonts w:asciiTheme="majorBidi" w:hAnsiTheme="majorBidi" w:cstheme="majorBidi"/>
          <w:szCs w:val="24"/>
        </w:rPr>
        <w:t xml:space="preserve">hydrogel formulation </w:t>
      </w:r>
      <w:r w:rsidR="00C76677" w:rsidRPr="00E95557">
        <w:rPr>
          <w:rFonts w:asciiTheme="majorBidi" w:hAnsiTheme="majorBidi" w:cstheme="majorBidi"/>
          <w:szCs w:val="24"/>
        </w:rPr>
        <w:t>loaded with the investigated cleaning agents</w:t>
      </w:r>
      <w:r w:rsidR="008851DA" w:rsidRPr="00E95557">
        <w:rPr>
          <w:rFonts w:asciiTheme="majorBidi" w:hAnsiTheme="majorBidi" w:cstheme="majorBidi"/>
          <w:szCs w:val="24"/>
        </w:rPr>
        <w:t>.</w:t>
      </w:r>
    </w:p>
    <w:p w14:paraId="6A07AF4E" w14:textId="43DD42CA" w:rsidR="000C4892" w:rsidRDefault="000C4892" w:rsidP="00E95557">
      <w:pPr>
        <w:pStyle w:val="TCTableBody"/>
        <w:spacing w:line="480" w:lineRule="auto"/>
        <w:rPr>
          <w:rFonts w:asciiTheme="majorBidi" w:hAnsiTheme="majorBidi" w:cstheme="majorBidi"/>
          <w:szCs w:val="24"/>
        </w:rPr>
      </w:pPr>
    </w:p>
    <w:p w14:paraId="1A58181A" w14:textId="77777777" w:rsidR="000C4892" w:rsidRPr="00E95557" w:rsidRDefault="000C4892" w:rsidP="00E95557">
      <w:pPr>
        <w:pStyle w:val="TCTableBody"/>
        <w:spacing w:line="480" w:lineRule="auto"/>
        <w:rPr>
          <w:rFonts w:asciiTheme="majorBidi" w:hAnsiTheme="majorBidi" w:cstheme="majorBidi"/>
          <w:szCs w:val="24"/>
        </w:rPr>
      </w:pPr>
    </w:p>
    <w:p w14:paraId="74C2E342" w14:textId="551F87FA" w:rsidR="00B77F41" w:rsidRPr="00E95557" w:rsidRDefault="004E2C50" w:rsidP="00B57DCE">
      <w:pPr>
        <w:pStyle w:val="TCTableBody"/>
        <w:spacing w:line="480" w:lineRule="auto"/>
        <w:jc w:val="center"/>
        <w:rPr>
          <w:rFonts w:asciiTheme="majorBidi" w:hAnsiTheme="majorBidi" w:cstheme="majorBidi"/>
          <w:szCs w:val="24"/>
        </w:rPr>
      </w:pPr>
      <w:r w:rsidRPr="00E95557">
        <w:rPr>
          <w:rFonts w:asciiTheme="majorBidi" w:hAnsiTheme="majorBidi" w:cstheme="majorBidi"/>
          <w:szCs w:val="24"/>
        </w:rPr>
        <w:drawing>
          <wp:inline distT="0" distB="0" distL="0" distR="0" wp14:anchorId="6AD53650" wp14:editId="20EEF78B">
            <wp:extent cx="5731510" cy="1714500"/>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1714500"/>
                    </a:xfrm>
                    <a:prstGeom prst="rect">
                      <a:avLst/>
                    </a:prstGeom>
                    <a:noFill/>
                    <a:ln>
                      <a:noFill/>
                    </a:ln>
                  </pic:spPr>
                </pic:pic>
              </a:graphicData>
            </a:graphic>
          </wp:inline>
        </w:drawing>
      </w:r>
      <w:r w:rsidRPr="00E95557" w:rsidDel="00933022">
        <w:rPr>
          <w:rFonts w:asciiTheme="majorBidi" w:hAnsiTheme="majorBidi" w:cstheme="majorBidi"/>
          <w:szCs w:val="24"/>
        </w:rPr>
        <w:t xml:space="preserve"> </w:t>
      </w:r>
    </w:p>
    <w:p w14:paraId="73955867" w14:textId="6D9420AF" w:rsidR="00B77F41" w:rsidRPr="00E95557" w:rsidRDefault="00B77F41" w:rsidP="00E95557">
      <w:pPr>
        <w:pStyle w:val="TCTableBody"/>
        <w:spacing w:line="480" w:lineRule="auto"/>
        <w:rPr>
          <w:rFonts w:asciiTheme="majorBidi" w:hAnsiTheme="majorBidi" w:cstheme="majorBidi"/>
          <w:szCs w:val="24"/>
        </w:rPr>
      </w:pPr>
      <w:r w:rsidRPr="00E95557">
        <w:rPr>
          <w:rFonts w:asciiTheme="majorBidi" w:hAnsiTheme="majorBidi" w:cstheme="majorBidi"/>
          <w:szCs w:val="24"/>
        </w:rPr>
        <w:t>Figure S</w:t>
      </w:r>
      <w:r w:rsidR="0099265A" w:rsidRPr="00E95557">
        <w:rPr>
          <w:rFonts w:asciiTheme="majorBidi" w:hAnsiTheme="majorBidi" w:cstheme="majorBidi"/>
          <w:szCs w:val="24"/>
        </w:rPr>
        <w:t>8</w:t>
      </w:r>
      <w:r w:rsidRPr="00E95557">
        <w:rPr>
          <w:rFonts w:asciiTheme="majorBidi" w:hAnsiTheme="majorBidi" w:cstheme="majorBidi"/>
          <w:szCs w:val="24"/>
        </w:rPr>
        <w:t xml:space="preserve">: </w:t>
      </w:r>
      <w:r w:rsidR="007B6C54" w:rsidRPr="00E95557">
        <w:rPr>
          <w:rFonts w:asciiTheme="majorBidi" w:hAnsiTheme="majorBidi" w:cstheme="majorBidi"/>
          <w:szCs w:val="24"/>
        </w:rPr>
        <w:t>a</w:t>
      </w:r>
      <w:r w:rsidRPr="00E95557">
        <w:rPr>
          <w:rFonts w:asciiTheme="majorBidi" w:hAnsiTheme="majorBidi" w:cstheme="majorBidi"/>
          <w:szCs w:val="24"/>
        </w:rPr>
        <w:t>) Intrinsic storage modulus (G’</w:t>
      </w:r>
      <w:r w:rsidRPr="00E95557">
        <w:rPr>
          <w:rFonts w:asciiTheme="majorBidi" w:hAnsiTheme="majorBidi" w:cstheme="majorBidi"/>
          <w:szCs w:val="24"/>
          <w:vertAlign w:val="subscript"/>
        </w:rPr>
        <w:t>0</w:t>
      </w:r>
      <w:r w:rsidRPr="00E95557">
        <w:rPr>
          <w:rFonts w:asciiTheme="majorBidi" w:hAnsiTheme="majorBidi" w:cstheme="majorBidi"/>
          <w:szCs w:val="24"/>
        </w:rPr>
        <w:t xml:space="preserve">, in Pa) and </w:t>
      </w:r>
      <w:r w:rsidR="007B6C54" w:rsidRPr="00E95557">
        <w:rPr>
          <w:rFonts w:asciiTheme="majorBidi" w:hAnsiTheme="majorBidi" w:cstheme="majorBidi"/>
          <w:szCs w:val="24"/>
        </w:rPr>
        <w:t>b</w:t>
      </w:r>
      <w:r w:rsidRPr="00E95557">
        <w:rPr>
          <w:rFonts w:asciiTheme="majorBidi" w:hAnsiTheme="majorBidi" w:cstheme="majorBidi"/>
          <w:szCs w:val="24"/>
        </w:rPr>
        <w:t>) apparent relaxation time (τ</w:t>
      </w:r>
      <w:r w:rsidRPr="00E95557">
        <w:rPr>
          <w:rFonts w:asciiTheme="majorBidi" w:hAnsiTheme="majorBidi" w:cstheme="majorBidi"/>
          <w:szCs w:val="24"/>
          <w:vertAlign w:val="subscript"/>
        </w:rPr>
        <w:t>c</w:t>
      </w:r>
      <w:r w:rsidR="00E46419" w:rsidRPr="00E95557">
        <w:rPr>
          <w:rFonts w:asciiTheme="majorBidi" w:hAnsiTheme="majorBidi" w:cstheme="majorBidi"/>
          <w:szCs w:val="24"/>
        </w:rPr>
        <w:t xml:space="preserve">, </w:t>
      </w:r>
      <w:r w:rsidRPr="00E95557">
        <w:rPr>
          <w:rFonts w:asciiTheme="majorBidi" w:hAnsiTheme="majorBidi" w:cstheme="majorBidi"/>
          <w:szCs w:val="24"/>
        </w:rPr>
        <w:t xml:space="preserve">in s) of the investigated hydrogel formulations (no cleaning agents were </w:t>
      </w:r>
      <w:r w:rsidR="0015404A" w:rsidRPr="00E95557">
        <w:rPr>
          <w:rFonts w:asciiTheme="majorBidi" w:hAnsiTheme="majorBidi" w:cstheme="majorBidi"/>
          <w:szCs w:val="24"/>
        </w:rPr>
        <w:t>loaded</w:t>
      </w:r>
      <w:r w:rsidRPr="00E95557">
        <w:rPr>
          <w:rFonts w:asciiTheme="majorBidi" w:hAnsiTheme="majorBidi" w:cstheme="majorBidi"/>
          <w:szCs w:val="24"/>
        </w:rPr>
        <w:t>). The error bars represent the standard deviation.</w:t>
      </w:r>
    </w:p>
    <w:p w14:paraId="6AC9ECF3" w14:textId="04D23499" w:rsidR="00B41069" w:rsidRPr="00E95557" w:rsidRDefault="00B41069" w:rsidP="00B57DCE">
      <w:pPr>
        <w:pStyle w:val="TCTableBody"/>
        <w:spacing w:line="480" w:lineRule="auto"/>
        <w:jc w:val="left"/>
        <w:rPr>
          <w:rFonts w:asciiTheme="majorBidi" w:hAnsiTheme="majorBidi" w:cstheme="majorBidi"/>
          <w:szCs w:val="24"/>
        </w:rPr>
      </w:pPr>
    </w:p>
    <w:p w14:paraId="5C627699" w14:textId="16B92ECD" w:rsidR="00A74479" w:rsidRPr="00E95557" w:rsidRDefault="008C1C6D" w:rsidP="00B57DCE">
      <w:pPr>
        <w:pStyle w:val="TCTableBody"/>
        <w:spacing w:line="480" w:lineRule="auto"/>
        <w:jc w:val="center"/>
        <w:rPr>
          <w:rFonts w:asciiTheme="majorBidi" w:hAnsiTheme="majorBidi" w:cstheme="majorBidi"/>
          <w:szCs w:val="24"/>
        </w:rPr>
      </w:pPr>
      <w:r w:rsidRPr="00E95557">
        <w:lastRenderedPageBreak/>
        <w:drawing>
          <wp:inline distT="0" distB="0" distL="0" distR="0" wp14:anchorId="5707A90D" wp14:editId="22325A1C">
            <wp:extent cx="5731510" cy="1674495"/>
            <wp:effectExtent l="0" t="0" r="254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1674495"/>
                    </a:xfrm>
                    <a:prstGeom prst="rect">
                      <a:avLst/>
                    </a:prstGeom>
                    <a:noFill/>
                    <a:ln>
                      <a:noFill/>
                    </a:ln>
                  </pic:spPr>
                </pic:pic>
              </a:graphicData>
            </a:graphic>
          </wp:inline>
        </w:drawing>
      </w:r>
      <w:r w:rsidRPr="00E95557" w:rsidDel="003E44B7">
        <w:t xml:space="preserve"> </w:t>
      </w:r>
      <w:r w:rsidR="003E44B7" w:rsidRPr="00E95557">
        <w:t xml:space="preserve"> </w:t>
      </w:r>
    </w:p>
    <w:p w14:paraId="763C1A4F" w14:textId="40A15352" w:rsidR="00F73229" w:rsidRDefault="00A74479" w:rsidP="001A716D">
      <w:pPr>
        <w:pStyle w:val="TCTableBody"/>
        <w:spacing w:line="480" w:lineRule="auto"/>
        <w:ind w:left="720" w:hanging="720"/>
        <w:jc w:val="left"/>
        <w:rPr>
          <w:rFonts w:asciiTheme="majorBidi" w:hAnsiTheme="majorBidi" w:cstheme="majorBidi"/>
          <w:szCs w:val="24"/>
        </w:rPr>
      </w:pPr>
      <w:r w:rsidRPr="00E95557">
        <w:rPr>
          <w:rFonts w:asciiTheme="majorBidi" w:hAnsiTheme="majorBidi" w:cstheme="majorBidi"/>
          <w:szCs w:val="24"/>
        </w:rPr>
        <w:t>Figure S</w:t>
      </w:r>
      <w:r w:rsidR="0099265A" w:rsidRPr="00E95557">
        <w:rPr>
          <w:rFonts w:asciiTheme="majorBidi" w:hAnsiTheme="majorBidi" w:cstheme="majorBidi"/>
          <w:szCs w:val="24"/>
        </w:rPr>
        <w:t>9</w:t>
      </w:r>
      <w:r w:rsidRPr="00E95557">
        <w:rPr>
          <w:rFonts w:asciiTheme="majorBidi" w:hAnsiTheme="majorBidi" w:cstheme="majorBidi"/>
          <w:szCs w:val="24"/>
        </w:rPr>
        <w:t xml:space="preserve">: </w:t>
      </w:r>
      <w:r w:rsidR="007B6C54" w:rsidRPr="00E95557">
        <w:rPr>
          <w:rFonts w:asciiTheme="majorBidi" w:hAnsiTheme="majorBidi" w:cstheme="majorBidi"/>
          <w:szCs w:val="24"/>
        </w:rPr>
        <w:t xml:space="preserve">a) </w:t>
      </w:r>
      <w:r w:rsidRPr="00E95557">
        <w:rPr>
          <w:rFonts w:asciiTheme="majorBidi" w:hAnsiTheme="majorBidi" w:cstheme="majorBidi"/>
          <w:szCs w:val="24"/>
        </w:rPr>
        <w:t>Intrinsic storage modulus (G’</w:t>
      </w:r>
      <w:r w:rsidRPr="00E95557">
        <w:rPr>
          <w:rFonts w:asciiTheme="majorBidi" w:hAnsiTheme="majorBidi" w:cstheme="majorBidi"/>
          <w:szCs w:val="24"/>
          <w:vertAlign w:val="subscript"/>
        </w:rPr>
        <w:t>0</w:t>
      </w:r>
      <w:r w:rsidRPr="00E95557">
        <w:rPr>
          <w:rFonts w:asciiTheme="majorBidi" w:hAnsiTheme="majorBidi" w:cstheme="majorBidi"/>
          <w:szCs w:val="24"/>
        </w:rPr>
        <w:t xml:space="preserve">, in Pa) and </w:t>
      </w:r>
      <w:r w:rsidR="007B6C54" w:rsidRPr="00E95557">
        <w:rPr>
          <w:rFonts w:asciiTheme="majorBidi" w:hAnsiTheme="majorBidi" w:cstheme="majorBidi"/>
          <w:szCs w:val="24"/>
        </w:rPr>
        <w:t>b</w:t>
      </w:r>
      <w:r w:rsidRPr="00E95557">
        <w:rPr>
          <w:rFonts w:asciiTheme="majorBidi" w:hAnsiTheme="majorBidi" w:cstheme="majorBidi"/>
          <w:szCs w:val="24"/>
        </w:rPr>
        <w:t>) apparent relaxation time (τ</w:t>
      </w:r>
      <w:r w:rsidRPr="00E95557">
        <w:rPr>
          <w:rFonts w:asciiTheme="majorBidi" w:hAnsiTheme="majorBidi" w:cstheme="majorBidi"/>
          <w:szCs w:val="24"/>
          <w:vertAlign w:val="subscript"/>
        </w:rPr>
        <w:t>c</w:t>
      </w:r>
      <w:r w:rsidRPr="00E95557">
        <w:rPr>
          <w:rFonts w:asciiTheme="majorBidi" w:hAnsiTheme="majorBidi" w:cstheme="majorBidi"/>
          <w:szCs w:val="24"/>
        </w:rPr>
        <w:t>, in s) of the investigated hydrogel formulations loaded with various cleaning agents. The error bars represent the standard deviation.</w:t>
      </w:r>
    </w:p>
    <w:p w14:paraId="08063B46" w14:textId="721C8EAB" w:rsidR="000C4892" w:rsidRDefault="000C4892" w:rsidP="00225DD0">
      <w:pPr>
        <w:pStyle w:val="TCTableBody"/>
        <w:spacing w:line="480" w:lineRule="auto"/>
        <w:jc w:val="left"/>
        <w:rPr>
          <w:rFonts w:asciiTheme="majorBidi" w:hAnsiTheme="majorBidi" w:cstheme="majorBidi"/>
          <w:szCs w:val="24"/>
        </w:rPr>
      </w:pPr>
    </w:p>
    <w:p w14:paraId="4C9A36B3" w14:textId="77777777" w:rsidR="000C4892" w:rsidRPr="00E95557" w:rsidRDefault="000C4892" w:rsidP="00225DD0">
      <w:pPr>
        <w:pStyle w:val="TCTableBody"/>
        <w:spacing w:line="480" w:lineRule="auto"/>
        <w:jc w:val="left"/>
        <w:rPr>
          <w:rFonts w:asciiTheme="majorBidi" w:hAnsiTheme="majorBidi" w:cstheme="majorBidi"/>
          <w:szCs w:val="24"/>
        </w:rPr>
      </w:pPr>
    </w:p>
    <w:p w14:paraId="69F93359" w14:textId="67CF89C7" w:rsidR="00F73229" w:rsidRPr="00E95557" w:rsidRDefault="004A25B2" w:rsidP="00B57DCE">
      <w:pPr>
        <w:pStyle w:val="TCTableBody"/>
        <w:spacing w:line="480" w:lineRule="auto"/>
        <w:jc w:val="center"/>
        <w:rPr>
          <w:rFonts w:asciiTheme="majorBidi" w:hAnsiTheme="majorBidi" w:cstheme="majorBidi"/>
          <w:szCs w:val="24"/>
        </w:rPr>
      </w:pPr>
      <w:r w:rsidRPr="00E95557">
        <w:t xml:space="preserve"> </w:t>
      </w:r>
      <w:r w:rsidRPr="00E95557">
        <w:drawing>
          <wp:inline distT="0" distB="0" distL="0" distR="0" wp14:anchorId="5A22E565" wp14:editId="32E3E505">
            <wp:extent cx="4430801" cy="3017520"/>
            <wp:effectExtent l="0" t="0" r="825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30801" cy="3017520"/>
                    </a:xfrm>
                    <a:prstGeom prst="rect">
                      <a:avLst/>
                    </a:prstGeom>
                    <a:noFill/>
                    <a:ln>
                      <a:noFill/>
                    </a:ln>
                  </pic:spPr>
                </pic:pic>
              </a:graphicData>
            </a:graphic>
          </wp:inline>
        </w:drawing>
      </w:r>
    </w:p>
    <w:p w14:paraId="3C72C237" w14:textId="53313F2D" w:rsidR="00F73229" w:rsidRPr="00E95557" w:rsidRDefault="00F73229" w:rsidP="00E95557">
      <w:pPr>
        <w:pStyle w:val="TCTableBody"/>
        <w:spacing w:line="480" w:lineRule="auto"/>
        <w:ind w:left="720" w:hanging="720"/>
        <w:rPr>
          <w:rFonts w:asciiTheme="majorBidi" w:hAnsiTheme="majorBidi" w:cstheme="majorBidi"/>
          <w:szCs w:val="24"/>
        </w:rPr>
      </w:pPr>
      <w:r w:rsidRPr="00E95557">
        <w:rPr>
          <w:rFonts w:asciiTheme="majorBidi" w:hAnsiTheme="majorBidi" w:cstheme="majorBidi"/>
          <w:szCs w:val="24"/>
        </w:rPr>
        <w:t>Figure S</w:t>
      </w:r>
      <w:r w:rsidR="00F6247E" w:rsidRPr="00E95557">
        <w:rPr>
          <w:rFonts w:asciiTheme="majorBidi" w:hAnsiTheme="majorBidi" w:cstheme="majorBidi"/>
          <w:szCs w:val="24"/>
        </w:rPr>
        <w:t>1</w:t>
      </w:r>
      <w:r w:rsidR="0099265A" w:rsidRPr="00E95557">
        <w:rPr>
          <w:rFonts w:asciiTheme="majorBidi" w:hAnsiTheme="majorBidi" w:cstheme="majorBidi"/>
          <w:szCs w:val="24"/>
        </w:rPr>
        <w:t>0</w:t>
      </w:r>
      <w:r w:rsidRPr="00E95557">
        <w:rPr>
          <w:rFonts w:asciiTheme="majorBidi" w:hAnsiTheme="majorBidi" w:cstheme="majorBidi"/>
          <w:szCs w:val="24"/>
        </w:rPr>
        <w:t>: Vertical flow test of</w:t>
      </w:r>
      <w:r w:rsidR="00755286">
        <w:rPr>
          <w:rFonts w:asciiTheme="majorBidi" w:hAnsiTheme="majorBidi" w:cstheme="majorBidi"/>
          <w:szCs w:val="24"/>
        </w:rPr>
        <w:t xml:space="preserve"> </w:t>
      </w:r>
      <w:r w:rsidR="00755286" w:rsidRPr="00191B55">
        <w:rPr>
          <w:rFonts w:asciiTheme="majorBidi" w:hAnsiTheme="majorBidi" w:cstheme="majorBidi"/>
          <w:szCs w:val="24"/>
        </w:rPr>
        <w:t>3% PVA-B (left)</w:t>
      </w:r>
      <w:r w:rsidR="00755286">
        <w:rPr>
          <w:rFonts w:asciiTheme="majorBidi" w:hAnsiTheme="majorBidi" w:cstheme="majorBidi"/>
          <w:szCs w:val="24"/>
        </w:rPr>
        <w:t xml:space="preserve">, </w:t>
      </w:r>
      <w:r w:rsidR="00755286" w:rsidRPr="00191B55">
        <w:rPr>
          <w:rFonts w:asciiTheme="majorBidi" w:hAnsiTheme="majorBidi" w:cstheme="majorBidi"/>
          <w:szCs w:val="24"/>
          <w:highlight w:val="yellow"/>
        </w:rPr>
        <w:t>3%/1%</w:t>
      </w:r>
      <w:r w:rsidR="00755286" w:rsidRPr="00191B55">
        <w:rPr>
          <w:rFonts w:asciiTheme="majorBidi" w:hAnsiTheme="majorBidi" w:cstheme="majorBidi"/>
          <w:szCs w:val="24"/>
        </w:rPr>
        <w:t xml:space="preserve"> PVA-B/AG (middle)</w:t>
      </w:r>
      <w:r w:rsidR="00755286">
        <w:rPr>
          <w:rFonts w:asciiTheme="majorBidi" w:hAnsiTheme="majorBidi" w:cstheme="majorBidi"/>
          <w:szCs w:val="24"/>
        </w:rPr>
        <w:t xml:space="preserve">, and </w:t>
      </w:r>
      <w:r w:rsidRPr="00E95557">
        <w:rPr>
          <w:rFonts w:asciiTheme="majorBidi" w:hAnsiTheme="majorBidi" w:cstheme="majorBidi"/>
          <w:szCs w:val="24"/>
        </w:rPr>
        <w:t>4% PVA-B (</w:t>
      </w:r>
      <w:r w:rsidR="004C4DA5" w:rsidRPr="00E95557">
        <w:rPr>
          <w:rFonts w:asciiTheme="majorBidi" w:hAnsiTheme="majorBidi" w:cstheme="majorBidi"/>
          <w:szCs w:val="24"/>
        </w:rPr>
        <w:t>right</w:t>
      </w:r>
      <w:r w:rsidRPr="00E95557">
        <w:rPr>
          <w:rFonts w:asciiTheme="majorBidi" w:hAnsiTheme="majorBidi" w:cstheme="majorBidi"/>
          <w:szCs w:val="24"/>
        </w:rPr>
        <w:t xml:space="preserve">) </w:t>
      </w:r>
      <w:r w:rsidR="002F4A63" w:rsidRPr="00E95557">
        <w:rPr>
          <w:rFonts w:asciiTheme="majorBidi" w:hAnsiTheme="majorBidi" w:cstheme="majorBidi"/>
          <w:szCs w:val="24"/>
        </w:rPr>
        <w:t xml:space="preserve">hydrogels </w:t>
      </w:r>
      <w:r w:rsidRPr="00E95557">
        <w:rPr>
          <w:rFonts w:asciiTheme="majorBidi" w:hAnsiTheme="majorBidi" w:cstheme="majorBidi"/>
          <w:szCs w:val="24"/>
        </w:rPr>
        <w:t>at different time intervals</w:t>
      </w:r>
      <w:r w:rsidR="002F4A63" w:rsidRPr="00E95557">
        <w:rPr>
          <w:rFonts w:asciiTheme="majorBidi" w:hAnsiTheme="majorBidi" w:cstheme="majorBidi"/>
          <w:szCs w:val="24"/>
        </w:rPr>
        <w:t xml:space="preserve"> (with and without solvents</w:t>
      </w:r>
      <w:r w:rsidR="00D5623E" w:rsidRPr="00E95557">
        <w:rPr>
          <w:rFonts w:asciiTheme="majorBidi" w:hAnsiTheme="majorBidi" w:cstheme="majorBidi"/>
          <w:szCs w:val="24"/>
        </w:rPr>
        <w:t>)</w:t>
      </w:r>
      <w:r w:rsidRPr="00E95557">
        <w:rPr>
          <w:rFonts w:asciiTheme="majorBidi" w:hAnsiTheme="majorBidi" w:cstheme="majorBidi"/>
          <w:szCs w:val="24"/>
        </w:rPr>
        <w:t>. The hydrogels were dyed with methylene blue for better visibility.</w:t>
      </w:r>
    </w:p>
    <w:p w14:paraId="5768189E" w14:textId="1B514B0A" w:rsidR="00381401" w:rsidRPr="00E95557" w:rsidRDefault="00381401" w:rsidP="00B57DCE">
      <w:pPr>
        <w:pStyle w:val="TCTableBody"/>
        <w:spacing w:line="480" w:lineRule="auto"/>
        <w:jc w:val="left"/>
        <w:rPr>
          <w:rFonts w:asciiTheme="majorBidi" w:hAnsiTheme="majorBidi" w:cstheme="majorBidi"/>
          <w:szCs w:val="24"/>
        </w:rPr>
      </w:pPr>
    </w:p>
    <w:p w14:paraId="18B86DC4" w14:textId="77777777" w:rsidR="00B07973" w:rsidRPr="00E95557" w:rsidRDefault="00B07973" w:rsidP="00B57DCE">
      <w:pPr>
        <w:pStyle w:val="TCTableBody"/>
        <w:spacing w:line="480" w:lineRule="auto"/>
        <w:jc w:val="left"/>
        <w:rPr>
          <w:rFonts w:asciiTheme="majorBidi" w:hAnsiTheme="majorBidi" w:cstheme="majorBidi"/>
          <w:szCs w:val="24"/>
        </w:rPr>
      </w:pPr>
    </w:p>
    <w:p w14:paraId="21A8C301" w14:textId="175134DE" w:rsidR="00646CA3" w:rsidRPr="00E95557" w:rsidRDefault="004A25B2" w:rsidP="00921223">
      <w:pPr>
        <w:pStyle w:val="TCTableBody"/>
        <w:spacing w:line="480" w:lineRule="auto"/>
        <w:jc w:val="center"/>
        <w:rPr>
          <w:rFonts w:asciiTheme="majorBidi" w:hAnsiTheme="majorBidi" w:cstheme="majorBidi"/>
          <w:szCs w:val="24"/>
        </w:rPr>
      </w:pPr>
      <w:r w:rsidRPr="00E95557">
        <w:t xml:space="preserve"> </w:t>
      </w:r>
      <w:r w:rsidRPr="00E95557">
        <w:drawing>
          <wp:inline distT="0" distB="0" distL="0" distR="0" wp14:anchorId="5214E10C" wp14:editId="204FBAFF">
            <wp:extent cx="5731510" cy="2362835"/>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2362835"/>
                    </a:xfrm>
                    <a:prstGeom prst="rect">
                      <a:avLst/>
                    </a:prstGeom>
                    <a:noFill/>
                    <a:ln>
                      <a:noFill/>
                    </a:ln>
                  </pic:spPr>
                </pic:pic>
              </a:graphicData>
            </a:graphic>
          </wp:inline>
        </w:drawing>
      </w:r>
    </w:p>
    <w:p w14:paraId="33444045" w14:textId="4AE2B942" w:rsidR="00A74479" w:rsidRPr="00E95557" w:rsidRDefault="00646CA3" w:rsidP="00B57DCE">
      <w:pPr>
        <w:pStyle w:val="TCTableBody"/>
        <w:spacing w:line="480" w:lineRule="auto"/>
        <w:jc w:val="left"/>
        <w:rPr>
          <w:rFonts w:asciiTheme="majorBidi" w:hAnsiTheme="majorBidi" w:cstheme="majorBidi"/>
          <w:szCs w:val="24"/>
        </w:rPr>
      </w:pPr>
      <w:r w:rsidRPr="00E95557">
        <w:rPr>
          <w:rFonts w:asciiTheme="majorBidi" w:hAnsiTheme="majorBidi" w:cstheme="majorBidi"/>
          <w:szCs w:val="24"/>
        </w:rPr>
        <w:t>Figure S</w:t>
      </w:r>
      <w:r w:rsidR="00AF507B" w:rsidRPr="00E95557">
        <w:rPr>
          <w:rFonts w:asciiTheme="majorBidi" w:hAnsiTheme="majorBidi" w:cstheme="majorBidi"/>
          <w:szCs w:val="24"/>
        </w:rPr>
        <w:t>1</w:t>
      </w:r>
      <w:r w:rsidR="0099265A" w:rsidRPr="00E95557">
        <w:rPr>
          <w:rFonts w:asciiTheme="majorBidi" w:hAnsiTheme="majorBidi" w:cstheme="majorBidi"/>
          <w:szCs w:val="24"/>
        </w:rPr>
        <w:t>1</w:t>
      </w:r>
      <w:r w:rsidRPr="00E95557">
        <w:rPr>
          <w:rFonts w:asciiTheme="majorBidi" w:hAnsiTheme="majorBidi" w:cstheme="majorBidi"/>
          <w:szCs w:val="24"/>
        </w:rPr>
        <w:t xml:space="preserve">: Self-healing </w:t>
      </w:r>
      <w:r w:rsidR="00B322F4" w:rsidRPr="00E95557">
        <w:rPr>
          <w:rFonts w:asciiTheme="majorBidi" w:hAnsiTheme="majorBidi" w:cstheme="majorBidi"/>
          <w:szCs w:val="24"/>
        </w:rPr>
        <w:t>behavior</w:t>
      </w:r>
      <w:r w:rsidRPr="00E95557">
        <w:rPr>
          <w:rFonts w:asciiTheme="majorBidi" w:hAnsiTheme="majorBidi" w:cstheme="majorBidi"/>
          <w:szCs w:val="24"/>
        </w:rPr>
        <w:t xml:space="preserve"> of </w:t>
      </w:r>
      <w:r w:rsidR="004A25B2" w:rsidRPr="00E95557">
        <w:rPr>
          <w:rFonts w:asciiTheme="majorBidi" w:hAnsiTheme="majorBidi" w:cstheme="majorBidi"/>
          <w:szCs w:val="24"/>
        </w:rPr>
        <w:t xml:space="preserve">3% </w:t>
      </w:r>
      <w:r w:rsidRPr="00E95557">
        <w:rPr>
          <w:rFonts w:asciiTheme="majorBidi" w:hAnsiTheme="majorBidi" w:cstheme="majorBidi"/>
          <w:szCs w:val="24"/>
        </w:rPr>
        <w:t>PVA-</w:t>
      </w:r>
      <w:proofErr w:type="gramStart"/>
      <w:r w:rsidRPr="00E95557">
        <w:rPr>
          <w:rFonts w:asciiTheme="majorBidi" w:hAnsiTheme="majorBidi" w:cstheme="majorBidi"/>
          <w:szCs w:val="24"/>
        </w:rPr>
        <w:t>B  and</w:t>
      </w:r>
      <w:proofErr w:type="gramEnd"/>
      <w:r w:rsidRPr="00E95557">
        <w:rPr>
          <w:rFonts w:asciiTheme="majorBidi" w:hAnsiTheme="majorBidi" w:cstheme="majorBidi"/>
          <w:szCs w:val="24"/>
        </w:rPr>
        <w:t xml:space="preserve"> </w:t>
      </w:r>
      <w:r w:rsidR="004A25B2" w:rsidRPr="00E95557">
        <w:rPr>
          <w:rFonts w:asciiTheme="majorBidi" w:hAnsiTheme="majorBidi" w:cstheme="majorBidi"/>
          <w:szCs w:val="24"/>
          <w:highlight w:val="yellow"/>
        </w:rPr>
        <w:t>3%/1%</w:t>
      </w:r>
      <w:r w:rsidR="004A25B2" w:rsidRPr="00E95557">
        <w:rPr>
          <w:rFonts w:asciiTheme="majorBidi" w:hAnsiTheme="majorBidi" w:cstheme="majorBidi"/>
          <w:szCs w:val="24"/>
        </w:rPr>
        <w:t xml:space="preserve"> </w:t>
      </w:r>
      <w:r w:rsidRPr="00E95557">
        <w:rPr>
          <w:rFonts w:asciiTheme="majorBidi" w:hAnsiTheme="majorBidi" w:cstheme="majorBidi"/>
          <w:szCs w:val="24"/>
        </w:rPr>
        <w:t>PVA-B/AG hydrogels under microscope. The hydrogels were dyed with methylene blue for better visibility.</w:t>
      </w:r>
    </w:p>
    <w:p w14:paraId="43C65E5F" w14:textId="77777777" w:rsidR="004522DE" w:rsidRPr="00E95557" w:rsidRDefault="004522DE" w:rsidP="00B57DCE">
      <w:pPr>
        <w:pStyle w:val="TCTableBody"/>
        <w:spacing w:line="480" w:lineRule="auto"/>
        <w:jc w:val="left"/>
        <w:rPr>
          <w:rFonts w:asciiTheme="majorBidi" w:hAnsiTheme="majorBidi" w:cstheme="majorBidi"/>
          <w:szCs w:val="24"/>
        </w:rPr>
      </w:pPr>
    </w:p>
    <w:p w14:paraId="478E8105" w14:textId="77777777" w:rsidR="004522DE" w:rsidRPr="00E95557" w:rsidRDefault="004522DE" w:rsidP="00B57DCE">
      <w:pPr>
        <w:pStyle w:val="TCTableBody"/>
        <w:spacing w:line="480" w:lineRule="auto"/>
        <w:jc w:val="left"/>
        <w:rPr>
          <w:rFonts w:asciiTheme="majorBidi" w:hAnsiTheme="majorBidi" w:cstheme="majorBidi"/>
          <w:szCs w:val="24"/>
        </w:rPr>
      </w:pPr>
    </w:p>
    <w:p w14:paraId="2D199C6F" w14:textId="77777777" w:rsidR="00D03864" w:rsidRPr="00E95557" w:rsidRDefault="004522DE" w:rsidP="00D03864">
      <w:pPr>
        <w:pStyle w:val="EndNoteBibliographyTitle"/>
        <w:rPr>
          <w:noProof w:val="0"/>
        </w:rPr>
      </w:pPr>
      <w:r w:rsidRPr="00E95557">
        <w:rPr>
          <w:noProof w:val="0"/>
        </w:rPr>
        <w:fldChar w:fldCharType="begin"/>
      </w:r>
      <w:r w:rsidRPr="00E95557">
        <w:rPr>
          <w:noProof w:val="0"/>
        </w:rPr>
        <w:instrText xml:space="preserve"> ADDIN EN.REFLIST </w:instrText>
      </w:r>
      <w:r w:rsidRPr="00E95557">
        <w:rPr>
          <w:noProof w:val="0"/>
        </w:rPr>
        <w:fldChar w:fldCharType="separate"/>
      </w:r>
      <w:r w:rsidR="00D03864" w:rsidRPr="00E95557">
        <w:rPr>
          <w:noProof w:val="0"/>
        </w:rPr>
        <w:t>References</w:t>
      </w:r>
    </w:p>
    <w:p w14:paraId="0895BAA9" w14:textId="77777777" w:rsidR="00D03864" w:rsidRPr="00E95557" w:rsidRDefault="00D03864" w:rsidP="00D03864">
      <w:pPr>
        <w:pStyle w:val="EndNoteBibliographyTitle"/>
        <w:rPr>
          <w:noProof w:val="0"/>
        </w:rPr>
      </w:pPr>
    </w:p>
    <w:p w14:paraId="1507FA67" w14:textId="77777777" w:rsidR="00D03864" w:rsidRPr="00E95557" w:rsidRDefault="00D03864" w:rsidP="00D03864">
      <w:pPr>
        <w:pStyle w:val="EndNoteBibliography"/>
        <w:rPr>
          <w:noProof w:val="0"/>
        </w:rPr>
      </w:pPr>
      <w:bookmarkStart w:id="5" w:name="_ENREF_1"/>
      <w:r w:rsidRPr="00E95557">
        <w:rPr>
          <w:noProof w:val="0"/>
        </w:rPr>
        <w:t>1.</w:t>
      </w:r>
      <w:r w:rsidRPr="00E95557">
        <w:rPr>
          <w:noProof w:val="0"/>
        </w:rPr>
        <w:tab/>
      </w:r>
      <w:proofErr w:type="spellStart"/>
      <w:r w:rsidRPr="00E95557">
        <w:rPr>
          <w:noProof w:val="0"/>
        </w:rPr>
        <w:t>Angelova</w:t>
      </w:r>
      <w:proofErr w:type="spellEnd"/>
      <w:r w:rsidRPr="00E95557">
        <w:rPr>
          <w:noProof w:val="0"/>
        </w:rPr>
        <w:t xml:space="preserve"> LV, </w:t>
      </w:r>
      <w:proofErr w:type="spellStart"/>
      <w:r w:rsidRPr="00E95557">
        <w:rPr>
          <w:noProof w:val="0"/>
        </w:rPr>
        <w:t>Terech</w:t>
      </w:r>
      <w:proofErr w:type="spellEnd"/>
      <w:r w:rsidRPr="00E95557">
        <w:rPr>
          <w:noProof w:val="0"/>
        </w:rPr>
        <w:t xml:space="preserve"> P, Natali I, Dei L, </w:t>
      </w:r>
      <w:proofErr w:type="spellStart"/>
      <w:r w:rsidRPr="00E95557">
        <w:rPr>
          <w:noProof w:val="0"/>
        </w:rPr>
        <w:t>Carretti</w:t>
      </w:r>
      <w:proofErr w:type="spellEnd"/>
      <w:r w:rsidRPr="00E95557">
        <w:rPr>
          <w:noProof w:val="0"/>
        </w:rPr>
        <w:t xml:space="preserve"> E, Weiss RG. Cosolvent gel-like materials from partially hydrolyzed </w:t>
      </w:r>
      <w:proofErr w:type="gramStart"/>
      <w:r w:rsidRPr="00E95557">
        <w:rPr>
          <w:noProof w:val="0"/>
        </w:rPr>
        <w:t>poly(</w:t>
      </w:r>
      <w:proofErr w:type="gramEnd"/>
      <w:r w:rsidRPr="00E95557">
        <w:rPr>
          <w:noProof w:val="0"/>
        </w:rPr>
        <w:t>vinyl acetate)s and borax. Langmuir. 2011;27(18):11671-82.</w:t>
      </w:r>
      <w:bookmarkEnd w:id="5"/>
    </w:p>
    <w:p w14:paraId="1E049555" w14:textId="19B3AE9B" w:rsidR="008851DA" w:rsidRPr="00E95557" w:rsidRDefault="004522DE" w:rsidP="00D03864">
      <w:pPr>
        <w:pStyle w:val="TCTableBody"/>
        <w:rPr>
          <w:rFonts w:asciiTheme="majorBidi" w:hAnsiTheme="majorBidi" w:cstheme="majorBidi"/>
          <w:szCs w:val="24"/>
        </w:rPr>
      </w:pPr>
      <w:r w:rsidRPr="00E95557">
        <w:rPr>
          <w:rFonts w:asciiTheme="majorBidi" w:hAnsiTheme="majorBidi" w:cstheme="majorBidi"/>
          <w:szCs w:val="24"/>
        </w:rPr>
        <w:fldChar w:fldCharType="end"/>
      </w:r>
      <w:r w:rsidR="00F44C54" w:rsidRPr="00E95557">
        <w:rPr>
          <w:rFonts w:asciiTheme="majorBidi" w:hAnsiTheme="majorBidi" w:cstheme="majorBidi"/>
          <w:szCs w:val="24"/>
        </w:rPr>
        <w:fldChar w:fldCharType="begin"/>
      </w:r>
      <w:r w:rsidR="00F44C54" w:rsidRPr="00E95557">
        <w:rPr>
          <w:rFonts w:asciiTheme="majorBidi" w:hAnsiTheme="majorBidi" w:cstheme="majorBidi"/>
          <w:szCs w:val="24"/>
        </w:rPr>
        <w:instrText xml:space="preserve"> ADDIN </w:instrText>
      </w:r>
      <w:r w:rsidR="00F44C54" w:rsidRPr="00E95557">
        <w:rPr>
          <w:rFonts w:asciiTheme="majorBidi" w:hAnsiTheme="majorBidi" w:cstheme="majorBidi"/>
          <w:szCs w:val="24"/>
        </w:rPr>
        <w:fldChar w:fldCharType="end"/>
      </w:r>
    </w:p>
    <w:sectPr w:rsidR="008851DA" w:rsidRPr="00E95557">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69B0A8" w14:textId="77777777" w:rsidR="00B338D5" w:rsidRDefault="00B338D5" w:rsidP="004E14B3">
      <w:pPr>
        <w:spacing w:after="0" w:line="240" w:lineRule="auto"/>
      </w:pPr>
      <w:r>
        <w:separator/>
      </w:r>
    </w:p>
  </w:endnote>
  <w:endnote w:type="continuationSeparator" w:id="0">
    <w:p w14:paraId="2DB9D29C" w14:textId="77777777" w:rsidR="00B338D5" w:rsidRDefault="00B338D5" w:rsidP="004E1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altName w:val="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52381427"/>
      <w:docPartObj>
        <w:docPartGallery w:val="Page Numbers (Bottom of Page)"/>
        <w:docPartUnique/>
      </w:docPartObj>
    </w:sdtPr>
    <w:sdtEndPr>
      <w:rPr>
        <w:noProof/>
      </w:rPr>
    </w:sdtEndPr>
    <w:sdtContent>
      <w:p w14:paraId="434B462E" w14:textId="0A0B2214" w:rsidR="004E14B3" w:rsidRDefault="004E14B3">
        <w:pPr>
          <w:pStyle w:val="Footer"/>
          <w:jc w:val="right"/>
        </w:pPr>
        <w:r>
          <w:t>S</w:t>
        </w:r>
        <w:r>
          <w:fldChar w:fldCharType="begin"/>
        </w:r>
        <w:r>
          <w:instrText xml:space="preserve"> PAGE   \* MERGEFORMAT </w:instrText>
        </w:r>
        <w:r>
          <w:fldChar w:fldCharType="separate"/>
        </w:r>
        <w:r>
          <w:rPr>
            <w:noProof/>
          </w:rPr>
          <w:t>2</w:t>
        </w:r>
        <w:r>
          <w:rPr>
            <w:noProof/>
          </w:rPr>
          <w:fldChar w:fldCharType="end"/>
        </w:r>
      </w:p>
    </w:sdtContent>
  </w:sdt>
  <w:p w14:paraId="1C6E411D" w14:textId="77777777" w:rsidR="004E14B3" w:rsidRDefault="004E14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75B93C" w14:textId="77777777" w:rsidR="00B338D5" w:rsidRDefault="00B338D5" w:rsidP="004E14B3">
      <w:pPr>
        <w:spacing w:after="0" w:line="240" w:lineRule="auto"/>
      </w:pPr>
      <w:r>
        <w:separator/>
      </w:r>
    </w:p>
  </w:footnote>
  <w:footnote w:type="continuationSeparator" w:id="0">
    <w:p w14:paraId="751FB5AC" w14:textId="77777777" w:rsidR="00B338D5" w:rsidRDefault="00B338D5" w:rsidP="004E14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lt;/FontName&gt;&lt;FontSize&gt;12&lt;/FontSize&gt;&lt;ReflistTitle&gt;References&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f9zwadfz6tzxrfee0vm5fxxmteedxrzxpaxe&quot;&gt;PVA-AG&lt;record-ids&gt;&lt;item&gt;5&lt;/item&gt;&lt;/record-ids&gt;&lt;/item&gt;&lt;/Libraries&gt;"/>
  </w:docVars>
  <w:rsids>
    <w:rsidRoot w:val="00BB29E9"/>
    <w:rsid w:val="00007980"/>
    <w:rsid w:val="00016B58"/>
    <w:rsid w:val="00071F86"/>
    <w:rsid w:val="00081422"/>
    <w:rsid w:val="000934BF"/>
    <w:rsid w:val="000B652E"/>
    <w:rsid w:val="000C4892"/>
    <w:rsid w:val="000E09C1"/>
    <w:rsid w:val="000F2CDA"/>
    <w:rsid w:val="00114C8C"/>
    <w:rsid w:val="00123398"/>
    <w:rsid w:val="001253FF"/>
    <w:rsid w:val="001357DE"/>
    <w:rsid w:val="0015404A"/>
    <w:rsid w:val="001604AB"/>
    <w:rsid w:val="00171E78"/>
    <w:rsid w:val="001A716D"/>
    <w:rsid w:val="001A7756"/>
    <w:rsid w:val="00204F84"/>
    <w:rsid w:val="00225DD0"/>
    <w:rsid w:val="00234F5B"/>
    <w:rsid w:val="00243D5B"/>
    <w:rsid w:val="00244F4A"/>
    <w:rsid w:val="002458E5"/>
    <w:rsid w:val="00254809"/>
    <w:rsid w:val="00254B19"/>
    <w:rsid w:val="00255FA6"/>
    <w:rsid w:val="00286BFF"/>
    <w:rsid w:val="002A29DD"/>
    <w:rsid w:val="002A7370"/>
    <w:rsid w:val="002C7BD0"/>
    <w:rsid w:val="002F4A63"/>
    <w:rsid w:val="002F7A37"/>
    <w:rsid w:val="00312E8B"/>
    <w:rsid w:val="00320D4B"/>
    <w:rsid w:val="003512D1"/>
    <w:rsid w:val="003562E0"/>
    <w:rsid w:val="00381401"/>
    <w:rsid w:val="00386EFC"/>
    <w:rsid w:val="003B112F"/>
    <w:rsid w:val="003B1BEB"/>
    <w:rsid w:val="003B4B8C"/>
    <w:rsid w:val="003D7F10"/>
    <w:rsid w:val="003E44B7"/>
    <w:rsid w:val="003F21DD"/>
    <w:rsid w:val="003F41F5"/>
    <w:rsid w:val="00416696"/>
    <w:rsid w:val="004227E1"/>
    <w:rsid w:val="004421A5"/>
    <w:rsid w:val="00442605"/>
    <w:rsid w:val="004459D2"/>
    <w:rsid w:val="004522DE"/>
    <w:rsid w:val="00457B35"/>
    <w:rsid w:val="00475360"/>
    <w:rsid w:val="004769D5"/>
    <w:rsid w:val="004802AD"/>
    <w:rsid w:val="00492131"/>
    <w:rsid w:val="00495105"/>
    <w:rsid w:val="004A25B2"/>
    <w:rsid w:val="004A5EB0"/>
    <w:rsid w:val="004A6073"/>
    <w:rsid w:val="004B27D3"/>
    <w:rsid w:val="004C4DA5"/>
    <w:rsid w:val="004E14B3"/>
    <w:rsid w:val="004E2C50"/>
    <w:rsid w:val="004E3DA0"/>
    <w:rsid w:val="004E6BE6"/>
    <w:rsid w:val="004F2DE1"/>
    <w:rsid w:val="004F373F"/>
    <w:rsid w:val="00513398"/>
    <w:rsid w:val="00542D81"/>
    <w:rsid w:val="00543F3A"/>
    <w:rsid w:val="00546B1A"/>
    <w:rsid w:val="00581015"/>
    <w:rsid w:val="00584B8A"/>
    <w:rsid w:val="005A07B7"/>
    <w:rsid w:val="005B2F07"/>
    <w:rsid w:val="005B55C2"/>
    <w:rsid w:val="005C155A"/>
    <w:rsid w:val="005D0572"/>
    <w:rsid w:val="005D50CF"/>
    <w:rsid w:val="005F11D6"/>
    <w:rsid w:val="00604A1C"/>
    <w:rsid w:val="00614692"/>
    <w:rsid w:val="006358E9"/>
    <w:rsid w:val="0063654A"/>
    <w:rsid w:val="00641F1E"/>
    <w:rsid w:val="0064371E"/>
    <w:rsid w:val="00646CA3"/>
    <w:rsid w:val="0065363D"/>
    <w:rsid w:val="0066550E"/>
    <w:rsid w:val="00672F5E"/>
    <w:rsid w:val="006853D2"/>
    <w:rsid w:val="00686031"/>
    <w:rsid w:val="00686DAE"/>
    <w:rsid w:val="00691A64"/>
    <w:rsid w:val="006A4C52"/>
    <w:rsid w:val="006D16B4"/>
    <w:rsid w:val="006D685B"/>
    <w:rsid w:val="006E6BDA"/>
    <w:rsid w:val="007028F5"/>
    <w:rsid w:val="00713099"/>
    <w:rsid w:val="00722F25"/>
    <w:rsid w:val="00755286"/>
    <w:rsid w:val="00755D83"/>
    <w:rsid w:val="00761526"/>
    <w:rsid w:val="007670C1"/>
    <w:rsid w:val="007820DA"/>
    <w:rsid w:val="00786A9E"/>
    <w:rsid w:val="00793126"/>
    <w:rsid w:val="007A00B5"/>
    <w:rsid w:val="007A0D06"/>
    <w:rsid w:val="007A0F83"/>
    <w:rsid w:val="007B23B1"/>
    <w:rsid w:val="007B6C54"/>
    <w:rsid w:val="007E157E"/>
    <w:rsid w:val="007F14F5"/>
    <w:rsid w:val="0081700E"/>
    <w:rsid w:val="00827066"/>
    <w:rsid w:val="00836797"/>
    <w:rsid w:val="0084463C"/>
    <w:rsid w:val="00867383"/>
    <w:rsid w:val="00875DD5"/>
    <w:rsid w:val="00881474"/>
    <w:rsid w:val="008851DA"/>
    <w:rsid w:val="00890C83"/>
    <w:rsid w:val="008927FF"/>
    <w:rsid w:val="008A241F"/>
    <w:rsid w:val="008B35E0"/>
    <w:rsid w:val="008B7D6F"/>
    <w:rsid w:val="008C1C6D"/>
    <w:rsid w:val="008E39D8"/>
    <w:rsid w:val="008F2D23"/>
    <w:rsid w:val="008F5D85"/>
    <w:rsid w:val="00913B52"/>
    <w:rsid w:val="00921223"/>
    <w:rsid w:val="009247F9"/>
    <w:rsid w:val="00925DF0"/>
    <w:rsid w:val="009318A1"/>
    <w:rsid w:val="00933022"/>
    <w:rsid w:val="00935B82"/>
    <w:rsid w:val="009364EE"/>
    <w:rsid w:val="009404BB"/>
    <w:rsid w:val="00950BD8"/>
    <w:rsid w:val="0099265A"/>
    <w:rsid w:val="00994ABB"/>
    <w:rsid w:val="009C2EEC"/>
    <w:rsid w:val="009D3128"/>
    <w:rsid w:val="009D51A7"/>
    <w:rsid w:val="009E030F"/>
    <w:rsid w:val="009E73E1"/>
    <w:rsid w:val="009F123A"/>
    <w:rsid w:val="009F3946"/>
    <w:rsid w:val="009F6F05"/>
    <w:rsid w:val="00A1271C"/>
    <w:rsid w:val="00A24A57"/>
    <w:rsid w:val="00A34610"/>
    <w:rsid w:val="00A35A06"/>
    <w:rsid w:val="00A42D5A"/>
    <w:rsid w:val="00A47FFD"/>
    <w:rsid w:val="00A52CD2"/>
    <w:rsid w:val="00A56B86"/>
    <w:rsid w:val="00A63328"/>
    <w:rsid w:val="00A74479"/>
    <w:rsid w:val="00AA1D53"/>
    <w:rsid w:val="00AA5A8E"/>
    <w:rsid w:val="00AB6B20"/>
    <w:rsid w:val="00AD3F0F"/>
    <w:rsid w:val="00AD5F2F"/>
    <w:rsid w:val="00AD746E"/>
    <w:rsid w:val="00AF507B"/>
    <w:rsid w:val="00B07973"/>
    <w:rsid w:val="00B322F4"/>
    <w:rsid w:val="00B338D5"/>
    <w:rsid w:val="00B36F71"/>
    <w:rsid w:val="00B41069"/>
    <w:rsid w:val="00B44BCA"/>
    <w:rsid w:val="00B57DCE"/>
    <w:rsid w:val="00B77F41"/>
    <w:rsid w:val="00B939AF"/>
    <w:rsid w:val="00B96FF2"/>
    <w:rsid w:val="00BB2087"/>
    <w:rsid w:val="00BB29E9"/>
    <w:rsid w:val="00BC1C83"/>
    <w:rsid w:val="00BC24B7"/>
    <w:rsid w:val="00BD1528"/>
    <w:rsid w:val="00BD24B4"/>
    <w:rsid w:val="00BD3B7A"/>
    <w:rsid w:val="00BD661A"/>
    <w:rsid w:val="00BE556F"/>
    <w:rsid w:val="00BF205E"/>
    <w:rsid w:val="00BF71F7"/>
    <w:rsid w:val="00C07695"/>
    <w:rsid w:val="00C10FFF"/>
    <w:rsid w:val="00C24075"/>
    <w:rsid w:val="00C350BB"/>
    <w:rsid w:val="00C403ED"/>
    <w:rsid w:val="00C41788"/>
    <w:rsid w:val="00C43698"/>
    <w:rsid w:val="00C57938"/>
    <w:rsid w:val="00C76677"/>
    <w:rsid w:val="00C92671"/>
    <w:rsid w:val="00C96DB9"/>
    <w:rsid w:val="00CC1524"/>
    <w:rsid w:val="00CF24CE"/>
    <w:rsid w:val="00CF446B"/>
    <w:rsid w:val="00D03307"/>
    <w:rsid w:val="00D03864"/>
    <w:rsid w:val="00D0620A"/>
    <w:rsid w:val="00D21A49"/>
    <w:rsid w:val="00D37CE0"/>
    <w:rsid w:val="00D37D8F"/>
    <w:rsid w:val="00D505D6"/>
    <w:rsid w:val="00D5623E"/>
    <w:rsid w:val="00D82893"/>
    <w:rsid w:val="00D847BF"/>
    <w:rsid w:val="00D84D41"/>
    <w:rsid w:val="00DA6A25"/>
    <w:rsid w:val="00DB40F4"/>
    <w:rsid w:val="00DB5D20"/>
    <w:rsid w:val="00DD0D78"/>
    <w:rsid w:val="00DF5432"/>
    <w:rsid w:val="00DF7A57"/>
    <w:rsid w:val="00E00654"/>
    <w:rsid w:val="00E046CF"/>
    <w:rsid w:val="00E112C5"/>
    <w:rsid w:val="00E15B09"/>
    <w:rsid w:val="00E23DBF"/>
    <w:rsid w:val="00E46385"/>
    <w:rsid w:val="00E46419"/>
    <w:rsid w:val="00E60EF5"/>
    <w:rsid w:val="00E729DF"/>
    <w:rsid w:val="00E9204C"/>
    <w:rsid w:val="00E95557"/>
    <w:rsid w:val="00EA13BC"/>
    <w:rsid w:val="00EA6D3A"/>
    <w:rsid w:val="00EB17A1"/>
    <w:rsid w:val="00EC0547"/>
    <w:rsid w:val="00F022B3"/>
    <w:rsid w:val="00F051BC"/>
    <w:rsid w:val="00F1427F"/>
    <w:rsid w:val="00F26CD2"/>
    <w:rsid w:val="00F344FF"/>
    <w:rsid w:val="00F4053B"/>
    <w:rsid w:val="00F44C54"/>
    <w:rsid w:val="00F6247E"/>
    <w:rsid w:val="00F73229"/>
    <w:rsid w:val="00F7628F"/>
    <w:rsid w:val="00FA553C"/>
    <w:rsid w:val="00FC1664"/>
    <w:rsid w:val="00FC46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50988"/>
  <w14:discardImageEditingData/>
  <w14:defaultImageDpi w14:val="32767"/>
  <w15:chartTrackingRefBased/>
  <w15:docId w15:val="{622A2A7E-45A6-4BCB-B0B4-C925FBE6F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D0D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0D78"/>
    <w:rPr>
      <w:rFonts w:ascii="Segoe UI" w:hAnsi="Segoe UI" w:cs="Segoe UI"/>
      <w:sz w:val="18"/>
      <w:szCs w:val="18"/>
    </w:rPr>
  </w:style>
  <w:style w:type="paragraph" w:styleId="Caption">
    <w:name w:val="caption"/>
    <w:basedOn w:val="Normal"/>
    <w:next w:val="Normal"/>
    <w:uiPriority w:val="35"/>
    <w:unhideWhenUsed/>
    <w:qFormat/>
    <w:rsid w:val="00312E8B"/>
    <w:pPr>
      <w:spacing w:after="200" w:line="240" w:lineRule="auto"/>
    </w:pPr>
    <w:rPr>
      <w:i/>
      <w:iCs/>
      <w:color w:val="44546A" w:themeColor="text2"/>
      <w:sz w:val="18"/>
      <w:szCs w:val="18"/>
    </w:rPr>
  </w:style>
  <w:style w:type="table" w:styleId="TableGrid">
    <w:name w:val="Table Grid"/>
    <w:basedOn w:val="TableNormal"/>
    <w:uiPriority w:val="39"/>
    <w:rsid w:val="00EC05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E14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14B3"/>
  </w:style>
  <w:style w:type="paragraph" w:styleId="Footer">
    <w:name w:val="footer"/>
    <w:basedOn w:val="Normal"/>
    <w:link w:val="FooterChar"/>
    <w:uiPriority w:val="99"/>
    <w:unhideWhenUsed/>
    <w:rsid w:val="004E14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14B3"/>
  </w:style>
  <w:style w:type="paragraph" w:customStyle="1" w:styleId="BATitle">
    <w:name w:val="BA_Title"/>
    <w:basedOn w:val="Normal"/>
    <w:next w:val="Normal"/>
    <w:rsid w:val="00950BD8"/>
    <w:pPr>
      <w:spacing w:before="720" w:after="360" w:line="480" w:lineRule="auto"/>
      <w:jc w:val="center"/>
    </w:pPr>
    <w:rPr>
      <w:rFonts w:ascii="Times New Roman" w:eastAsia="Times New Roman" w:hAnsi="Times New Roman" w:cs="Times New Roman"/>
      <w:sz w:val="44"/>
      <w:szCs w:val="20"/>
    </w:rPr>
  </w:style>
  <w:style w:type="paragraph" w:customStyle="1" w:styleId="BBAuthorName">
    <w:name w:val="BB_Author_Name"/>
    <w:basedOn w:val="Normal"/>
    <w:next w:val="Normal"/>
    <w:rsid w:val="00950BD8"/>
    <w:pPr>
      <w:spacing w:after="240" w:line="480" w:lineRule="auto"/>
      <w:jc w:val="center"/>
    </w:pPr>
    <w:rPr>
      <w:rFonts w:ascii="Times" w:eastAsia="Times New Roman" w:hAnsi="Times" w:cs="Times New Roman"/>
      <w:i/>
      <w:sz w:val="24"/>
      <w:szCs w:val="20"/>
    </w:rPr>
  </w:style>
  <w:style w:type="paragraph" w:customStyle="1" w:styleId="BDAbstract">
    <w:name w:val="BD_Abstract"/>
    <w:basedOn w:val="Normal"/>
    <w:next w:val="Normal"/>
    <w:link w:val="BDAbstractChar"/>
    <w:rsid w:val="00950BD8"/>
    <w:pPr>
      <w:spacing w:before="360" w:after="360" w:line="480" w:lineRule="auto"/>
      <w:jc w:val="both"/>
    </w:pPr>
    <w:rPr>
      <w:rFonts w:ascii="Times" w:eastAsia="Times New Roman" w:hAnsi="Times" w:cs="Times New Roman"/>
      <w:sz w:val="24"/>
      <w:szCs w:val="20"/>
    </w:rPr>
  </w:style>
  <w:style w:type="paragraph" w:customStyle="1" w:styleId="TCTableBody">
    <w:name w:val="TC_Table_Body"/>
    <w:basedOn w:val="Normal"/>
    <w:rsid w:val="00C403ED"/>
    <w:pPr>
      <w:spacing w:after="200" w:line="240" w:lineRule="auto"/>
      <w:jc w:val="both"/>
    </w:pPr>
    <w:rPr>
      <w:rFonts w:ascii="Times" w:eastAsia="Times New Roman" w:hAnsi="Times" w:cs="Times New Roman"/>
      <w:sz w:val="24"/>
      <w:szCs w:val="20"/>
    </w:rPr>
  </w:style>
  <w:style w:type="paragraph" w:customStyle="1" w:styleId="citation">
    <w:name w:val="citation"/>
    <w:basedOn w:val="Normal"/>
    <w:link w:val="citationChar"/>
    <w:qFormat/>
    <w:rsid w:val="00BD24B4"/>
    <w:pPr>
      <w:spacing w:line="480" w:lineRule="auto"/>
      <w:jc w:val="both"/>
    </w:pPr>
    <w:rPr>
      <w:rFonts w:ascii="Times New Roman" w:hAnsi="Times New Roman" w:cs="Times New Roman"/>
      <w:color w:val="0000FF"/>
      <w:sz w:val="24"/>
      <w:szCs w:val="24"/>
    </w:rPr>
  </w:style>
  <w:style w:type="character" w:customStyle="1" w:styleId="citationChar">
    <w:name w:val="citation Char"/>
    <w:basedOn w:val="DefaultParagraphFont"/>
    <w:link w:val="citation"/>
    <w:rsid w:val="00BD24B4"/>
    <w:rPr>
      <w:rFonts w:ascii="Times New Roman" w:hAnsi="Times New Roman" w:cs="Times New Roman"/>
      <w:color w:val="0000FF"/>
      <w:sz w:val="24"/>
      <w:szCs w:val="24"/>
      <w:lang w:val="en-GB"/>
    </w:rPr>
  </w:style>
  <w:style w:type="paragraph" w:customStyle="1" w:styleId="EndNoteBibliographyTitle">
    <w:name w:val="EndNote Bibliography Title"/>
    <w:basedOn w:val="Normal"/>
    <w:link w:val="EndNoteBibliographyTitleChar"/>
    <w:rsid w:val="004522DE"/>
    <w:pPr>
      <w:spacing w:after="0"/>
      <w:jc w:val="center"/>
    </w:pPr>
    <w:rPr>
      <w:rFonts w:ascii="Times" w:hAnsi="Times" w:cs="Times"/>
      <w:noProof/>
      <w:sz w:val="24"/>
    </w:rPr>
  </w:style>
  <w:style w:type="character" w:customStyle="1" w:styleId="BDAbstractChar">
    <w:name w:val="BD_Abstract Char"/>
    <w:basedOn w:val="DefaultParagraphFont"/>
    <w:link w:val="BDAbstract"/>
    <w:rsid w:val="004522DE"/>
    <w:rPr>
      <w:rFonts w:ascii="Times" w:eastAsia="Times New Roman" w:hAnsi="Times" w:cs="Times New Roman"/>
      <w:sz w:val="24"/>
      <w:szCs w:val="20"/>
      <w:lang w:val="en-GB"/>
    </w:rPr>
  </w:style>
  <w:style w:type="character" w:customStyle="1" w:styleId="EndNoteBibliographyTitleChar">
    <w:name w:val="EndNote Bibliography Title Char"/>
    <w:basedOn w:val="BDAbstractChar"/>
    <w:link w:val="EndNoteBibliographyTitle"/>
    <w:rsid w:val="004522DE"/>
    <w:rPr>
      <w:rFonts w:ascii="Times" w:eastAsia="Times New Roman" w:hAnsi="Times" w:cs="Times"/>
      <w:noProof/>
      <w:sz w:val="24"/>
      <w:szCs w:val="20"/>
      <w:lang w:val="en-GB"/>
    </w:rPr>
  </w:style>
  <w:style w:type="paragraph" w:customStyle="1" w:styleId="EndNoteBibliography">
    <w:name w:val="EndNote Bibliography"/>
    <w:basedOn w:val="Normal"/>
    <w:link w:val="EndNoteBibliographyChar"/>
    <w:rsid w:val="004522DE"/>
    <w:pPr>
      <w:spacing w:line="240" w:lineRule="auto"/>
    </w:pPr>
    <w:rPr>
      <w:rFonts w:ascii="Times" w:hAnsi="Times" w:cs="Times"/>
      <w:noProof/>
      <w:sz w:val="24"/>
    </w:rPr>
  </w:style>
  <w:style w:type="character" w:customStyle="1" w:styleId="EndNoteBibliographyChar">
    <w:name w:val="EndNote Bibliography Char"/>
    <w:basedOn w:val="BDAbstractChar"/>
    <w:link w:val="EndNoteBibliography"/>
    <w:rsid w:val="004522DE"/>
    <w:rPr>
      <w:rFonts w:ascii="Times" w:eastAsia="Times New Roman" w:hAnsi="Times" w:cs="Times"/>
      <w:noProof/>
      <w:sz w:val="24"/>
      <w:szCs w:val="20"/>
      <w:lang w:val="en-GB"/>
    </w:rPr>
  </w:style>
  <w:style w:type="character" w:styleId="Hyperlink">
    <w:name w:val="Hyperlink"/>
    <w:basedOn w:val="DefaultParagraphFont"/>
    <w:uiPriority w:val="99"/>
    <w:unhideWhenUsed/>
    <w:rsid w:val="00A42D5A"/>
    <w:rPr>
      <w:color w:val="0563C1" w:themeColor="hyperlink"/>
      <w:u w:val="single"/>
    </w:rPr>
  </w:style>
  <w:style w:type="character" w:styleId="UnresolvedMention">
    <w:name w:val="Unresolved Mention"/>
    <w:basedOn w:val="DefaultParagraphFont"/>
    <w:uiPriority w:val="99"/>
    <w:semiHidden/>
    <w:unhideWhenUsed/>
    <w:rsid w:val="00A42D5A"/>
    <w:rPr>
      <w:color w:val="605E5C"/>
      <w:shd w:val="clear" w:color="auto" w:fill="E1DFDD"/>
    </w:rPr>
  </w:style>
  <w:style w:type="character" w:styleId="FollowedHyperlink">
    <w:name w:val="FollowedHyperlink"/>
    <w:basedOn w:val="DefaultParagraphFont"/>
    <w:uiPriority w:val="99"/>
    <w:semiHidden/>
    <w:unhideWhenUsed/>
    <w:rsid w:val="00A42D5A"/>
    <w:rPr>
      <w:color w:val="954F72" w:themeColor="followedHyperlink"/>
      <w:u w:val="single"/>
    </w:rPr>
  </w:style>
  <w:style w:type="paragraph" w:customStyle="1" w:styleId="MDPI12title">
    <w:name w:val="MDPI_1.2_title"/>
    <w:next w:val="MDPI13authornames"/>
    <w:qFormat/>
    <w:rsid w:val="00B07973"/>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paragraph" w:customStyle="1" w:styleId="MDPI13authornames">
    <w:name w:val="MDPI_1.3_authornames"/>
    <w:basedOn w:val="Normal"/>
    <w:next w:val="Normal"/>
    <w:qFormat/>
    <w:rsid w:val="00B07973"/>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basedOn w:val="Normal"/>
    <w:qFormat/>
    <w:rsid w:val="00B07973"/>
    <w:pPr>
      <w:adjustRightInd w:val="0"/>
      <w:snapToGrid w:val="0"/>
      <w:spacing w:after="0" w:line="200" w:lineRule="atLeast"/>
      <w:ind w:left="311" w:hanging="198"/>
    </w:pPr>
    <w:rPr>
      <w:rFonts w:ascii="Palatino Linotype" w:eastAsia="Times New Roman" w:hAnsi="Palatino Linotype" w:cs="Times New Roman"/>
      <w:color w:val="000000"/>
      <w:sz w:val="18"/>
      <w:szCs w:val="18"/>
      <w:lang w:eastAsia="de-DE" w:bidi="en-US"/>
    </w:rPr>
  </w:style>
  <w:style w:type="character" w:styleId="CommentReference">
    <w:name w:val="annotation reference"/>
    <w:basedOn w:val="DefaultParagraphFont"/>
    <w:uiPriority w:val="99"/>
    <w:semiHidden/>
    <w:unhideWhenUsed/>
    <w:rsid w:val="00E112C5"/>
    <w:rPr>
      <w:sz w:val="16"/>
      <w:szCs w:val="16"/>
    </w:rPr>
  </w:style>
  <w:style w:type="paragraph" w:styleId="CommentText">
    <w:name w:val="annotation text"/>
    <w:basedOn w:val="Normal"/>
    <w:link w:val="CommentTextChar"/>
    <w:uiPriority w:val="99"/>
    <w:semiHidden/>
    <w:unhideWhenUsed/>
    <w:rsid w:val="00E112C5"/>
    <w:pPr>
      <w:spacing w:line="240" w:lineRule="auto"/>
    </w:pPr>
    <w:rPr>
      <w:sz w:val="20"/>
      <w:szCs w:val="20"/>
    </w:rPr>
  </w:style>
  <w:style w:type="character" w:customStyle="1" w:styleId="CommentTextChar">
    <w:name w:val="Comment Text Char"/>
    <w:basedOn w:val="DefaultParagraphFont"/>
    <w:link w:val="CommentText"/>
    <w:uiPriority w:val="99"/>
    <w:semiHidden/>
    <w:rsid w:val="00E112C5"/>
    <w:rPr>
      <w:sz w:val="20"/>
      <w:szCs w:val="20"/>
      <w:lang w:val="en-GB"/>
    </w:rPr>
  </w:style>
  <w:style w:type="paragraph" w:styleId="CommentSubject">
    <w:name w:val="annotation subject"/>
    <w:basedOn w:val="CommentText"/>
    <w:next w:val="CommentText"/>
    <w:link w:val="CommentSubjectChar"/>
    <w:uiPriority w:val="99"/>
    <w:semiHidden/>
    <w:unhideWhenUsed/>
    <w:rsid w:val="00E112C5"/>
    <w:rPr>
      <w:b/>
      <w:bCs/>
    </w:rPr>
  </w:style>
  <w:style w:type="character" w:customStyle="1" w:styleId="CommentSubjectChar">
    <w:name w:val="Comment Subject Char"/>
    <w:basedOn w:val="CommentTextChar"/>
    <w:link w:val="CommentSubject"/>
    <w:uiPriority w:val="99"/>
    <w:semiHidden/>
    <w:rsid w:val="00E112C5"/>
    <w:rPr>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4185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hab_alemam@arch.sohag.edu.eg" TargetMode="Externa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ehab.al-emam@uantwerpe.be" TargetMode="Externa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DD1441-B283-4812-A8EB-66AC45E14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840</TotalTime>
  <Pages>10</Pages>
  <Words>1255</Words>
  <Characters>7156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Ehab Awad Al-Emam</dc:creator>
  <cp:keywords/>
  <dc:description/>
  <cp:lastModifiedBy>EAAAE</cp:lastModifiedBy>
  <cp:revision>239</cp:revision>
  <cp:lastPrinted>2020-05-11T17:33:00Z</cp:lastPrinted>
  <dcterms:created xsi:type="dcterms:W3CDTF">2020-01-14T13:29:00Z</dcterms:created>
  <dcterms:modified xsi:type="dcterms:W3CDTF">2020-09-10T11:30:00Z</dcterms:modified>
</cp:coreProperties>
</file>