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C0FE1" w14:textId="77777777" w:rsidR="005E23F8" w:rsidRDefault="005E23F8" w:rsidP="005E23F8">
      <w:pPr>
        <w:pStyle w:val="Heading1"/>
        <w:spacing w:line="480" w:lineRule="auto"/>
        <w:rPr>
          <w:color w:val="auto"/>
          <w:lang w:val="en-US"/>
        </w:rPr>
      </w:pPr>
      <w:r w:rsidRPr="00513C2A">
        <w:rPr>
          <w:color w:val="auto"/>
          <w:lang w:val="en-US"/>
        </w:rPr>
        <w:t>Appendix</w:t>
      </w:r>
      <w:r>
        <w:rPr>
          <w:color w:val="auto"/>
          <w:lang w:val="en-US"/>
        </w:rPr>
        <w:t xml:space="preserve"> I - Reasons to treat patients in secondary care according to the RTA</w:t>
      </w:r>
    </w:p>
    <w:p w14:paraId="338A034E" w14:textId="77777777" w:rsidR="005E23F8" w:rsidRDefault="005E23F8" w:rsidP="005E23F8">
      <w:pPr>
        <w:pStyle w:val="NoSpacing"/>
        <w:spacing w:line="480" w:lineRule="auto"/>
        <w:rPr>
          <w:lang w:val="en-US"/>
        </w:rPr>
      </w:pPr>
    </w:p>
    <w:p w14:paraId="50AD95A3" w14:textId="77777777" w:rsidR="005E23F8" w:rsidRDefault="005E23F8" w:rsidP="005E23F8">
      <w:pPr>
        <w:pStyle w:val="NoSpacing"/>
        <w:spacing w:line="480" w:lineRule="auto"/>
        <w:rPr>
          <w:b/>
          <w:sz w:val="24"/>
          <w:lang w:val="en-US"/>
        </w:rPr>
      </w:pPr>
      <w:r w:rsidRPr="00AC2FD0">
        <w:rPr>
          <w:b/>
          <w:sz w:val="24"/>
          <w:lang w:val="en-US"/>
        </w:rPr>
        <w:t>RTA T2DM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fldChar w:fldCharType="begin" w:fldLock="1"/>
      </w:r>
      <w:r>
        <w:rPr>
          <w:b/>
          <w:sz w:val="24"/>
          <w:lang w:val="en-US"/>
        </w:rPr>
        <w:instrText>ADDIN CSL_CITATION {"citationItems":[{"id":"ITEM-1","itemData":{"id":"ITEM-1","issued":{"date-parts":[["0"]]},"title":"Huisartsen Utrecht Stad. Regionale Transmurale Afspraak Utrecht Diabetes Mellitus Type 2(DM2). January 2016- January 2017. Version 2.0.","type":"article-journal"},"uris":["http://www.mendeley.com/documents/?uuid=a441feae-634a-4363-a28e-62e66434f5a8"]}],"mendeley":{"formattedCitation":"(13)","plainTextFormattedCitation":"(13)","previouslyFormattedCitation":"(13)"},"properties":{"noteIndex":0},"schema":"https://github.com/citation-style-language/schema/raw/master/csl-citation.json"}</w:instrText>
      </w:r>
      <w:r>
        <w:rPr>
          <w:b/>
          <w:sz w:val="24"/>
          <w:lang w:val="en-US"/>
        </w:rPr>
        <w:fldChar w:fldCharType="separate"/>
      </w:r>
      <w:r w:rsidRPr="0065731C">
        <w:rPr>
          <w:noProof/>
          <w:sz w:val="24"/>
          <w:lang w:val="en-US"/>
        </w:rPr>
        <w:t>(13)</w:t>
      </w:r>
      <w:r>
        <w:rPr>
          <w:b/>
          <w:sz w:val="24"/>
          <w:lang w:val="en-US"/>
        </w:rPr>
        <w:fldChar w:fldCharType="end"/>
      </w:r>
    </w:p>
    <w:p w14:paraId="2E5260F0" w14:textId="77777777" w:rsidR="005E23F8" w:rsidRPr="00AC2FD0" w:rsidRDefault="005E23F8" w:rsidP="005E23F8">
      <w:pPr>
        <w:pStyle w:val="NoSpacing"/>
        <w:spacing w:line="480" w:lineRule="auto"/>
        <w:rPr>
          <w:b/>
          <w:sz w:val="24"/>
          <w:lang w:val="en-US"/>
        </w:rPr>
      </w:pPr>
    </w:p>
    <w:p w14:paraId="295D9F0C" w14:textId="77777777" w:rsidR="005E23F8" w:rsidRPr="00F86FA5" w:rsidRDefault="005E23F8" w:rsidP="005E23F8">
      <w:pPr>
        <w:pStyle w:val="NoSpacing"/>
        <w:spacing w:line="480" w:lineRule="auto"/>
        <w:rPr>
          <w:b/>
          <w:lang w:val="en-US"/>
        </w:rPr>
      </w:pPr>
      <w:r w:rsidRPr="00F86FA5">
        <w:rPr>
          <w:b/>
          <w:lang w:val="en-US"/>
        </w:rPr>
        <w:t xml:space="preserve">Circumstances when to refer patients to secondary care: </w:t>
      </w:r>
    </w:p>
    <w:p w14:paraId="07AB4A42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Uncertainty about the diagnosis type 2 diabetes</w:t>
      </w:r>
    </w:p>
    <w:p w14:paraId="514C709C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T2DM that is hard to regulate properly </w:t>
      </w:r>
    </w:p>
    <w:p w14:paraId="7C88F812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Insulin use </w:t>
      </w:r>
    </w:p>
    <w:p w14:paraId="2DA1BDDB" w14:textId="77777777" w:rsidR="005E23F8" w:rsidRDefault="005E23F8" w:rsidP="005E23F8">
      <w:pPr>
        <w:pStyle w:val="NoSpacing"/>
        <w:spacing w:line="480" w:lineRule="auto"/>
        <w:ind w:left="720"/>
        <w:rPr>
          <w:lang w:val="en-US"/>
        </w:rPr>
      </w:pPr>
      <w:r>
        <w:rPr>
          <w:lang w:val="en-US"/>
        </w:rPr>
        <w:tab/>
        <w:t>- By chauffeurs and drivers</w:t>
      </w:r>
    </w:p>
    <w:p w14:paraId="30FD4304" w14:textId="77777777" w:rsidR="005E23F8" w:rsidRDefault="005E23F8" w:rsidP="005E23F8">
      <w:pPr>
        <w:pStyle w:val="NoSpacing"/>
        <w:spacing w:line="480" w:lineRule="auto"/>
        <w:ind w:left="720"/>
        <w:rPr>
          <w:lang w:val="en-US"/>
        </w:rPr>
      </w:pPr>
      <w:r>
        <w:rPr>
          <w:lang w:val="en-US"/>
        </w:rPr>
        <w:tab/>
        <w:t>- With worries about increasing weight or about using insulin</w:t>
      </w:r>
    </w:p>
    <w:p w14:paraId="7F00BCBA" w14:textId="77777777" w:rsidR="005E23F8" w:rsidRDefault="005E23F8" w:rsidP="005E23F8">
      <w:pPr>
        <w:pStyle w:val="NoSpacing"/>
        <w:spacing w:line="480" w:lineRule="auto"/>
        <w:ind w:left="720"/>
        <w:rPr>
          <w:lang w:val="en-US"/>
        </w:rPr>
      </w:pPr>
      <w:r>
        <w:rPr>
          <w:lang w:val="en-US"/>
        </w:rPr>
        <w:tab/>
        <w:t xml:space="preserve">- Recidivating hypoglycemia  </w:t>
      </w:r>
    </w:p>
    <w:p w14:paraId="5A552853" w14:textId="77777777" w:rsidR="005E23F8" w:rsidRDefault="005E23F8" w:rsidP="005E23F8">
      <w:pPr>
        <w:pStyle w:val="NoSpacing"/>
        <w:spacing w:line="480" w:lineRule="auto"/>
        <w:ind w:left="720"/>
        <w:rPr>
          <w:lang w:val="en-US"/>
        </w:rPr>
      </w:pPr>
      <w:r>
        <w:rPr>
          <w:lang w:val="en-US"/>
        </w:rPr>
        <w:tab/>
        <w:t>- Inadequate effect of using insulin on a one or two times a day scheme</w:t>
      </w:r>
    </w:p>
    <w:p w14:paraId="0FF8E2A1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Imminent dehydration or hyperglycemia</w:t>
      </w:r>
    </w:p>
    <w:p w14:paraId="5A1AF23C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Serious hypoglycemia with the use of long working medication</w:t>
      </w:r>
    </w:p>
    <w:p w14:paraId="56CBC708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Persisting LDL-cholesterol higher than 2,5 mmol/l with a </w:t>
      </w:r>
      <w:proofErr w:type="gramStart"/>
      <w:r>
        <w:rPr>
          <w:lang w:val="en-US"/>
        </w:rPr>
        <w:t>high risk</w:t>
      </w:r>
      <w:proofErr w:type="gramEnd"/>
      <w:r>
        <w:rPr>
          <w:lang w:val="en-US"/>
        </w:rPr>
        <w:t xml:space="preserve"> profile</w:t>
      </w:r>
    </w:p>
    <w:p w14:paraId="629F5293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Total cholesterol higher than 8 mmol/l, cholesterol ratio higher than 8 or LDL-cholesterol higher than 5 mmol/l (referral after checking for pregnancy, </w:t>
      </w:r>
      <w:proofErr w:type="gramStart"/>
      <w:r>
        <w:rPr>
          <w:lang w:val="en-US"/>
        </w:rPr>
        <w:t>alcoholism</w:t>
      </w:r>
      <w:proofErr w:type="gramEnd"/>
      <w:r>
        <w:rPr>
          <w:lang w:val="en-US"/>
        </w:rPr>
        <w:t xml:space="preserve"> and hypothyroidism)</w:t>
      </w:r>
    </w:p>
    <w:p w14:paraId="152FB4FC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Fasting triglycerides higher than 6 mmol/l</w:t>
      </w:r>
    </w:p>
    <w:p w14:paraId="623EEA62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Hypertension (with a systolic blood pressure higher than 140 mmHg by patients younger than 80 years and a systolic blood pressure higher than 160 mmHg by patients older than 80 years despite triple therapy)</w:t>
      </w:r>
    </w:p>
    <w:p w14:paraId="22B28C58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Obesity that is causing health risks</w:t>
      </w:r>
    </w:p>
    <w:p w14:paraId="36BEBE2C" w14:textId="77777777" w:rsidR="005E23F8" w:rsidRPr="007411B2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 w:rsidRPr="007411B2">
        <w:rPr>
          <w:lang w:val="en-US"/>
        </w:rPr>
        <w:lastRenderedPageBreak/>
        <w:t>Patients younger than 65 years and an estimated glomerular filtration rate of 45 to 60 ml/min or patients older than 65 years with an estimated glomerular filtration rate of 30 to 45 ml/min (referral for advice)</w:t>
      </w:r>
    </w:p>
    <w:p w14:paraId="4E926C49" w14:textId="77777777" w:rsidR="005E23F8" w:rsidRPr="007411B2" w:rsidRDefault="005E23F8" w:rsidP="005E23F8">
      <w:pPr>
        <w:pStyle w:val="NoSpacing"/>
        <w:numPr>
          <w:ilvl w:val="0"/>
          <w:numId w:val="1"/>
        </w:numPr>
        <w:spacing w:line="480" w:lineRule="auto"/>
        <w:rPr>
          <w:lang w:val="en-US"/>
        </w:rPr>
      </w:pPr>
      <w:r w:rsidRPr="007411B2">
        <w:rPr>
          <w:lang w:val="en-US"/>
        </w:rPr>
        <w:t>Patients younger than 65 years and an estimated glomerular filtration rate below 45 ml/min or patients older than 65 years with an estimated glomerular filtration rate below 30 ml/min (permanent referral)</w:t>
      </w:r>
    </w:p>
    <w:p w14:paraId="6250FF3D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</w:pPr>
      <w:r>
        <w:t>Increase of microalbuminuria</w:t>
      </w:r>
    </w:p>
    <w:p w14:paraId="585CB561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</w:pPr>
      <w:r>
        <w:t>Diabetic foot ulcer</w:t>
      </w:r>
    </w:p>
    <w:p w14:paraId="77A72B7E" w14:textId="77777777" w:rsidR="005E23F8" w:rsidRDefault="005E23F8" w:rsidP="005E23F8">
      <w:pPr>
        <w:pStyle w:val="NoSpacing"/>
        <w:numPr>
          <w:ilvl w:val="0"/>
          <w:numId w:val="1"/>
        </w:numPr>
        <w:spacing w:line="480" w:lineRule="auto"/>
      </w:pPr>
      <w:r>
        <w:t>Neuropathy</w:t>
      </w:r>
    </w:p>
    <w:p w14:paraId="633C7822" w14:textId="77777777" w:rsidR="005E23F8" w:rsidRPr="00DF0094" w:rsidRDefault="005E23F8" w:rsidP="005E23F8">
      <w:pPr>
        <w:pStyle w:val="NoSpacing"/>
        <w:numPr>
          <w:ilvl w:val="0"/>
          <w:numId w:val="1"/>
        </w:numPr>
        <w:spacing w:line="480" w:lineRule="auto"/>
      </w:pPr>
      <w:r>
        <w:t xml:space="preserve">Pregnancy or pregnancy wish </w:t>
      </w:r>
    </w:p>
    <w:p w14:paraId="21D997D4" w14:textId="77777777" w:rsidR="005E23F8" w:rsidRPr="00A4517D" w:rsidRDefault="005E23F8" w:rsidP="005E23F8">
      <w:pPr>
        <w:pStyle w:val="NoSpacing"/>
        <w:spacing w:line="480" w:lineRule="auto"/>
      </w:pPr>
    </w:p>
    <w:p w14:paraId="33A273F0" w14:textId="77777777" w:rsidR="005E23F8" w:rsidRDefault="005E23F8" w:rsidP="005E23F8">
      <w:pPr>
        <w:pStyle w:val="NoSpacing"/>
        <w:spacing w:line="480" w:lineRule="auto"/>
        <w:rPr>
          <w:b/>
          <w:sz w:val="24"/>
          <w:lang w:val="en-US"/>
        </w:rPr>
      </w:pPr>
      <w:r w:rsidRPr="00CE5DC0">
        <w:rPr>
          <w:b/>
          <w:sz w:val="24"/>
          <w:lang w:val="en-US"/>
        </w:rPr>
        <w:t xml:space="preserve">RTA COPD </w:t>
      </w:r>
      <w:r w:rsidRPr="00CE5DC0">
        <w:rPr>
          <w:b/>
          <w:sz w:val="24"/>
          <w:lang w:val="en-US"/>
        </w:rPr>
        <w:fldChar w:fldCharType="begin" w:fldLock="1"/>
      </w:r>
      <w:r>
        <w:rPr>
          <w:b/>
          <w:sz w:val="24"/>
          <w:lang w:val="en-US"/>
        </w:rPr>
        <w:instrText>ADDIN CSL_CITATION {"citationItems":[{"id":"ITEM-1","itemData":{"id":"ITEM-1","issued":{"date-parts":[["0"]]},"title":"Huisartsen Utrecht Stad. Regionale Transmurale Afspraken Utrecht Chronic Obstructive Pulmonary Disease (COPD). January 2017 - January 2019. Version 3.0.","type":"article-journal"},"uris":["http://www.mendeley.com/documents/?uuid=afeec8ee-9aae-4281-9033-ea2892dd6a24"]}],"mendeley":{"formattedCitation":"(12)","plainTextFormattedCitation":"(12)","previouslyFormattedCitation":"(12)"},"properties":{"noteIndex":0},"schema":"https://github.com/citation-style-language/schema/raw/master/csl-citation.json"}</w:instrText>
      </w:r>
      <w:r w:rsidRPr="00CE5DC0">
        <w:rPr>
          <w:b/>
          <w:sz w:val="24"/>
          <w:lang w:val="en-US"/>
        </w:rPr>
        <w:fldChar w:fldCharType="separate"/>
      </w:r>
      <w:r w:rsidRPr="0065731C">
        <w:rPr>
          <w:noProof/>
          <w:sz w:val="24"/>
          <w:lang w:val="en-US"/>
        </w:rPr>
        <w:t>(12)</w:t>
      </w:r>
      <w:r w:rsidRPr="00CE5DC0">
        <w:rPr>
          <w:b/>
          <w:sz w:val="24"/>
          <w:lang w:val="en-US"/>
        </w:rPr>
        <w:fldChar w:fldCharType="end"/>
      </w:r>
    </w:p>
    <w:p w14:paraId="7A468272" w14:textId="77777777" w:rsidR="005E23F8" w:rsidRPr="00CE5DC0" w:rsidRDefault="005E23F8" w:rsidP="005E23F8">
      <w:pPr>
        <w:pStyle w:val="NoSpacing"/>
        <w:spacing w:line="480" w:lineRule="auto"/>
        <w:rPr>
          <w:b/>
          <w:sz w:val="24"/>
          <w:lang w:val="en-US"/>
        </w:rPr>
      </w:pPr>
    </w:p>
    <w:p w14:paraId="7E073B75" w14:textId="77777777" w:rsidR="005E23F8" w:rsidRPr="00F86FA5" w:rsidRDefault="005E23F8" w:rsidP="005E23F8">
      <w:pPr>
        <w:pStyle w:val="NoSpacing"/>
        <w:spacing w:line="480" w:lineRule="auto"/>
        <w:rPr>
          <w:b/>
          <w:lang w:val="en-US"/>
        </w:rPr>
      </w:pPr>
      <w:r w:rsidRPr="00F86FA5">
        <w:rPr>
          <w:b/>
          <w:lang w:val="en-US"/>
        </w:rPr>
        <w:t xml:space="preserve">Circumstances when to treat patients preferably in primary care: </w:t>
      </w:r>
    </w:p>
    <w:p w14:paraId="7680F501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A forced expiratory volume in one second of more than 50% of predicted or more than 1.5 liters</w:t>
      </w:r>
    </w:p>
    <w:p w14:paraId="4C443128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A stable forced expiratory volume (FEV1%)</w:t>
      </w:r>
    </w:p>
    <w:p w14:paraId="6F1EA6DE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A score of less than three on the Medical Research Council </w:t>
      </w:r>
      <w:r w:rsidRPr="001D0833">
        <w:rPr>
          <w:lang w:val="en-US"/>
        </w:rPr>
        <w:t>dyspnea scale</w:t>
      </w:r>
    </w:p>
    <w:p w14:paraId="05F47C9A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A score of less than two on the Clinical COPD Questionnaire </w:t>
      </w:r>
    </w:p>
    <w:p w14:paraId="0F5CCD6E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A body mass index higher than 21 </w:t>
      </w:r>
    </w:p>
    <w:p w14:paraId="7641B240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A stable body mass index (less than 5% weight loss in a month or less than 10% weight loss in six months)</w:t>
      </w:r>
    </w:p>
    <w:p w14:paraId="5160316B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Less than two exacerbations a year where oral corticosteroids are necessary </w:t>
      </w:r>
    </w:p>
    <w:p w14:paraId="7254AC8F" w14:textId="77777777" w:rsidR="005E23F8" w:rsidRDefault="005E23F8" w:rsidP="005E23F8">
      <w:pPr>
        <w:pStyle w:val="NoSpacing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'Limited comorbidities' </w:t>
      </w:r>
    </w:p>
    <w:p w14:paraId="075C0F39" w14:textId="77777777" w:rsidR="00222823" w:rsidRDefault="00222823"/>
    <w:sectPr w:rsidR="00222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16B81"/>
    <w:multiLevelType w:val="hybridMultilevel"/>
    <w:tmpl w:val="235A8684"/>
    <w:lvl w:ilvl="0" w:tplc="BFE088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D6"/>
    <w:multiLevelType w:val="hybridMultilevel"/>
    <w:tmpl w:val="EFD43700"/>
    <w:lvl w:ilvl="0" w:tplc="BFE088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F8"/>
    <w:rsid w:val="00222823"/>
    <w:rsid w:val="00242694"/>
    <w:rsid w:val="005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5016"/>
  <w15:chartTrackingRefBased/>
  <w15:docId w15:val="{46BDE129-5A24-4CC4-A0E6-12D583B5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3F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3F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nl-NL"/>
    </w:rPr>
  </w:style>
  <w:style w:type="paragraph" w:styleId="NoSpacing">
    <w:name w:val="No Spacing"/>
    <w:uiPriority w:val="1"/>
    <w:qFormat/>
    <w:rsid w:val="005E23F8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2020-08-07T19:47:00Z</dcterms:created>
  <dcterms:modified xsi:type="dcterms:W3CDTF">2020-08-07T19:48:00Z</dcterms:modified>
</cp:coreProperties>
</file>