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A300E0" w14:textId="6C4BE0D7" w:rsidR="0049582A" w:rsidRPr="00BE0D32" w:rsidRDefault="009C3ACC" w:rsidP="0049582A">
      <w:pPr>
        <w:spacing w:line="480" w:lineRule="auto"/>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35FD8341" wp14:editId="7282721C">
            <wp:extent cx="5486400" cy="3086100"/>
            <wp:effectExtent l="0" t="0" r="0" b="0"/>
            <wp:docPr id="21062843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284304" name="Picture 2106284304"/>
                    <pic:cNvPicPr/>
                  </pic:nvPicPr>
                  <pic:blipFill>
                    <a:blip r:embed="rId4">
                      <a:extLst>
                        <a:ext uri="{28A0092B-C50C-407E-A947-70E740481C1C}">
                          <a14:useLocalDpi xmlns:a14="http://schemas.microsoft.com/office/drawing/2010/main" val="0"/>
                        </a:ext>
                      </a:extLst>
                    </a:blip>
                    <a:stretch>
                      <a:fillRect/>
                    </a:stretch>
                  </pic:blipFill>
                  <pic:spPr>
                    <a:xfrm>
                      <a:off x="0" y="0"/>
                      <a:ext cx="5494345" cy="3090569"/>
                    </a:xfrm>
                    <a:prstGeom prst="rect">
                      <a:avLst/>
                    </a:prstGeom>
                  </pic:spPr>
                </pic:pic>
              </a:graphicData>
            </a:graphic>
          </wp:inline>
        </w:drawing>
      </w:r>
    </w:p>
    <w:p w14:paraId="5B6587C3" w14:textId="77777777" w:rsidR="0049582A" w:rsidRPr="007D1F2B" w:rsidRDefault="0049582A" w:rsidP="0049582A">
      <w:pPr>
        <w:tabs>
          <w:tab w:val="left" w:pos="960"/>
        </w:tabs>
        <w:rPr>
          <w:rFonts w:asciiTheme="majorBidi" w:hAnsiTheme="majorBidi" w:cstheme="majorBidi"/>
          <w:sz w:val="24"/>
          <w:szCs w:val="24"/>
        </w:rPr>
      </w:pPr>
      <w:r>
        <w:tab/>
      </w:r>
      <w:r w:rsidRPr="007D1F2B">
        <w:rPr>
          <w:rFonts w:asciiTheme="majorBidi" w:hAnsiTheme="majorBidi" w:cstheme="majorBidi"/>
          <w:sz w:val="24"/>
          <w:szCs w:val="24"/>
        </w:rPr>
        <w:t>Fig 1</w:t>
      </w:r>
      <w:r>
        <w:rPr>
          <w:rFonts w:asciiTheme="majorBidi" w:hAnsiTheme="majorBidi" w:cstheme="majorBidi"/>
          <w:sz w:val="24"/>
          <w:szCs w:val="24"/>
        </w:rPr>
        <w:t xml:space="preserve">. </w:t>
      </w:r>
      <w:r w:rsidRPr="007D1F2B">
        <w:rPr>
          <w:rFonts w:asciiTheme="majorBidi" w:hAnsiTheme="majorBidi" w:cstheme="majorBidi"/>
          <w:sz w:val="24"/>
          <w:szCs w:val="24"/>
        </w:rPr>
        <w:t>PRISMA flow diagram of study screening and selection</w:t>
      </w:r>
      <w:r>
        <w:rPr>
          <w:rFonts w:asciiTheme="majorBidi" w:hAnsiTheme="majorBidi" w:cstheme="majorBidi"/>
          <w:sz w:val="24"/>
          <w:szCs w:val="24"/>
        </w:rPr>
        <w:t>.</w:t>
      </w:r>
    </w:p>
    <w:p w14:paraId="61161D61" w14:textId="77777777" w:rsidR="0049582A" w:rsidRDefault="0049582A" w:rsidP="0049582A"/>
    <w:p w14:paraId="2871EE67" w14:textId="77777777" w:rsidR="0049582A" w:rsidRDefault="0049582A" w:rsidP="0049582A"/>
    <w:tbl>
      <w:tblPr>
        <w:tblStyle w:val="PlainTable4"/>
        <w:tblpPr w:leftFromText="180" w:rightFromText="180" w:vertAnchor="text" w:horzAnchor="page" w:tblpX="1" w:tblpY="673"/>
        <w:tblW w:w="12240" w:type="dxa"/>
        <w:tblLayout w:type="fixed"/>
        <w:tblLook w:val="04A0" w:firstRow="1" w:lastRow="0" w:firstColumn="1" w:lastColumn="0" w:noHBand="0" w:noVBand="1"/>
      </w:tblPr>
      <w:tblGrid>
        <w:gridCol w:w="1130"/>
        <w:gridCol w:w="1234"/>
        <w:gridCol w:w="1028"/>
        <w:gridCol w:w="925"/>
        <w:gridCol w:w="1440"/>
        <w:gridCol w:w="1234"/>
        <w:gridCol w:w="1337"/>
        <w:gridCol w:w="1440"/>
        <w:gridCol w:w="1440"/>
        <w:gridCol w:w="1032"/>
      </w:tblGrid>
      <w:tr w:rsidR="0049582A" w:rsidRPr="002C4229" w14:paraId="48CC9317" w14:textId="77777777" w:rsidTr="00DA65FB">
        <w:trPr>
          <w:cnfStyle w:val="100000000000" w:firstRow="1" w:lastRow="0" w:firstColumn="0" w:lastColumn="0" w:oddVBand="0" w:evenVBand="0" w:oddHBand="0" w:evenHBand="0" w:firstRowFirstColumn="0" w:firstRowLastColumn="0" w:lastRowFirstColumn="0" w:lastRowLastColumn="0"/>
          <w:trHeight w:val="1198"/>
        </w:trPr>
        <w:tc>
          <w:tcPr>
            <w:cnfStyle w:val="001000000000" w:firstRow="0" w:lastRow="0" w:firstColumn="1" w:lastColumn="0" w:oddVBand="0" w:evenVBand="0" w:oddHBand="0" w:evenHBand="0" w:firstRowFirstColumn="0" w:firstRowLastColumn="0" w:lastRowFirstColumn="0" w:lastRowLastColumn="0"/>
            <w:tcW w:w="1130" w:type="dxa"/>
          </w:tcPr>
          <w:p w14:paraId="35D3A8EE" w14:textId="77777777" w:rsidR="0049582A" w:rsidRPr="00C2558B" w:rsidRDefault="0049582A" w:rsidP="00DA65FB">
            <w:pPr>
              <w:jc w:val="center"/>
              <w:rPr>
                <w:rFonts w:asciiTheme="majorBidi" w:hAnsiTheme="majorBidi" w:cstheme="majorBidi"/>
                <w:b w:val="0"/>
                <w:bCs w:val="0"/>
                <w:sz w:val="18"/>
                <w:szCs w:val="18"/>
              </w:rPr>
            </w:pPr>
            <w:r w:rsidRPr="00C2558B">
              <w:rPr>
                <w:rFonts w:asciiTheme="majorBidi" w:hAnsiTheme="majorBidi" w:cstheme="majorBidi"/>
                <w:sz w:val="18"/>
                <w:szCs w:val="18"/>
              </w:rPr>
              <w:t>Author,</w:t>
            </w:r>
          </w:p>
          <w:p w14:paraId="14047F31" w14:textId="77777777" w:rsidR="0049582A" w:rsidRPr="00C2558B" w:rsidRDefault="0049582A" w:rsidP="00DA65FB">
            <w:pPr>
              <w:jc w:val="center"/>
              <w:rPr>
                <w:rFonts w:asciiTheme="majorBidi" w:hAnsiTheme="majorBidi" w:cstheme="majorBidi"/>
                <w:sz w:val="18"/>
                <w:szCs w:val="18"/>
              </w:rPr>
            </w:pPr>
            <w:r w:rsidRPr="00C2558B">
              <w:rPr>
                <w:rFonts w:asciiTheme="majorBidi" w:hAnsiTheme="majorBidi" w:cstheme="majorBidi"/>
                <w:sz w:val="18"/>
                <w:szCs w:val="18"/>
              </w:rPr>
              <w:t>year</w:t>
            </w:r>
          </w:p>
        </w:tc>
        <w:tc>
          <w:tcPr>
            <w:tcW w:w="1234" w:type="dxa"/>
          </w:tcPr>
          <w:p w14:paraId="0B902E48"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Journal</w:t>
            </w:r>
          </w:p>
        </w:tc>
        <w:tc>
          <w:tcPr>
            <w:tcW w:w="1028" w:type="dxa"/>
          </w:tcPr>
          <w:p w14:paraId="354C2B77"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Country</w:t>
            </w:r>
          </w:p>
        </w:tc>
        <w:tc>
          <w:tcPr>
            <w:tcW w:w="925" w:type="dxa"/>
          </w:tcPr>
          <w:p w14:paraId="462C4D9F"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Patients</w:t>
            </w:r>
          </w:p>
        </w:tc>
        <w:tc>
          <w:tcPr>
            <w:tcW w:w="1440" w:type="dxa"/>
          </w:tcPr>
          <w:p w14:paraId="2CAA9AFD"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Study Design</w:t>
            </w:r>
          </w:p>
        </w:tc>
        <w:tc>
          <w:tcPr>
            <w:tcW w:w="1234" w:type="dxa"/>
          </w:tcPr>
          <w:p w14:paraId="2808A7AA"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Females,</w:t>
            </w:r>
          </w:p>
          <w:p w14:paraId="6F14F0BC"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n (%)</w:t>
            </w:r>
          </w:p>
        </w:tc>
        <w:tc>
          <w:tcPr>
            <w:tcW w:w="1337" w:type="dxa"/>
          </w:tcPr>
          <w:p w14:paraId="11643D2F"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 xml:space="preserve">Age </w:t>
            </w:r>
          </w:p>
          <w:p w14:paraId="4D8BE24E"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(years)</w:t>
            </w:r>
          </w:p>
        </w:tc>
        <w:tc>
          <w:tcPr>
            <w:tcW w:w="1440" w:type="dxa"/>
          </w:tcPr>
          <w:p w14:paraId="0A75A6F3"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BMI*</w:t>
            </w:r>
          </w:p>
        </w:tc>
        <w:tc>
          <w:tcPr>
            <w:tcW w:w="1440" w:type="dxa"/>
          </w:tcPr>
          <w:p w14:paraId="5E927F3C"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Operative time (min)*</w:t>
            </w:r>
          </w:p>
        </w:tc>
        <w:tc>
          <w:tcPr>
            <w:tcW w:w="1032" w:type="dxa"/>
          </w:tcPr>
          <w:p w14:paraId="3527FB29"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Follow-up</w:t>
            </w:r>
          </w:p>
          <w:p w14:paraId="59DB2FFB" w14:textId="77777777" w:rsidR="0049582A" w:rsidRPr="00C2558B" w:rsidRDefault="0049582A" w:rsidP="00DA65F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(months)</w:t>
            </w:r>
          </w:p>
        </w:tc>
      </w:tr>
      <w:tr w:rsidR="0049582A" w:rsidRPr="002C4229" w14:paraId="38D526FC" w14:textId="77777777" w:rsidTr="00DA65FB">
        <w:trPr>
          <w:cnfStyle w:val="000000100000" w:firstRow="0" w:lastRow="0" w:firstColumn="0" w:lastColumn="0" w:oddVBand="0" w:evenVBand="0" w:oddHBand="1" w:evenHBand="0" w:firstRowFirstColumn="0" w:firstRowLastColumn="0" w:lastRowFirstColumn="0" w:lastRowLastColumn="0"/>
          <w:trHeight w:val="855"/>
        </w:trPr>
        <w:tc>
          <w:tcPr>
            <w:cnfStyle w:val="001000000000" w:firstRow="0" w:lastRow="0" w:firstColumn="1" w:lastColumn="0" w:oddVBand="0" w:evenVBand="0" w:oddHBand="0" w:evenHBand="0" w:firstRowFirstColumn="0" w:firstRowLastColumn="0" w:lastRowFirstColumn="0" w:lastRowLastColumn="0"/>
            <w:tcW w:w="1130" w:type="dxa"/>
          </w:tcPr>
          <w:p w14:paraId="6B33AA33" w14:textId="77777777" w:rsidR="0049582A" w:rsidRPr="00C2558B" w:rsidRDefault="0049582A" w:rsidP="00DA65FB">
            <w:pPr>
              <w:jc w:val="center"/>
              <w:rPr>
                <w:rFonts w:asciiTheme="majorBidi" w:hAnsiTheme="majorBidi" w:cstheme="majorBidi"/>
                <w:sz w:val="18"/>
                <w:szCs w:val="18"/>
              </w:rPr>
            </w:pPr>
            <w:r w:rsidRPr="00C2558B">
              <w:rPr>
                <w:rFonts w:asciiTheme="majorBidi" w:hAnsiTheme="majorBidi" w:cstheme="majorBidi"/>
                <w:sz w:val="18"/>
                <w:szCs w:val="18"/>
              </w:rPr>
              <w:t>El</w:t>
            </w:r>
            <w:r>
              <w:rPr>
                <w:rFonts w:asciiTheme="majorBidi" w:hAnsiTheme="majorBidi" w:cstheme="majorBidi"/>
                <w:sz w:val="18"/>
                <w:szCs w:val="18"/>
              </w:rPr>
              <w:t xml:space="preserve"> S</w:t>
            </w:r>
            <w:r w:rsidRPr="00C2558B">
              <w:rPr>
                <w:rFonts w:asciiTheme="majorBidi" w:hAnsiTheme="majorBidi" w:cstheme="majorBidi"/>
                <w:sz w:val="18"/>
                <w:szCs w:val="18"/>
              </w:rPr>
              <w:t>hayeb et al, 2023</w:t>
            </w:r>
            <w:r>
              <w:rPr>
                <w:rFonts w:asciiTheme="majorBidi" w:hAnsiTheme="majorBidi" w:cstheme="majorBidi"/>
                <w:sz w:val="18"/>
                <w:szCs w:val="18"/>
              </w:rPr>
              <w:t xml:space="preserve"> </w:t>
            </w:r>
            <w:r>
              <w:rPr>
                <w:rFonts w:asciiTheme="majorBidi" w:hAnsiTheme="majorBidi" w:cstheme="majorBidi"/>
                <w:sz w:val="18"/>
                <w:szCs w:val="18"/>
              </w:rPr>
              <w:fldChar w:fldCharType="begin"/>
            </w:r>
            <w:r>
              <w:rPr>
                <w:rFonts w:asciiTheme="majorBidi" w:hAnsiTheme="majorBidi" w:cstheme="majorBidi"/>
                <w:sz w:val="18"/>
                <w:szCs w:val="18"/>
              </w:rPr>
              <w:instrText xml:space="preserve"> ADDIN ZOTERO_ITEM CSL_CITATION {"citationID":"JSNGeLWY","properties":{"formattedCitation":"[12]","plainCitation":"[12]","noteIndex":0},"citationItems":[{"id":7583,"uris":["http://zotero.org/users/local/DHrG6rKT/items/AC7K9CU3"],"itemData":{"id":7583,"type":"article-journal","container-title":"Ain Shams Journal of Surgery","DOI":"10.21608/asjs.2023.309455","ISSN":"2090-7249","issue":"3","journalAbbreviation":"Ain Shams Journal of Surgery","language":"en","page":"261-272","source":"DOI.org (Crossref)","title":"Laparoscopic SADI-S versus OAGB as Revisional Procedures after Failed Sleeve Gastrectomy; Comparative Study after 2 Years of Follow up","volume":"16","author":[{"family":"El Shayeb","given":"Basem"},{"family":"Sabry","given":"Alaa"},{"family":"Marzouk","given":"Mohamed"},{"family":"Sabry","given":"Amr"},{"family":"Ahmed","given":"Dina"}],"issued":{"date-parts":[["2023",7,1]]}}}],"schema":"https://github.com/citation-style-language/schema/raw/master/csl-citation.json"} </w:instrText>
            </w:r>
            <w:r>
              <w:rPr>
                <w:rFonts w:asciiTheme="majorBidi" w:hAnsiTheme="majorBidi" w:cstheme="majorBidi"/>
                <w:sz w:val="18"/>
                <w:szCs w:val="18"/>
              </w:rPr>
              <w:fldChar w:fldCharType="separate"/>
            </w:r>
            <w:r w:rsidRPr="00E008E7">
              <w:rPr>
                <w:rFonts w:ascii="Times New Roman" w:hAnsi="Times New Roman" w:cs="Times New Roman"/>
                <w:sz w:val="18"/>
              </w:rPr>
              <w:t>[12]</w:t>
            </w:r>
            <w:r>
              <w:rPr>
                <w:rFonts w:asciiTheme="majorBidi" w:hAnsiTheme="majorBidi" w:cstheme="majorBidi"/>
                <w:sz w:val="18"/>
                <w:szCs w:val="18"/>
              </w:rPr>
              <w:fldChar w:fldCharType="end"/>
            </w:r>
          </w:p>
        </w:tc>
        <w:tc>
          <w:tcPr>
            <w:tcW w:w="1234" w:type="dxa"/>
          </w:tcPr>
          <w:p w14:paraId="3815665B"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Ain Shams Journal of surgery</w:t>
            </w:r>
          </w:p>
        </w:tc>
        <w:tc>
          <w:tcPr>
            <w:tcW w:w="1028" w:type="dxa"/>
          </w:tcPr>
          <w:p w14:paraId="28048667"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Egypt</w:t>
            </w:r>
          </w:p>
        </w:tc>
        <w:tc>
          <w:tcPr>
            <w:tcW w:w="925" w:type="dxa"/>
          </w:tcPr>
          <w:p w14:paraId="50A4F2FC" w14:textId="77777777" w:rsidR="0049582A" w:rsidRPr="00C2558B" w:rsidRDefault="0049582A" w:rsidP="00DA65FB">
            <w:pPr>
              <w:bidi/>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tl/>
              </w:rPr>
              <w:t>25</w:t>
            </w:r>
            <w:r w:rsidRPr="00C2558B">
              <w:rPr>
                <w:rFonts w:asciiTheme="majorBidi" w:hAnsiTheme="majorBidi" w:cstheme="majorBidi"/>
                <w:sz w:val="18"/>
                <w:szCs w:val="18"/>
              </w:rPr>
              <w:t>/</w:t>
            </w:r>
            <w:r w:rsidRPr="00C2558B">
              <w:rPr>
                <w:rFonts w:asciiTheme="majorBidi" w:hAnsiTheme="majorBidi" w:cstheme="majorBidi"/>
                <w:sz w:val="18"/>
                <w:szCs w:val="18"/>
                <w:rtl/>
              </w:rPr>
              <w:t>5</w:t>
            </w:r>
            <w:r w:rsidRPr="00C2558B">
              <w:rPr>
                <w:rFonts w:asciiTheme="majorBidi" w:hAnsiTheme="majorBidi" w:cstheme="majorBidi"/>
                <w:sz w:val="18"/>
                <w:szCs w:val="18"/>
              </w:rPr>
              <w:t>2</w:t>
            </w:r>
          </w:p>
        </w:tc>
        <w:tc>
          <w:tcPr>
            <w:tcW w:w="1440" w:type="dxa"/>
          </w:tcPr>
          <w:p w14:paraId="630A9805"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RCT</w:t>
            </w:r>
          </w:p>
        </w:tc>
        <w:tc>
          <w:tcPr>
            <w:tcW w:w="1234" w:type="dxa"/>
          </w:tcPr>
          <w:p w14:paraId="2876D5EE"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43(86%)</w:t>
            </w:r>
          </w:p>
        </w:tc>
        <w:tc>
          <w:tcPr>
            <w:tcW w:w="1337" w:type="dxa"/>
          </w:tcPr>
          <w:p w14:paraId="71F9C454"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34.24±5.24/ 35.24±5.83</w:t>
            </w:r>
          </w:p>
        </w:tc>
        <w:tc>
          <w:tcPr>
            <w:tcW w:w="1440" w:type="dxa"/>
          </w:tcPr>
          <w:p w14:paraId="15EDC58D"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44.32± 2.86 / 42.97± 3.35</w:t>
            </w:r>
          </w:p>
        </w:tc>
        <w:tc>
          <w:tcPr>
            <w:tcW w:w="1440" w:type="dxa"/>
          </w:tcPr>
          <w:p w14:paraId="5DC06F96"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154.6±16.47/ 88±18.03</w:t>
            </w:r>
          </w:p>
        </w:tc>
        <w:tc>
          <w:tcPr>
            <w:tcW w:w="1032" w:type="dxa"/>
          </w:tcPr>
          <w:p w14:paraId="3A85C4A1"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24</w:t>
            </w:r>
          </w:p>
        </w:tc>
      </w:tr>
      <w:tr w:rsidR="0049582A" w:rsidRPr="002C4229" w14:paraId="576BE066" w14:textId="77777777" w:rsidTr="00DA65FB">
        <w:trPr>
          <w:trHeight w:val="855"/>
        </w:trPr>
        <w:tc>
          <w:tcPr>
            <w:cnfStyle w:val="001000000000" w:firstRow="0" w:lastRow="0" w:firstColumn="1" w:lastColumn="0" w:oddVBand="0" w:evenVBand="0" w:oddHBand="0" w:evenHBand="0" w:firstRowFirstColumn="0" w:firstRowLastColumn="0" w:lastRowFirstColumn="0" w:lastRowLastColumn="0"/>
            <w:tcW w:w="1130" w:type="dxa"/>
          </w:tcPr>
          <w:p w14:paraId="64456ADC" w14:textId="77777777" w:rsidR="0049582A" w:rsidRPr="00C2558B" w:rsidRDefault="0049582A" w:rsidP="00DA65FB">
            <w:pPr>
              <w:jc w:val="center"/>
              <w:rPr>
                <w:rFonts w:asciiTheme="majorBidi" w:hAnsiTheme="majorBidi" w:cstheme="majorBidi"/>
                <w:sz w:val="18"/>
                <w:szCs w:val="18"/>
              </w:rPr>
            </w:pPr>
            <w:r w:rsidRPr="00C2558B">
              <w:rPr>
                <w:rFonts w:asciiTheme="majorBidi" w:hAnsiTheme="majorBidi" w:cstheme="majorBidi"/>
                <w:sz w:val="18"/>
                <w:szCs w:val="18"/>
              </w:rPr>
              <w:t>Gallucci et al, 2024</w:t>
            </w:r>
            <w:r>
              <w:rPr>
                <w:rFonts w:asciiTheme="majorBidi" w:hAnsiTheme="majorBidi" w:cstheme="majorBidi"/>
                <w:sz w:val="18"/>
                <w:szCs w:val="18"/>
              </w:rPr>
              <w:t xml:space="preserve"> </w:t>
            </w:r>
            <w:r>
              <w:rPr>
                <w:rFonts w:asciiTheme="majorBidi" w:hAnsiTheme="majorBidi" w:cstheme="majorBidi"/>
                <w:sz w:val="18"/>
                <w:szCs w:val="18"/>
              </w:rPr>
              <w:fldChar w:fldCharType="begin"/>
            </w:r>
            <w:r>
              <w:rPr>
                <w:rFonts w:asciiTheme="majorBidi" w:hAnsiTheme="majorBidi" w:cstheme="majorBidi"/>
                <w:sz w:val="18"/>
                <w:szCs w:val="18"/>
              </w:rPr>
              <w:instrText xml:space="preserve"> ADDIN ZOTERO_ITEM CSL_CITATION {"citationID":"3nw75IB6","properties":{"formattedCitation":"[13]","plainCitation":"[13]","noteIndex":0},"citationItems":[{"id":7585,"uris":["http://zotero.org/users/local/DHrG6rKT/items/MH3LAU28"],"itemData":{"id":7585,"type":"article-journal","abstract":"Abstract\n            \n              Purpose\n              Sleeve Gastrectomy (SG) is the most performed bariatric surgery, but a considerable number of patients may require revisional procedures for suboptimal clinical response/recurrence of weight (SCR/RoW). Conversion options include One-Anastomosis Gastric Bypass (OAGB) and Single Anastomosis Duodeno-Ileal Bypass (SADI). The study aims to compare SADI vs. OAGB as revisional procedures in terms of early and mid-term complications, operative time, postoperative hospital stay and clinical outcomes.\n            \n            \n              Methods\n              All patients who underwent OAGB or SADI as revisional procedures following SG for SCR/RoW at three high-volume bariatric centers between January 2014 and April 2021 were included. Propensity score matching (PSM) analysis was performed. Demographic, operative, and postoperative outcomes of the two groups were compared.\n            \n            \n              Results\n              \n                One hundred and sixty-eight patients were identified. After PSM, the two groups included 42 OAGB and 42 SADI patients. Early (≤ 30 days) postoperative complications rate did not differ significantly between OAGB and SADI groups (3 bleedings vs. 0,\n                p\n                 = 0.241). Mid-term (within 2 years) complications rate was significantly higher in the OAGB group (21.4% vs. 2.4%,\n                p\n                 = 0.007), mainly anastomotic complications and reflux disease (12% of OAGBs). Seven OAGB patients required conversion to another procedure (Roux-en-Y Gastric Bypass—RYGB) vs. none among the SADI patients (\n                p\n                 = 0.006).\n              \n            \n            \n              Conclusions\n              SADI and OAGB are both effective as revisional procedures for SCR/RoW after SG. OAGB is associated with a significantly higher rate of mid-term complications and a not negligible rate of conversion (RYGB). Larger studies are necessary to draw definitive conclusions.","container-title":"Langenbeck's Archives of Surgery","DOI":"10.1007/s00423-024-03306-y","ISSN":"1435-2451","issue":"1","journalAbbreviation":"Langenbecks Arch Surg","language":"en","page":"128","source":"DOI.org (Crossref)","title":"One-Anastomosis Gastric Bypass (OABG) vs. Single Anastomosis Duodeno-Ileal Bypass (SADI) as revisional procedure following Sleeve Gastrectomy: results of a multicenter study","title-short":"One-Anastomosis Gastric Bypass (OABG) vs. Single Anastomosis Duodeno-Ileal Bypass (SADI) as revisional procedure following Sleeve Gastrectomy","volume":"409","author":[{"family":"Gallucci","given":"Pierpaolo"},{"family":"Marincola","given":"Giuseppe"},{"family":"Pennestrì","given":"Francesco"},{"family":"Procopio","given":"Priscilla Francesca"},{"family":"Prioli","given":"Francesca"},{"family":"Salvi","given":"Giulia"},{"family":"Ciccoritti","given":"Luigi"},{"family":"Greco","given":"Francesco"},{"family":"Velotti","given":"Nunzio"},{"family":"Schiavone","given":"Vincenzo"},{"family":"Franzese","given":"Antonio"},{"family":"Mansi","given":"Federica"},{"family":"Uccelli","given":"Matteo"},{"family":"Cesana","given":"Giovanni"},{"family":"Musella","given":"Mario"},{"family":"Olmi","given":"Stefano"},{"family":"Raffaelli","given":"Marco"}],"issued":{"date-parts":[["2024",4,16]]}}}],"schema":"https://github.com/citation-style-language/schema/raw/master/csl-citation.json"} </w:instrText>
            </w:r>
            <w:r>
              <w:rPr>
                <w:rFonts w:asciiTheme="majorBidi" w:hAnsiTheme="majorBidi" w:cstheme="majorBidi"/>
                <w:sz w:val="18"/>
                <w:szCs w:val="18"/>
              </w:rPr>
              <w:fldChar w:fldCharType="separate"/>
            </w:r>
            <w:r w:rsidRPr="00E008E7">
              <w:rPr>
                <w:rFonts w:ascii="Times New Roman" w:hAnsi="Times New Roman" w:cs="Times New Roman"/>
                <w:sz w:val="18"/>
              </w:rPr>
              <w:t>[13]</w:t>
            </w:r>
            <w:r>
              <w:rPr>
                <w:rFonts w:asciiTheme="majorBidi" w:hAnsiTheme="majorBidi" w:cstheme="majorBidi"/>
                <w:sz w:val="18"/>
                <w:szCs w:val="18"/>
              </w:rPr>
              <w:fldChar w:fldCharType="end"/>
            </w:r>
          </w:p>
        </w:tc>
        <w:tc>
          <w:tcPr>
            <w:tcW w:w="1234" w:type="dxa"/>
          </w:tcPr>
          <w:p w14:paraId="5621678A"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Langenbeck's Archives of Surgery</w:t>
            </w:r>
          </w:p>
        </w:tc>
        <w:tc>
          <w:tcPr>
            <w:tcW w:w="1028" w:type="dxa"/>
          </w:tcPr>
          <w:p w14:paraId="5A8E0F5E"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Italy</w:t>
            </w:r>
          </w:p>
        </w:tc>
        <w:tc>
          <w:tcPr>
            <w:tcW w:w="925" w:type="dxa"/>
          </w:tcPr>
          <w:p w14:paraId="16F07B1E"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42/42</w:t>
            </w:r>
          </w:p>
        </w:tc>
        <w:tc>
          <w:tcPr>
            <w:tcW w:w="1440" w:type="dxa"/>
          </w:tcPr>
          <w:p w14:paraId="22AFEBF1"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Retrospective study</w:t>
            </w:r>
          </w:p>
        </w:tc>
        <w:tc>
          <w:tcPr>
            <w:tcW w:w="1234" w:type="dxa"/>
          </w:tcPr>
          <w:p w14:paraId="51FB3F50"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60(71.4%)</w:t>
            </w:r>
          </w:p>
        </w:tc>
        <w:tc>
          <w:tcPr>
            <w:tcW w:w="1337" w:type="dxa"/>
          </w:tcPr>
          <w:p w14:paraId="2EB8B3D5"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42.9±9.7/ 41.2±9.8</w:t>
            </w:r>
          </w:p>
        </w:tc>
        <w:tc>
          <w:tcPr>
            <w:tcW w:w="1440" w:type="dxa"/>
          </w:tcPr>
          <w:p w14:paraId="7ED7CF10"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44.8±8.2/ 43.8±6.6</w:t>
            </w:r>
          </w:p>
        </w:tc>
        <w:tc>
          <w:tcPr>
            <w:tcW w:w="1440" w:type="dxa"/>
          </w:tcPr>
          <w:p w14:paraId="382F8D1A"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NA</w:t>
            </w:r>
          </w:p>
        </w:tc>
        <w:tc>
          <w:tcPr>
            <w:tcW w:w="1032" w:type="dxa"/>
          </w:tcPr>
          <w:p w14:paraId="1344F4B1"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24</w:t>
            </w:r>
          </w:p>
        </w:tc>
      </w:tr>
      <w:tr w:rsidR="0049582A" w:rsidRPr="002C4229" w14:paraId="15C8F9F3" w14:textId="77777777" w:rsidTr="00DA65FB">
        <w:trPr>
          <w:cnfStyle w:val="000000100000" w:firstRow="0" w:lastRow="0" w:firstColumn="0" w:lastColumn="0" w:oddVBand="0" w:evenVBand="0" w:oddHBand="1" w:evenHBand="0" w:firstRowFirstColumn="0" w:firstRowLastColumn="0" w:lastRowFirstColumn="0" w:lastRowLastColumn="0"/>
          <w:trHeight w:val="1107"/>
        </w:trPr>
        <w:tc>
          <w:tcPr>
            <w:cnfStyle w:val="001000000000" w:firstRow="0" w:lastRow="0" w:firstColumn="1" w:lastColumn="0" w:oddVBand="0" w:evenVBand="0" w:oddHBand="0" w:evenHBand="0" w:firstRowFirstColumn="0" w:firstRowLastColumn="0" w:lastRowFirstColumn="0" w:lastRowLastColumn="0"/>
            <w:tcW w:w="1130" w:type="dxa"/>
          </w:tcPr>
          <w:p w14:paraId="608C8870" w14:textId="77777777" w:rsidR="0049582A" w:rsidRPr="00C2558B" w:rsidRDefault="0049582A" w:rsidP="00DA65FB">
            <w:pPr>
              <w:jc w:val="center"/>
              <w:rPr>
                <w:rFonts w:asciiTheme="majorBidi" w:hAnsiTheme="majorBidi" w:cstheme="majorBidi"/>
                <w:sz w:val="18"/>
                <w:szCs w:val="18"/>
              </w:rPr>
            </w:pPr>
            <w:r w:rsidRPr="00C2558B">
              <w:rPr>
                <w:rFonts w:asciiTheme="majorBidi" w:hAnsiTheme="majorBidi" w:cstheme="majorBidi"/>
                <w:sz w:val="18"/>
                <w:szCs w:val="18"/>
              </w:rPr>
              <w:t>De la Cruz et al, 2020</w:t>
            </w:r>
            <w:r>
              <w:rPr>
                <w:rFonts w:asciiTheme="majorBidi" w:hAnsiTheme="majorBidi" w:cstheme="majorBidi"/>
                <w:sz w:val="18"/>
                <w:szCs w:val="18"/>
              </w:rPr>
              <w:t xml:space="preserve"> </w:t>
            </w:r>
            <w:r>
              <w:rPr>
                <w:rFonts w:asciiTheme="majorBidi" w:hAnsiTheme="majorBidi" w:cstheme="majorBidi"/>
                <w:sz w:val="18"/>
                <w:szCs w:val="18"/>
              </w:rPr>
              <w:fldChar w:fldCharType="begin"/>
            </w:r>
            <w:r>
              <w:rPr>
                <w:rFonts w:asciiTheme="majorBidi" w:hAnsiTheme="majorBidi" w:cstheme="majorBidi"/>
                <w:sz w:val="18"/>
                <w:szCs w:val="18"/>
              </w:rPr>
              <w:instrText xml:space="preserve"> ADDIN ZOTERO_ITEM CSL_CITATION {"citationID":"aykesUIj","properties":{"formattedCitation":"[14]","plainCitation":"[14]","noteIndex":0},"citationItems":[{"id":7582,"uris":["http://zotero.org/users/local/DHrG6rKT/items/95KXFCKD"],"itemData":{"id":7582,"type":"article-journal","container-title":"Surgery for Obesity and Related Diseases","DOI":"10.1016/j.soard.2020.04.014","ISSN":"15507289","issue":"8","journalAbbreviation":"Surgery for Obesity and Related Diseases","language":"en","page":"1060-1066","source":"DOI.org (Crossref)","title":"Short- to medium-term results of single-anastomosis duodeno-ileal bypass compared with one-anastomosis gastric bypass for weight recidivism after laparoscopic sleeve gastrectomy","volume":"16","author":[{"family":"De La Cruz","given":"Marlon"},{"family":"Büsing","given":"Martin"},{"family":"Dukovska","given":"Radostina"},{"family":"Torres","given":"Antonio José"},{"family":"Reiser","given":"Markus"}],"issued":{"date-parts":[["2020",8]]}}}],"schema":"https://github.com/citation-style-language/schema/raw/master/csl-citation.json"} </w:instrText>
            </w:r>
            <w:r>
              <w:rPr>
                <w:rFonts w:asciiTheme="majorBidi" w:hAnsiTheme="majorBidi" w:cstheme="majorBidi"/>
                <w:sz w:val="18"/>
                <w:szCs w:val="18"/>
              </w:rPr>
              <w:fldChar w:fldCharType="separate"/>
            </w:r>
            <w:r w:rsidRPr="00E008E7">
              <w:rPr>
                <w:rFonts w:ascii="Times New Roman" w:hAnsi="Times New Roman" w:cs="Times New Roman"/>
                <w:sz w:val="18"/>
              </w:rPr>
              <w:t>[14]</w:t>
            </w:r>
            <w:r>
              <w:rPr>
                <w:rFonts w:asciiTheme="majorBidi" w:hAnsiTheme="majorBidi" w:cstheme="majorBidi"/>
                <w:sz w:val="18"/>
                <w:szCs w:val="18"/>
              </w:rPr>
              <w:fldChar w:fldCharType="end"/>
            </w:r>
          </w:p>
        </w:tc>
        <w:tc>
          <w:tcPr>
            <w:tcW w:w="1234" w:type="dxa"/>
          </w:tcPr>
          <w:p w14:paraId="0A5B134C"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Surgery for Obesity and Related Diseases</w:t>
            </w:r>
          </w:p>
        </w:tc>
        <w:tc>
          <w:tcPr>
            <w:tcW w:w="1028" w:type="dxa"/>
          </w:tcPr>
          <w:p w14:paraId="62FFFF95"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Germany</w:t>
            </w:r>
          </w:p>
        </w:tc>
        <w:tc>
          <w:tcPr>
            <w:tcW w:w="925" w:type="dxa"/>
          </w:tcPr>
          <w:p w14:paraId="11FCE115"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42/42</w:t>
            </w:r>
          </w:p>
        </w:tc>
        <w:tc>
          <w:tcPr>
            <w:tcW w:w="1440" w:type="dxa"/>
          </w:tcPr>
          <w:p w14:paraId="2D538FF6" w14:textId="7CEC295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9C3ACC">
              <w:rPr>
                <w:rFonts w:asciiTheme="majorBidi" w:hAnsiTheme="majorBidi" w:cstheme="majorBidi"/>
                <w:sz w:val="18"/>
                <w:szCs w:val="18"/>
              </w:rPr>
              <w:t>Retrospective study</w:t>
            </w:r>
          </w:p>
        </w:tc>
        <w:tc>
          <w:tcPr>
            <w:tcW w:w="1234" w:type="dxa"/>
          </w:tcPr>
          <w:p w14:paraId="79C6A615"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59(70.2%)</w:t>
            </w:r>
          </w:p>
        </w:tc>
        <w:tc>
          <w:tcPr>
            <w:tcW w:w="1337" w:type="dxa"/>
          </w:tcPr>
          <w:p w14:paraId="54DE6C0A"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45.1±11.1/ 47.2±10.8</w:t>
            </w:r>
          </w:p>
        </w:tc>
        <w:tc>
          <w:tcPr>
            <w:tcW w:w="1440" w:type="dxa"/>
          </w:tcPr>
          <w:p w14:paraId="73E39193"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42.8±7.9/ 43.4±9.2</w:t>
            </w:r>
          </w:p>
        </w:tc>
        <w:tc>
          <w:tcPr>
            <w:tcW w:w="1440" w:type="dxa"/>
          </w:tcPr>
          <w:p w14:paraId="7C549B5A" w14:textId="77777777" w:rsidR="0049582A"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138±40/</w:t>
            </w:r>
          </w:p>
          <w:p w14:paraId="54D8BBB6"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123±39</w:t>
            </w:r>
          </w:p>
        </w:tc>
        <w:tc>
          <w:tcPr>
            <w:tcW w:w="1032" w:type="dxa"/>
          </w:tcPr>
          <w:p w14:paraId="19A6243D" w14:textId="77777777" w:rsidR="0049582A" w:rsidRPr="00C2558B" w:rsidRDefault="0049582A" w:rsidP="00DA65F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36</w:t>
            </w:r>
          </w:p>
        </w:tc>
      </w:tr>
      <w:tr w:rsidR="0049582A" w:rsidRPr="002C4229" w14:paraId="0C6B99D7" w14:textId="77777777" w:rsidTr="00DA65FB">
        <w:trPr>
          <w:trHeight w:val="432"/>
        </w:trPr>
        <w:tc>
          <w:tcPr>
            <w:cnfStyle w:val="001000000000" w:firstRow="0" w:lastRow="0" w:firstColumn="1" w:lastColumn="0" w:oddVBand="0" w:evenVBand="0" w:oddHBand="0" w:evenHBand="0" w:firstRowFirstColumn="0" w:firstRowLastColumn="0" w:lastRowFirstColumn="0" w:lastRowLastColumn="0"/>
            <w:tcW w:w="1130" w:type="dxa"/>
          </w:tcPr>
          <w:p w14:paraId="5A29A52F" w14:textId="77777777" w:rsidR="0049582A" w:rsidRPr="00C2558B" w:rsidRDefault="0049582A" w:rsidP="00DA65FB">
            <w:pPr>
              <w:jc w:val="center"/>
              <w:rPr>
                <w:rFonts w:asciiTheme="majorBidi" w:hAnsiTheme="majorBidi" w:cstheme="majorBidi"/>
                <w:sz w:val="18"/>
                <w:szCs w:val="18"/>
              </w:rPr>
            </w:pPr>
            <w:r w:rsidRPr="00C2558B">
              <w:rPr>
                <w:rFonts w:asciiTheme="majorBidi" w:hAnsiTheme="majorBidi" w:cstheme="majorBidi"/>
                <w:sz w:val="18"/>
                <w:szCs w:val="18"/>
              </w:rPr>
              <w:t>Bashah et al , 2020</w:t>
            </w:r>
            <w:r>
              <w:rPr>
                <w:rFonts w:asciiTheme="majorBidi" w:hAnsiTheme="majorBidi" w:cstheme="majorBidi"/>
                <w:sz w:val="18"/>
                <w:szCs w:val="18"/>
              </w:rPr>
              <w:t xml:space="preserve"> </w:t>
            </w:r>
            <w:r>
              <w:rPr>
                <w:rFonts w:asciiTheme="majorBidi" w:hAnsiTheme="majorBidi" w:cstheme="majorBidi"/>
                <w:sz w:val="18"/>
                <w:szCs w:val="18"/>
              </w:rPr>
              <w:fldChar w:fldCharType="begin"/>
            </w:r>
            <w:r>
              <w:rPr>
                <w:rFonts w:asciiTheme="majorBidi" w:hAnsiTheme="majorBidi" w:cstheme="majorBidi"/>
                <w:sz w:val="18"/>
                <w:szCs w:val="18"/>
              </w:rPr>
              <w:instrText xml:space="preserve"> ADDIN ZOTERO_ITEM CSL_CITATION {"citationID":"z8M4Xhyg","properties":{"formattedCitation":"[15]","plainCitation":"[15]","noteIndex":0},"citationItems":[{"id":7580,"uris":["http://zotero.org/users/local/DHrG6rKT/items/SMDRTX46"],"itemData":{"id":7580,"type":"article-journal","abstract":"Abstract\n            \n              Purpose\n              Many revisional procedures are available for unsuccessful laparoscopic sleeve gastrectomy (LSG) in patients with complications or weight recidivism. Single anastomosis duodeno-ileal bypass (SADI-S) and one anastomosis gastric bypass (OAGB-MGB) are two revisional procedures to address the problem of weight recidivism. We aimed to evaluate the efficacy and outcomes of the 2 revisional approaches (SADI-S vs. OAGB-MGB).\n            \n            \n              Materials and Methods\n              A retrospective analysis of prospectively collected database of patients who underwent SADI-S or OAGB-MGB as a revisional procedure for weight recidivism after primary LSG with a minimum 1-year follow-up. Weight loss, comorbidities, nutritional deficiencies, complications, and outcomes were compared in the 2 procedures.\n            \n            \n              Results\n              \n                Ninety-one patients were included in the study (42 SADI-S and 49 OAGB-MGB). There was a significant weight loss (total weight loss percentage, TWL%) at 1-year follow-up observed for SADI-S when compared to OAGB-MGB (23.7 ± 5.7 vs. 18.7 ± 8.5,\n                p\n                 = 0.02). However, this difference was not statistically significant at 18 months (26.4 ± 7.3 vs. 21.2 ± 11.0,\n                p\n                 = 0.25). Remission of comorbidities (diabetes mellitus and hypertension) was comparable. Although OAGB-MGB had higher complication rate than SADI-S, the difference was not statistically significant (\n                p\n                 = 0.39). No mortality was reported in the study groups.\n              \n            \n            \n              Conclusion\n              Both SADI-S and OAGB-MGB are effective and safe revisional procedures for weight regain after LSG. The short-term outcomes are comparable; however, SADI-S is associated with less upper gastrointestinal complications and could be a better option for patients suffering from GERD post-LSG. Moreover, the underlying bile reflux may get worse with OAGB-MGB. However, further prospective larger studies are needed.","container-title":"Obesity Surgery","DOI":"10.1007/s11695-020-04933-2","ISSN":"0960-8923, 1708-0428","issue":"12","journalAbbreviation":"OBES SURG","language":"en","page":"4715-4723","source":"DOI.org (Crossref)","title":"Single Anastomosis Duodeno-ileostomy (SADI-S) Versus One Anastomosis Gastric Bypass (OAGB-MGB) as Revisional Procedures for Patients with Weight Recidivism After Sleeve Gastrectomy: a Comparative Analysis of Efficacy and Outcomes","title-short":"Single Anastomosis Duodeno-ileostomy (SADI-S) Versus One Anastomosis Gastric Bypass (OAGB-MGB) as Revisional Procedures for Patients with Weight Recidivism After Sleeve Gastrectomy","volume":"30","author":[{"family":"Bashah","given":"Moataz"},{"family":"Aleter","given":"Ammar"},{"family":"Baazaoui","given":"Jawher"},{"family":"El-Menyar","given":"Ayman"},{"family":"Torres","given":"Antonio"},{"family":"Salama","given":"Asaad"}],"issued":{"date-parts":[["2020",12]]}}}],"schema":"https://github.com/citation-style-language/schema/raw/master/csl-citation.json"} </w:instrText>
            </w:r>
            <w:r>
              <w:rPr>
                <w:rFonts w:asciiTheme="majorBidi" w:hAnsiTheme="majorBidi" w:cstheme="majorBidi"/>
                <w:sz w:val="18"/>
                <w:szCs w:val="18"/>
              </w:rPr>
              <w:fldChar w:fldCharType="separate"/>
            </w:r>
            <w:r w:rsidRPr="00E008E7">
              <w:rPr>
                <w:rFonts w:ascii="Times New Roman" w:hAnsi="Times New Roman" w:cs="Times New Roman"/>
                <w:sz w:val="18"/>
              </w:rPr>
              <w:t>[15]</w:t>
            </w:r>
            <w:r>
              <w:rPr>
                <w:rFonts w:asciiTheme="majorBidi" w:hAnsiTheme="majorBidi" w:cstheme="majorBidi"/>
                <w:sz w:val="18"/>
                <w:szCs w:val="18"/>
              </w:rPr>
              <w:fldChar w:fldCharType="end"/>
            </w:r>
          </w:p>
        </w:tc>
        <w:tc>
          <w:tcPr>
            <w:tcW w:w="1234" w:type="dxa"/>
          </w:tcPr>
          <w:p w14:paraId="0AB2E7F9"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Obesity Surgery</w:t>
            </w:r>
          </w:p>
        </w:tc>
        <w:tc>
          <w:tcPr>
            <w:tcW w:w="1028" w:type="dxa"/>
          </w:tcPr>
          <w:p w14:paraId="0C7A0484"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highlight w:val="yellow"/>
              </w:rPr>
            </w:pPr>
            <w:r w:rsidRPr="00C2558B">
              <w:rPr>
                <w:rFonts w:asciiTheme="majorBidi" w:hAnsiTheme="majorBidi" w:cstheme="majorBidi"/>
                <w:sz w:val="18"/>
                <w:szCs w:val="18"/>
              </w:rPr>
              <w:t>Qatar</w:t>
            </w:r>
          </w:p>
        </w:tc>
        <w:tc>
          <w:tcPr>
            <w:tcW w:w="925" w:type="dxa"/>
          </w:tcPr>
          <w:p w14:paraId="400BF340"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42/49</w:t>
            </w:r>
          </w:p>
        </w:tc>
        <w:tc>
          <w:tcPr>
            <w:tcW w:w="1440" w:type="dxa"/>
          </w:tcPr>
          <w:p w14:paraId="257FBA0A"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Retrospective study</w:t>
            </w:r>
          </w:p>
        </w:tc>
        <w:tc>
          <w:tcPr>
            <w:tcW w:w="1234" w:type="dxa"/>
          </w:tcPr>
          <w:p w14:paraId="3010D8AB"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70(77%)</w:t>
            </w:r>
          </w:p>
        </w:tc>
        <w:tc>
          <w:tcPr>
            <w:tcW w:w="1337" w:type="dxa"/>
          </w:tcPr>
          <w:p w14:paraId="1154D318" w14:textId="77777777" w:rsidR="0049582A"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38 ± 9/</w:t>
            </w:r>
          </w:p>
          <w:p w14:paraId="7E32F151"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37.83 ± 9.36</w:t>
            </w:r>
          </w:p>
        </w:tc>
        <w:tc>
          <w:tcPr>
            <w:tcW w:w="1440" w:type="dxa"/>
          </w:tcPr>
          <w:p w14:paraId="0360BA13" w14:textId="77777777" w:rsidR="0049582A"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43.7 ±7.1/</w:t>
            </w:r>
          </w:p>
          <w:p w14:paraId="30CF11F1"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43.6 ± 7.4</w:t>
            </w:r>
          </w:p>
        </w:tc>
        <w:tc>
          <w:tcPr>
            <w:tcW w:w="1440" w:type="dxa"/>
          </w:tcPr>
          <w:p w14:paraId="12F01662"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NA</w:t>
            </w:r>
          </w:p>
        </w:tc>
        <w:tc>
          <w:tcPr>
            <w:tcW w:w="1032" w:type="dxa"/>
          </w:tcPr>
          <w:p w14:paraId="1F975A30" w14:textId="77777777" w:rsidR="0049582A" w:rsidRPr="00C2558B" w:rsidRDefault="0049582A" w:rsidP="00DA65FB">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C2558B">
              <w:rPr>
                <w:rFonts w:asciiTheme="majorBidi" w:hAnsiTheme="majorBidi" w:cstheme="majorBidi"/>
                <w:sz w:val="18"/>
                <w:szCs w:val="18"/>
              </w:rPr>
              <w:t>18</w:t>
            </w:r>
          </w:p>
        </w:tc>
      </w:tr>
      <w:tr w:rsidR="0049582A" w:rsidRPr="002C4229" w14:paraId="52A37934" w14:textId="77777777" w:rsidTr="00DA65F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2240" w:type="dxa"/>
            <w:gridSpan w:val="10"/>
          </w:tcPr>
          <w:tbl>
            <w:tblPr>
              <w:tblpPr w:leftFromText="180" w:rightFromText="180" w:vertAnchor="text" w:horzAnchor="margin" w:tblpXSpec="center" w:tblpY="-323"/>
              <w:tblW w:w="11700" w:type="dxa"/>
              <w:tblLayout w:type="fixed"/>
              <w:tblLook w:val="04A0" w:firstRow="1" w:lastRow="0" w:firstColumn="1" w:lastColumn="0" w:noHBand="0" w:noVBand="1"/>
            </w:tblPr>
            <w:tblGrid>
              <w:gridCol w:w="11700"/>
            </w:tblGrid>
            <w:tr w:rsidR="0049582A" w:rsidRPr="00924606" w14:paraId="7C08EE55" w14:textId="77777777" w:rsidTr="00DA65FB">
              <w:trPr>
                <w:trHeight w:val="530"/>
              </w:trPr>
              <w:tc>
                <w:tcPr>
                  <w:tcW w:w="11700" w:type="dxa"/>
                  <w:tcBorders>
                    <w:top w:val="single" w:sz="4" w:space="0" w:color="7F7F7F"/>
                    <w:left w:val="nil"/>
                    <w:right w:val="nil"/>
                  </w:tcBorders>
                  <w:hideMark/>
                </w:tcPr>
                <w:p w14:paraId="16F97BA4" w14:textId="1157EB11" w:rsidR="0049582A" w:rsidRPr="00924606" w:rsidRDefault="0049582A" w:rsidP="00DA65FB">
                  <w:pPr>
                    <w:spacing w:after="0" w:line="240" w:lineRule="auto"/>
                    <w:jc w:val="center"/>
                    <w:rPr>
                      <w:rFonts w:asciiTheme="majorBidi" w:hAnsiTheme="majorBidi" w:cstheme="majorBidi"/>
                      <w:b/>
                      <w:bCs/>
                      <w:vertAlign w:val="superscript"/>
                    </w:rPr>
                  </w:pPr>
                  <w:r w:rsidRPr="00924606">
                    <w:rPr>
                      <w:rFonts w:asciiTheme="majorBidi" w:hAnsiTheme="majorBidi" w:cstheme="majorBidi"/>
                      <w:b/>
                      <w:bCs/>
                      <w:vertAlign w:val="superscript"/>
                    </w:rPr>
                    <w:t>*: data represented as mean ±</w:t>
                  </w:r>
                  <w:r w:rsidRPr="00464895">
                    <w:rPr>
                      <w:rFonts w:asciiTheme="majorBidi" w:hAnsiTheme="majorBidi" w:cstheme="majorBidi"/>
                      <w:b/>
                      <w:bCs/>
                      <w:vertAlign w:val="superscript"/>
                    </w:rPr>
                    <w:t xml:space="preserve"> SD</w:t>
                  </w:r>
                  <w:r w:rsidRPr="00924606">
                    <w:rPr>
                      <w:rFonts w:asciiTheme="majorBidi" w:hAnsiTheme="majorBidi" w:cstheme="majorBidi"/>
                      <w:b/>
                      <w:bCs/>
                      <w:vertAlign w:val="superscript"/>
                    </w:rPr>
                    <w:t>;</w:t>
                  </w:r>
                  <w:r w:rsidRPr="00464895">
                    <w:rPr>
                      <w:rFonts w:asciiTheme="majorBidi" w:hAnsiTheme="majorBidi" w:cstheme="majorBidi"/>
                      <w:b/>
                      <w:bCs/>
                      <w:vertAlign w:val="superscript"/>
                    </w:rPr>
                    <w:t xml:space="preserve"> </w:t>
                  </w:r>
                  <w:r w:rsidR="002B4349" w:rsidRPr="00464895">
                    <w:rPr>
                      <w:rFonts w:asciiTheme="majorBidi" w:hAnsiTheme="majorBidi" w:cstheme="majorBidi"/>
                      <w:b/>
                      <w:bCs/>
                      <w:vertAlign w:val="superscript"/>
                    </w:rPr>
                    <w:t>n: number</w:t>
                  </w:r>
                  <w:r w:rsidRPr="00464895">
                    <w:rPr>
                      <w:rFonts w:asciiTheme="majorBidi" w:hAnsiTheme="majorBidi" w:cstheme="majorBidi"/>
                      <w:b/>
                      <w:bCs/>
                      <w:vertAlign w:val="superscript"/>
                    </w:rPr>
                    <w:t>,</w:t>
                  </w:r>
                  <w:r w:rsidRPr="00924606">
                    <w:rPr>
                      <w:rFonts w:asciiTheme="majorBidi" w:hAnsiTheme="majorBidi" w:cstheme="majorBidi"/>
                      <w:b/>
                      <w:bCs/>
                      <w:vertAlign w:val="superscript"/>
                    </w:rPr>
                    <w:t xml:space="preserve"> NA: not applicable; min: minute</w:t>
                  </w:r>
                  <w:r w:rsidRPr="00464895">
                    <w:rPr>
                      <w:rFonts w:asciiTheme="majorBidi" w:hAnsiTheme="majorBidi" w:cstheme="majorBidi"/>
                      <w:b/>
                      <w:bCs/>
                      <w:vertAlign w:val="superscript"/>
                    </w:rPr>
                    <w:t>; RCT: randomized controlled trial</w:t>
                  </w:r>
                </w:p>
              </w:tc>
            </w:tr>
          </w:tbl>
          <w:p w14:paraId="7DAC3613" w14:textId="77777777" w:rsidR="0049582A" w:rsidRPr="00C2558B" w:rsidRDefault="0049582A" w:rsidP="00DA65FB">
            <w:pPr>
              <w:jc w:val="center"/>
              <w:rPr>
                <w:rFonts w:asciiTheme="majorBidi" w:hAnsiTheme="majorBidi" w:cstheme="majorBidi"/>
                <w:sz w:val="18"/>
                <w:szCs w:val="18"/>
              </w:rPr>
            </w:pPr>
          </w:p>
        </w:tc>
      </w:tr>
    </w:tbl>
    <w:p w14:paraId="646D94EF" w14:textId="77777777" w:rsidR="0049582A" w:rsidRPr="00464895" w:rsidRDefault="0049582A" w:rsidP="0049582A">
      <w:pPr>
        <w:rPr>
          <w:rFonts w:asciiTheme="majorBidi" w:hAnsiTheme="majorBidi" w:cstheme="majorBidi"/>
          <w:sz w:val="24"/>
          <w:szCs w:val="24"/>
        </w:rPr>
      </w:pPr>
      <w:r w:rsidRPr="00464895">
        <w:rPr>
          <w:rFonts w:asciiTheme="majorBidi" w:hAnsiTheme="majorBidi" w:cstheme="majorBidi"/>
          <w:sz w:val="24"/>
          <w:szCs w:val="24"/>
        </w:rPr>
        <w:t>Table 1: Baseline characteristics of SADI/OAGB.</w:t>
      </w:r>
    </w:p>
    <w:p w14:paraId="5AF774E2" w14:textId="77777777" w:rsidR="0049582A" w:rsidRDefault="0049582A" w:rsidP="0049582A"/>
    <w:p w14:paraId="624BD6B2" w14:textId="77777777" w:rsidR="0049582A" w:rsidRDefault="0049582A" w:rsidP="0049582A"/>
    <w:p w14:paraId="12784747" w14:textId="77777777" w:rsidR="0049582A" w:rsidRDefault="0049582A" w:rsidP="0049582A"/>
    <w:p w14:paraId="2B5335C0" w14:textId="6D1053A8" w:rsidR="0049582A" w:rsidRPr="00BE0D32" w:rsidRDefault="009C3ACC" w:rsidP="0049582A">
      <w:pPr>
        <w:spacing w:line="480" w:lineRule="auto"/>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26663ECE" wp14:editId="7D6E040F">
            <wp:extent cx="6186076" cy="2042160"/>
            <wp:effectExtent l="0" t="0" r="5715" b="0"/>
            <wp:docPr id="1999933269" name="Picture 2"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933269" name="Picture 2"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95246" cy="2045187"/>
                    </a:xfrm>
                    <a:prstGeom prst="rect">
                      <a:avLst/>
                    </a:prstGeom>
                  </pic:spPr>
                </pic:pic>
              </a:graphicData>
            </a:graphic>
          </wp:inline>
        </w:drawing>
      </w:r>
    </w:p>
    <w:p w14:paraId="3241E11D" w14:textId="01B45B34" w:rsidR="0049582A" w:rsidRPr="00BE0D32" w:rsidRDefault="0049582A" w:rsidP="0049582A">
      <w:pPr>
        <w:spacing w:line="480" w:lineRule="auto"/>
        <w:rPr>
          <w:rFonts w:asciiTheme="majorBidi" w:hAnsiTheme="majorBidi" w:cstheme="majorBidi"/>
          <w:sz w:val="24"/>
          <w:szCs w:val="24"/>
        </w:rPr>
      </w:pPr>
      <w:r w:rsidRPr="00BE0D32">
        <w:rPr>
          <w:rFonts w:asciiTheme="majorBidi" w:hAnsiTheme="majorBidi" w:cstheme="majorBidi"/>
          <w:sz w:val="24"/>
          <w:szCs w:val="24"/>
        </w:rPr>
        <w:t>Fig</w:t>
      </w:r>
      <w:r>
        <w:rPr>
          <w:rFonts w:asciiTheme="majorBidi" w:hAnsiTheme="majorBidi" w:cstheme="majorBidi"/>
          <w:sz w:val="24"/>
          <w:szCs w:val="24"/>
        </w:rPr>
        <w:t xml:space="preserve"> </w:t>
      </w:r>
      <w:r w:rsidRPr="00BE0D32">
        <w:rPr>
          <w:rFonts w:asciiTheme="majorBidi" w:hAnsiTheme="majorBidi" w:cstheme="majorBidi"/>
          <w:sz w:val="24"/>
          <w:szCs w:val="24"/>
        </w:rPr>
        <w:t>2</w:t>
      </w:r>
      <w:r>
        <w:rPr>
          <w:rFonts w:asciiTheme="majorBidi" w:hAnsiTheme="majorBidi" w:cstheme="majorBidi"/>
          <w:sz w:val="24"/>
          <w:szCs w:val="24"/>
        </w:rPr>
        <w:t>.</w:t>
      </w:r>
      <w:r w:rsidRPr="00BE0D32">
        <w:rPr>
          <w:rFonts w:asciiTheme="majorBidi" w:hAnsiTheme="majorBidi" w:cstheme="majorBidi"/>
          <w:sz w:val="24"/>
          <w:szCs w:val="24"/>
        </w:rPr>
        <w:t xml:space="preserve"> EWL% in 12 months.</w:t>
      </w:r>
    </w:p>
    <w:p w14:paraId="1077C7F9" w14:textId="712A3121" w:rsidR="0049582A" w:rsidRPr="00BE0D32" w:rsidRDefault="009C3ACC" w:rsidP="0049582A">
      <w:pPr>
        <w:spacing w:line="480" w:lineRule="auto"/>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7AABA27D" wp14:editId="2696ACC0">
            <wp:extent cx="5289398" cy="1798320"/>
            <wp:effectExtent l="0" t="0" r="6985" b="0"/>
            <wp:docPr id="1748263518"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263518" name="Picture 3" descr="A screenshot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96744" cy="1800817"/>
                    </a:xfrm>
                    <a:prstGeom prst="rect">
                      <a:avLst/>
                    </a:prstGeom>
                  </pic:spPr>
                </pic:pic>
              </a:graphicData>
            </a:graphic>
          </wp:inline>
        </w:drawing>
      </w:r>
    </w:p>
    <w:p w14:paraId="5E3F4EA2" w14:textId="3E77D710" w:rsidR="0049582A" w:rsidRPr="00BE0D32" w:rsidRDefault="009C3ACC" w:rsidP="0049582A">
      <w:pPr>
        <w:spacing w:line="480" w:lineRule="auto"/>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66432" behindDoc="0" locked="0" layoutInCell="1" allowOverlap="1" wp14:anchorId="3B31512D" wp14:editId="24E93D99">
            <wp:simplePos x="0" y="0"/>
            <wp:positionH relativeFrom="margin">
              <wp:align>left</wp:align>
            </wp:positionH>
            <wp:positionV relativeFrom="paragraph">
              <wp:posOffset>518160</wp:posOffset>
            </wp:positionV>
            <wp:extent cx="6098583" cy="1499235"/>
            <wp:effectExtent l="0" t="0" r="0" b="5715"/>
            <wp:wrapThrough wrapText="bothSides">
              <wp:wrapPolygon edited="0">
                <wp:start x="0" y="0"/>
                <wp:lineTo x="0" y="21408"/>
                <wp:lineTo x="21524" y="21408"/>
                <wp:lineTo x="21524" y="0"/>
                <wp:lineTo x="0" y="0"/>
              </wp:wrapPolygon>
            </wp:wrapThrough>
            <wp:docPr id="177953202"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53202" name="Picture 4" descr="A screenshot of a graph&#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98583" cy="1499235"/>
                    </a:xfrm>
                    <a:prstGeom prst="rect">
                      <a:avLst/>
                    </a:prstGeom>
                  </pic:spPr>
                </pic:pic>
              </a:graphicData>
            </a:graphic>
            <wp14:sizeRelH relativeFrom="page">
              <wp14:pctWidth>0</wp14:pctWidth>
            </wp14:sizeRelH>
            <wp14:sizeRelV relativeFrom="page">
              <wp14:pctHeight>0</wp14:pctHeight>
            </wp14:sizeRelV>
          </wp:anchor>
        </w:drawing>
      </w:r>
      <w:r w:rsidR="0049582A" w:rsidRPr="00BE0D32">
        <w:rPr>
          <w:rFonts w:asciiTheme="majorBidi" w:hAnsiTheme="majorBidi" w:cstheme="majorBidi"/>
          <w:sz w:val="24"/>
          <w:szCs w:val="24"/>
        </w:rPr>
        <w:t>Fig</w:t>
      </w:r>
      <w:r w:rsidR="0049582A">
        <w:rPr>
          <w:rFonts w:asciiTheme="majorBidi" w:hAnsiTheme="majorBidi" w:cstheme="majorBidi"/>
          <w:sz w:val="24"/>
          <w:szCs w:val="24"/>
        </w:rPr>
        <w:t xml:space="preserve"> </w:t>
      </w:r>
      <w:r w:rsidR="0049582A" w:rsidRPr="00BE0D32">
        <w:rPr>
          <w:rFonts w:asciiTheme="majorBidi" w:hAnsiTheme="majorBidi" w:cstheme="majorBidi"/>
          <w:sz w:val="24"/>
          <w:szCs w:val="24"/>
        </w:rPr>
        <w:t>3</w:t>
      </w:r>
      <w:r w:rsidR="0049582A">
        <w:rPr>
          <w:rFonts w:asciiTheme="majorBidi" w:hAnsiTheme="majorBidi" w:cstheme="majorBidi"/>
          <w:sz w:val="24"/>
          <w:szCs w:val="24"/>
        </w:rPr>
        <w:t>.</w:t>
      </w:r>
      <w:r w:rsidR="0049582A" w:rsidRPr="00BE0D32">
        <w:rPr>
          <w:rFonts w:asciiTheme="majorBidi" w:hAnsiTheme="majorBidi" w:cstheme="majorBidi"/>
          <w:sz w:val="24"/>
          <w:szCs w:val="24"/>
        </w:rPr>
        <w:t xml:space="preserve"> TWL% in 12 months.</w:t>
      </w:r>
    </w:p>
    <w:p w14:paraId="58E03D75" w14:textId="28ED9B9E" w:rsidR="0049582A" w:rsidRPr="00BE0D32" w:rsidRDefault="0049582A" w:rsidP="0049582A">
      <w:pPr>
        <w:spacing w:line="480" w:lineRule="auto"/>
        <w:rPr>
          <w:rFonts w:asciiTheme="majorBidi" w:hAnsiTheme="majorBidi" w:cstheme="majorBidi"/>
          <w:sz w:val="24"/>
          <w:szCs w:val="24"/>
        </w:rPr>
      </w:pPr>
    </w:p>
    <w:p w14:paraId="2DA28B58" w14:textId="77777777" w:rsidR="0049582A" w:rsidRPr="00BE0D32" w:rsidRDefault="0049582A" w:rsidP="0049582A">
      <w:pPr>
        <w:spacing w:line="480" w:lineRule="auto"/>
        <w:rPr>
          <w:rFonts w:asciiTheme="majorBidi" w:hAnsiTheme="majorBidi" w:cstheme="majorBidi"/>
          <w:sz w:val="24"/>
          <w:szCs w:val="24"/>
        </w:rPr>
      </w:pPr>
      <w:r w:rsidRPr="00BE0D32">
        <w:rPr>
          <w:rFonts w:asciiTheme="majorBidi" w:hAnsiTheme="majorBidi" w:cstheme="majorBidi"/>
          <w:sz w:val="24"/>
          <w:szCs w:val="24"/>
        </w:rPr>
        <w:t>Fig 4</w:t>
      </w:r>
      <w:r>
        <w:rPr>
          <w:rFonts w:asciiTheme="majorBidi" w:hAnsiTheme="majorBidi" w:cstheme="majorBidi"/>
          <w:sz w:val="24"/>
          <w:szCs w:val="24"/>
        </w:rPr>
        <w:t>.</w:t>
      </w:r>
      <w:r w:rsidRPr="00BE0D32">
        <w:rPr>
          <w:rFonts w:asciiTheme="majorBidi" w:hAnsiTheme="majorBidi" w:cstheme="majorBidi"/>
          <w:sz w:val="24"/>
          <w:szCs w:val="24"/>
        </w:rPr>
        <w:t xml:space="preserve"> EWL% in 24 months.</w:t>
      </w:r>
    </w:p>
    <w:p w14:paraId="4FC880A4" w14:textId="3E66028F" w:rsidR="0049582A" w:rsidRPr="00BE0D32" w:rsidRDefault="009C3ACC" w:rsidP="0049582A">
      <w:pPr>
        <w:spacing w:line="480" w:lineRule="auto"/>
        <w:rPr>
          <w:rFonts w:asciiTheme="majorBidi" w:hAnsiTheme="majorBidi" w:cstheme="majorBidi"/>
          <w:sz w:val="24"/>
          <w:szCs w:val="24"/>
        </w:rPr>
      </w:pPr>
      <w:r>
        <w:rPr>
          <w:rFonts w:asciiTheme="majorBidi" w:hAnsiTheme="majorBidi" w:cstheme="majorBidi"/>
          <w:noProof/>
          <w:sz w:val="24"/>
          <w:szCs w:val="24"/>
        </w:rPr>
        <w:lastRenderedPageBreak/>
        <w:drawing>
          <wp:inline distT="0" distB="0" distL="0" distR="0" wp14:anchorId="6A7CF772" wp14:editId="472D0E9E">
            <wp:extent cx="5394960" cy="1700836"/>
            <wp:effectExtent l="0" t="0" r="0" b="0"/>
            <wp:docPr id="1112589071" name="Picture 5" descr="A number of numbers and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589071" name="Picture 5" descr="A number of numbers and a number of object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9896" cy="1705545"/>
                    </a:xfrm>
                    <a:prstGeom prst="rect">
                      <a:avLst/>
                    </a:prstGeom>
                  </pic:spPr>
                </pic:pic>
              </a:graphicData>
            </a:graphic>
          </wp:inline>
        </w:drawing>
      </w:r>
    </w:p>
    <w:p w14:paraId="55C0CC8E" w14:textId="46579055" w:rsidR="0049582A" w:rsidRDefault="0049582A" w:rsidP="0049582A">
      <w:pPr>
        <w:spacing w:line="480" w:lineRule="auto"/>
        <w:rPr>
          <w:rFonts w:asciiTheme="majorBidi" w:hAnsiTheme="majorBidi" w:cstheme="majorBidi"/>
          <w:sz w:val="24"/>
          <w:szCs w:val="24"/>
        </w:rPr>
      </w:pPr>
      <w:r w:rsidRPr="00BE0D32">
        <w:rPr>
          <w:rFonts w:asciiTheme="majorBidi" w:hAnsiTheme="majorBidi" w:cstheme="majorBidi"/>
          <w:sz w:val="24"/>
          <w:szCs w:val="24"/>
        </w:rPr>
        <w:t>Fig</w:t>
      </w:r>
      <w:r>
        <w:rPr>
          <w:rFonts w:asciiTheme="majorBidi" w:hAnsiTheme="majorBidi" w:cstheme="majorBidi"/>
          <w:sz w:val="24"/>
          <w:szCs w:val="24"/>
        </w:rPr>
        <w:t xml:space="preserve"> </w:t>
      </w:r>
      <w:r w:rsidRPr="00BE0D32">
        <w:rPr>
          <w:rFonts w:asciiTheme="majorBidi" w:hAnsiTheme="majorBidi" w:cstheme="majorBidi"/>
          <w:sz w:val="24"/>
          <w:szCs w:val="24"/>
        </w:rPr>
        <w:t>5</w:t>
      </w:r>
      <w:r>
        <w:rPr>
          <w:rFonts w:asciiTheme="majorBidi" w:hAnsiTheme="majorBidi" w:cstheme="majorBidi"/>
          <w:sz w:val="24"/>
          <w:szCs w:val="24"/>
        </w:rPr>
        <w:t>.</w:t>
      </w:r>
      <w:r w:rsidRPr="00BE0D32">
        <w:rPr>
          <w:rFonts w:asciiTheme="majorBidi" w:hAnsiTheme="majorBidi" w:cstheme="majorBidi"/>
          <w:sz w:val="24"/>
          <w:szCs w:val="24"/>
        </w:rPr>
        <w:t xml:space="preserve"> TWL% in 24 months.</w:t>
      </w:r>
    </w:p>
    <w:p w14:paraId="1F18798B" w14:textId="0DCE0948" w:rsidR="0049582A" w:rsidRPr="00BE0D32" w:rsidRDefault="009C3ACC" w:rsidP="0049582A">
      <w:pPr>
        <w:spacing w:line="480" w:lineRule="auto"/>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3446BE96" wp14:editId="580EB470">
            <wp:extent cx="5455920" cy="1937617"/>
            <wp:effectExtent l="0" t="0" r="0" b="5715"/>
            <wp:docPr id="2051026031" name="Picture 6"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026031" name="Picture 6" descr="A close-up of a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66537" cy="1941387"/>
                    </a:xfrm>
                    <a:prstGeom prst="rect">
                      <a:avLst/>
                    </a:prstGeom>
                  </pic:spPr>
                </pic:pic>
              </a:graphicData>
            </a:graphic>
          </wp:inline>
        </w:drawing>
      </w:r>
    </w:p>
    <w:p w14:paraId="08FB957A" w14:textId="77777777" w:rsidR="0049582A" w:rsidRPr="00BE0D32" w:rsidRDefault="0049582A" w:rsidP="0049582A">
      <w:pPr>
        <w:spacing w:line="480" w:lineRule="auto"/>
        <w:rPr>
          <w:rFonts w:asciiTheme="majorBidi" w:hAnsiTheme="majorBidi" w:cstheme="majorBidi"/>
          <w:sz w:val="24"/>
          <w:szCs w:val="24"/>
        </w:rPr>
      </w:pPr>
      <w:r w:rsidRPr="00BE0D32">
        <w:rPr>
          <w:rFonts w:asciiTheme="majorBidi" w:hAnsiTheme="majorBidi" w:cstheme="majorBidi"/>
          <w:sz w:val="24"/>
          <w:szCs w:val="24"/>
        </w:rPr>
        <w:t>Fig</w:t>
      </w:r>
      <w:r>
        <w:rPr>
          <w:rFonts w:asciiTheme="majorBidi" w:hAnsiTheme="majorBidi" w:cstheme="majorBidi"/>
          <w:sz w:val="24"/>
          <w:szCs w:val="24"/>
        </w:rPr>
        <w:t xml:space="preserve"> </w:t>
      </w:r>
      <w:r w:rsidRPr="00BE0D32">
        <w:rPr>
          <w:rFonts w:asciiTheme="majorBidi" w:hAnsiTheme="majorBidi" w:cstheme="majorBidi"/>
          <w:sz w:val="24"/>
          <w:szCs w:val="24"/>
        </w:rPr>
        <w:t>6</w:t>
      </w:r>
      <w:r>
        <w:rPr>
          <w:rFonts w:asciiTheme="majorBidi" w:hAnsiTheme="majorBidi" w:cstheme="majorBidi"/>
          <w:sz w:val="24"/>
          <w:szCs w:val="24"/>
        </w:rPr>
        <w:t>.</w:t>
      </w:r>
      <w:r w:rsidRPr="00BE0D32">
        <w:rPr>
          <w:rFonts w:asciiTheme="majorBidi" w:hAnsiTheme="majorBidi" w:cstheme="majorBidi"/>
          <w:sz w:val="24"/>
          <w:szCs w:val="24"/>
        </w:rPr>
        <w:t xml:space="preserve"> Incidence of Bile reflux post-operatively.</w:t>
      </w:r>
    </w:p>
    <w:p w14:paraId="36A223D7" w14:textId="3142EE3A" w:rsidR="0049582A" w:rsidRPr="00BE0D32" w:rsidRDefault="009C3ACC" w:rsidP="0049582A">
      <w:pPr>
        <w:spacing w:line="480" w:lineRule="auto"/>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6FBA03AE" wp14:editId="5AA099B6">
            <wp:extent cx="5852160" cy="1816608"/>
            <wp:effectExtent l="0" t="0" r="0" b="0"/>
            <wp:docPr id="564835684"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835684" name="Picture 7" descr="A screenshot of a comput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52160" cy="1816608"/>
                    </a:xfrm>
                    <a:prstGeom prst="rect">
                      <a:avLst/>
                    </a:prstGeom>
                  </pic:spPr>
                </pic:pic>
              </a:graphicData>
            </a:graphic>
          </wp:inline>
        </w:drawing>
      </w:r>
    </w:p>
    <w:p w14:paraId="0545C3A1" w14:textId="77777777" w:rsidR="0049582A" w:rsidRDefault="0049582A" w:rsidP="0049582A">
      <w:pPr>
        <w:spacing w:line="480" w:lineRule="auto"/>
        <w:rPr>
          <w:rFonts w:asciiTheme="majorBidi" w:hAnsiTheme="majorBidi" w:cstheme="majorBidi"/>
          <w:sz w:val="24"/>
          <w:szCs w:val="24"/>
        </w:rPr>
      </w:pPr>
      <w:r w:rsidRPr="00BE0D32">
        <w:rPr>
          <w:rFonts w:asciiTheme="majorBidi" w:hAnsiTheme="majorBidi" w:cstheme="majorBidi"/>
          <w:sz w:val="24"/>
          <w:szCs w:val="24"/>
        </w:rPr>
        <w:t>Fig</w:t>
      </w:r>
      <w:r>
        <w:rPr>
          <w:rFonts w:asciiTheme="majorBidi" w:hAnsiTheme="majorBidi" w:cstheme="majorBidi"/>
          <w:sz w:val="24"/>
          <w:szCs w:val="24"/>
        </w:rPr>
        <w:t xml:space="preserve"> </w:t>
      </w:r>
      <w:r w:rsidRPr="00BE0D32">
        <w:rPr>
          <w:rFonts w:asciiTheme="majorBidi" w:hAnsiTheme="majorBidi" w:cstheme="majorBidi"/>
          <w:sz w:val="24"/>
          <w:szCs w:val="24"/>
        </w:rPr>
        <w:t>7</w:t>
      </w:r>
      <w:r>
        <w:rPr>
          <w:rFonts w:asciiTheme="majorBidi" w:hAnsiTheme="majorBidi" w:cstheme="majorBidi"/>
          <w:sz w:val="24"/>
          <w:szCs w:val="24"/>
        </w:rPr>
        <w:t>.</w:t>
      </w:r>
      <w:r w:rsidRPr="00BE0D32">
        <w:rPr>
          <w:rFonts w:asciiTheme="majorBidi" w:hAnsiTheme="majorBidi" w:cstheme="majorBidi"/>
          <w:sz w:val="24"/>
          <w:szCs w:val="24"/>
        </w:rPr>
        <w:t xml:space="preserve"> Incidence of anastomotic ulcers post-operatively. </w:t>
      </w:r>
    </w:p>
    <w:p w14:paraId="474C755A" w14:textId="77777777" w:rsidR="0049582A" w:rsidRPr="00BE0D32" w:rsidRDefault="0049582A" w:rsidP="0049582A">
      <w:pPr>
        <w:spacing w:line="480" w:lineRule="auto"/>
        <w:rPr>
          <w:rFonts w:asciiTheme="majorBidi" w:hAnsiTheme="majorBidi" w:cstheme="majorBidi"/>
          <w:sz w:val="24"/>
          <w:szCs w:val="24"/>
        </w:rPr>
      </w:pPr>
    </w:p>
    <w:p w14:paraId="5B3EE518" w14:textId="77777777" w:rsidR="0049582A" w:rsidRPr="00BE0D32" w:rsidRDefault="0049582A" w:rsidP="0049582A">
      <w:pPr>
        <w:spacing w:line="480" w:lineRule="auto"/>
        <w:rPr>
          <w:rFonts w:asciiTheme="majorBidi" w:hAnsiTheme="majorBidi" w:cstheme="majorBidi"/>
          <w:sz w:val="24"/>
          <w:szCs w:val="24"/>
        </w:rPr>
      </w:pPr>
    </w:p>
    <w:p w14:paraId="16E7BD09" w14:textId="2A2E052F" w:rsidR="0049582A" w:rsidRPr="00BE0D32" w:rsidRDefault="009C3ACC" w:rsidP="0049582A">
      <w:pPr>
        <w:spacing w:line="480" w:lineRule="auto"/>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428999D1" wp14:editId="12DD9B6F">
            <wp:extent cx="5943600" cy="2105660"/>
            <wp:effectExtent l="0" t="0" r="0" b="8890"/>
            <wp:docPr id="1851413790" name="Picture 8" descr="A screenshot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413790" name="Picture 8" descr="A screenshot of a tes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105660"/>
                    </a:xfrm>
                    <a:prstGeom prst="rect">
                      <a:avLst/>
                    </a:prstGeom>
                  </pic:spPr>
                </pic:pic>
              </a:graphicData>
            </a:graphic>
          </wp:inline>
        </w:drawing>
      </w:r>
    </w:p>
    <w:p w14:paraId="534BCAA6" w14:textId="618A5573" w:rsidR="0049582A" w:rsidRPr="00BE0D32" w:rsidRDefault="0049582A" w:rsidP="0049582A">
      <w:pPr>
        <w:spacing w:line="480" w:lineRule="auto"/>
        <w:rPr>
          <w:rFonts w:asciiTheme="majorBidi" w:hAnsiTheme="majorBidi" w:cstheme="majorBidi"/>
          <w:sz w:val="24"/>
          <w:szCs w:val="24"/>
        </w:rPr>
      </w:pPr>
      <w:r>
        <w:rPr>
          <w:rFonts w:asciiTheme="majorBidi" w:hAnsiTheme="majorBidi" w:cstheme="majorBidi"/>
          <w:sz w:val="24"/>
          <w:szCs w:val="24"/>
        </w:rPr>
        <w:t>Fig 8. RoB2 risk of bias assessment tool of the included RCT.</w:t>
      </w:r>
    </w:p>
    <w:p w14:paraId="1DAA2DFB" w14:textId="77777777" w:rsidR="0049582A" w:rsidRPr="00BE0D32" w:rsidRDefault="0049582A" w:rsidP="0049582A">
      <w:pPr>
        <w:spacing w:line="480" w:lineRule="auto"/>
        <w:rPr>
          <w:rFonts w:asciiTheme="majorBidi" w:hAnsiTheme="majorBidi" w:cstheme="majorBidi"/>
          <w:sz w:val="24"/>
          <w:szCs w:val="24"/>
        </w:rPr>
      </w:pPr>
    </w:p>
    <w:p w14:paraId="24B2AA56" w14:textId="0E26E0CA" w:rsidR="0049582A" w:rsidRPr="00BE0D32" w:rsidRDefault="009C3ACC" w:rsidP="0049582A">
      <w:pPr>
        <w:spacing w:line="480" w:lineRule="auto"/>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048A6D9E" wp14:editId="7E11FB2B">
            <wp:extent cx="5943600" cy="3298190"/>
            <wp:effectExtent l="0" t="0" r="0" b="0"/>
            <wp:docPr id="1286659805" name="Picture 9"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659805" name="Picture 9" descr="A screenshot of a computer scree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298190"/>
                    </a:xfrm>
                    <a:prstGeom prst="rect">
                      <a:avLst/>
                    </a:prstGeom>
                  </pic:spPr>
                </pic:pic>
              </a:graphicData>
            </a:graphic>
          </wp:inline>
        </w:drawing>
      </w:r>
    </w:p>
    <w:p w14:paraId="753D68E6" w14:textId="06828400" w:rsidR="0049582A" w:rsidRPr="00BE0D32" w:rsidRDefault="0049582A" w:rsidP="0049582A">
      <w:pPr>
        <w:spacing w:line="480" w:lineRule="auto"/>
        <w:rPr>
          <w:rFonts w:asciiTheme="majorBidi" w:hAnsiTheme="majorBidi" w:cstheme="majorBidi"/>
          <w:sz w:val="24"/>
          <w:szCs w:val="24"/>
        </w:rPr>
      </w:pPr>
      <w:r>
        <w:rPr>
          <w:rFonts w:asciiTheme="majorBidi" w:hAnsiTheme="majorBidi" w:cstheme="majorBidi"/>
          <w:sz w:val="24"/>
          <w:szCs w:val="24"/>
        </w:rPr>
        <w:t>Fig 9</w:t>
      </w:r>
      <w:r w:rsidR="001D75D9">
        <w:rPr>
          <w:rFonts w:asciiTheme="majorBidi" w:hAnsiTheme="majorBidi" w:cstheme="majorBidi"/>
          <w:sz w:val="24"/>
          <w:szCs w:val="24"/>
        </w:rPr>
        <w:t>.</w:t>
      </w:r>
      <w:r>
        <w:rPr>
          <w:rFonts w:asciiTheme="majorBidi" w:hAnsiTheme="majorBidi" w:cstheme="majorBidi"/>
          <w:sz w:val="24"/>
          <w:szCs w:val="24"/>
        </w:rPr>
        <w:t xml:space="preserve"> ROBINS-I risk of bias assessment tool of the included observational studies.</w:t>
      </w:r>
    </w:p>
    <w:p w14:paraId="05C99703" w14:textId="4CC49384" w:rsidR="00093C8E" w:rsidRDefault="00093C8E" w:rsidP="0049582A"/>
    <w:sectPr w:rsidR="00093C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D31"/>
    <w:rsid w:val="00093C8E"/>
    <w:rsid w:val="001D75D9"/>
    <w:rsid w:val="002B4349"/>
    <w:rsid w:val="0049582A"/>
    <w:rsid w:val="00931322"/>
    <w:rsid w:val="00995096"/>
    <w:rsid w:val="009C3ACC"/>
    <w:rsid w:val="00B26D31"/>
    <w:rsid w:val="00E2699B"/>
    <w:rsid w:val="00F327E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C9A37"/>
  <w15:chartTrackingRefBased/>
  <w15:docId w15:val="{F6EED898-4F3F-46C2-B5CA-BE507AEC1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82A"/>
  </w:style>
  <w:style w:type="paragraph" w:styleId="Heading1">
    <w:name w:val="heading 1"/>
    <w:basedOn w:val="Normal"/>
    <w:next w:val="Normal"/>
    <w:link w:val="Heading1Char"/>
    <w:uiPriority w:val="9"/>
    <w:qFormat/>
    <w:rsid w:val="00B26D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6D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6D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6D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6D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6D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6D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6D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6D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6D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6D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6D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6D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6D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6D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6D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6D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6D31"/>
    <w:rPr>
      <w:rFonts w:eastAsiaTheme="majorEastAsia" w:cstheme="majorBidi"/>
      <w:color w:val="272727" w:themeColor="text1" w:themeTint="D8"/>
    </w:rPr>
  </w:style>
  <w:style w:type="paragraph" w:styleId="Title">
    <w:name w:val="Title"/>
    <w:basedOn w:val="Normal"/>
    <w:next w:val="Normal"/>
    <w:link w:val="TitleChar"/>
    <w:uiPriority w:val="10"/>
    <w:qFormat/>
    <w:rsid w:val="00B26D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6D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6D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6D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6D31"/>
    <w:pPr>
      <w:spacing w:before="160"/>
      <w:jc w:val="center"/>
    </w:pPr>
    <w:rPr>
      <w:i/>
      <w:iCs/>
      <w:color w:val="404040" w:themeColor="text1" w:themeTint="BF"/>
    </w:rPr>
  </w:style>
  <w:style w:type="character" w:customStyle="1" w:styleId="QuoteChar">
    <w:name w:val="Quote Char"/>
    <w:basedOn w:val="DefaultParagraphFont"/>
    <w:link w:val="Quote"/>
    <w:uiPriority w:val="29"/>
    <w:rsid w:val="00B26D31"/>
    <w:rPr>
      <w:i/>
      <w:iCs/>
      <w:color w:val="404040" w:themeColor="text1" w:themeTint="BF"/>
    </w:rPr>
  </w:style>
  <w:style w:type="paragraph" w:styleId="ListParagraph">
    <w:name w:val="List Paragraph"/>
    <w:basedOn w:val="Normal"/>
    <w:uiPriority w:val="34"/>
    <w:qFormat/>
    <w:rsid w:val="00B26D31"/>
    <w:pPr>
      <w:ind w:left="720"/>
      <w:contextualSpacing/>
    </w:pPr>
  </w:style>
  <w:style w:type="character" w:styleId="IntenseEmphasis">
    <w:name w:val="Intense Emphasis"/>
    <w:basedOn w:val="DefaultParagraphFont"/>
    <w:uiPriority w:val="21"/>
    <w:qFormat/>
    <w:rsid w:val="00B26D31"/>
    <w:rPr>
      <w:i/>
      <w:iCs/>
      <w:color w:val="0F4761" w:themeColor="accent1" w:themeShade="BF"/>
    </w:rPr>
  </w:style>
  <w:style w:type="paragraph" w:styleId="IntenseQuote">
    <w:name w:val="Intense Quote"/>
    <w:basedOn w:val="Normal"/>
    <w:next w:val="Normal"/>
    <w:link w:val="IntenseQuoteChar"/>
    <w:uiPriority w:val="30"/>
    <w:qFormat/>
    <w:rsid w:val="00B26D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6D31"/>
    <w:rPr>
      <w:i/>
      <w:iCs/>
      <w:color w:val="0F4761" w:themeColor="accent1" w:themeShade="BF"/>
    </w:rPr>
  </w:style>
  <w:style w:type="character" w:styleId="IntenseReference">
    <w:name w:val="Intense Reference"/>
    <w:basedOn w:val="DefaultParagraphFont"/>
    <w:uiPriority w:val="32"/>
    <w:qFormat/>
    <w:rsid w:val="00B26D31"/>
    <w:rPr>
      <w:b/>
      <w:bCs/>
      <w:smallCaps/>
      <w:color w:val="0F4761" w:themeColor="accent1" w:themeShade="BF"/>
      <w:spacing w:val="5"/>
    </w:rPr>
  </w:style>
  <w:style w:type="table" w:styleId="PlainTable4">
    <w:name w:val="Plain Table 4"/>
    <w:basedOn w:val="TableNormal"/>
    <w:uiPriority w:val="44"/>
    <w:rsid w:val="0049582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11" Type="http://schemas.openxmlformats.org/officeDocument/2006/relationships/image" Target="media/image8.tiff"/><Relationship Id="rId5" Type="http://schemas.openxmlformats.org/officeDocument/2006/relationships/image" Target="media/image2.tif"/><Relationship Id="rId10" Type="http://schemas.openxmlformats.org/officeDocument/2006/relationships/image" Target="media/image7.tiff"/><Relationship Id="rId4" Type="http://schemas.openxmlformats.org/officeDocument/2006/relationships/image" Target="media/image1.tif"/><Relationship Id="rId9" Type="http://schemas.openxmlformats.org/officeDocument/2006/relationships/image" Target="media/image6.ti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1594</Words>
  <Characters>9092</Characters>
  <Application>Microsoft Office Word</Application>
  <DocSecurity>0</DocSecurity>
  <Lines>75</Lines>
  <Paragraphs>21</Paragraphs>
  <ScaleCrop>false</ScaleCrop>
  <Company/>
  <LinksUpToDate>false</LinksUpToDate>
  <CharactersWithSpaces>10665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Yusuf Ali Ahmed</dc:creator>
  <cp:keywords/>
  <dc:description/>
  <cp:lastModifiedBy>Yusuf Ali Ahmed</cp:lastModifiedBy>
  <cp:revision>5</cp:revision>
  <dcterms:created xsi:type="dcterms:W3CDTF">2024-07-28T22:30:00Z</dcterms:created>
  <dcterms:modified xsi:type="dcterms:W3CDTF">2024-08-08T13:10:00Z</dcterms:modified>
</cp:coreProperties>
</file>