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90E01" w:rsidRDefault="00F90E01" w:rsidP="00F90E01">
      <w:pPr>
        <w:widowControl/>
        <w:spacing w:line="360" w:lineRule="auto"/>
        <w:jc w:val="both"/>
        <w:rPr>
          <w:rFonts w:ascii="Times New Roman" w:eastAsia="新細明體" w:hAnsi="Times New Roman" w:cs="Times New Roman"/>
          <w:b/>
          <w:bCs/>
          <w:kern w:val="0"/>
          <w:lang w:eastAsia="en-US"/>
        </w:rPr>
      </w:pPr>
      <w:r w:rsidRPr="00F90E01">
        <w:rPr>
          <w:rFonts w:ascii="Times New Roman" w:eastAsia="新細明體" w:hAnsi="Times New Roman" w:cs="Times New Roman"/>
          <w:b/>
          <w:bCs/>
          <w:kern w:val="0"/>
          <w:lang w:eastAsia="en-US"/>
        </w:rPr>
        <w:t>Dysregulation of Decidual NK Cell Proliferation by Impaired Decidual Cells: A Potential Contributor to Excessive Trophoblast Invasion in Placenta Accreta Spectrum</w:t>
      </w:r>
    </w:p>
    <w:p w:rsidR="00F90E01" w:rsidRPr="00F90E01" w:rsidRDefault="00F90E01" w:rsidP="00F90E01">
      <w:pPr>
        <w:widowControl/>
        <w:spacing w:line="360" w:lineRule="auto"/>
        <w:jc w:val="both"/>
        <w:rPr>
          <w:rFonts w:ascii="Times New Roman" w:eastAsia="新細明體" w:hAnsi="Times New Roman" w:cs="Times New Roman"/>
          <w:b/>
          <w:bCs/>
          <w:kern w:val="0"/>
          <w:lang w:eastAsia="en-US"/>
        </w:rPr>
      </w:pP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F63AED">
        <w:rPr>
          <w:rFonts w:ascii="Times New Roman" w:hAnsi="Times New Roman" w:cs="Times New Roman"/>
          <w:b/>
        </w:rPr>
        <w:t>Authors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</w:rPr>
        <w:t>You-Zhen Liu</w:t>
      </w:r>
      <w:r w:rsidRPr="00F63AED">
        <w:rPr>
          <w:rFonts w:ascii="Times New Roman" w:hAnsi="Times New Roman" w:cs="Times New Roman"/>
          <w:vertAlign w:val="superscript"/>
        </w:rPr>
        <w:t>1†</w:t>
      </w:r>
      <w:r w:rsidRPr="00F63AED">
        <w:rPr>
          <w:rFonts w:ascii="Times New Roman" w:hAnsi="Times New Roman" w:cs="Times New Roman"/>
        </w:rPr>
        <w:t>, Jin-Chung Shih</w:t>
      </w:r>
      <w:r w:rsidRPr="00F63AED">
        <w:rPr>
          <w:rFonts w:ascii="Times New Roman" w:hAnsi="Times New Roman" w:cs="Times New Roman"/>
          <w:vertAlign w:val="superscript"/>
        </w:rPr>
        <w:t>2†</w:t>
      </w:r>
      <w:r w:rsidRPr="00F63AED">
        <w:rPr>
          <w:rFonts w:ascii="Times New Roman" w:hAnsi="Times New Roman" w:cs="Times New Roman"/>
        </w:rPr>
        <w:t>, Meng-Shiue Wu</w:t>
      </w:r>
      <w:r w:rsidRPr="00F63AED">
        <w:rPr>
          <w:rFonts w:ascii="Times New Roman" w:hAnsi="Times New Roman" w:cs="Times New Roman"/>
          <w:vertAlign w:val="superscript"/>
        </w:rPr>
        <w:t>3</w:t>
      </w:r>
      <w:r w:rsidRPr="00F63AED">
        <w:rPr>
          <w:rFonts w:ascii="Times New Roman" w:hAnsi="Times New Roman" w:cs="Times New Roman"/>
        </w:rPr>
        <w:t>, Thai-Yen Ling</w:t>
      </w:r>
      <w:r w:rsidRPr="00F63AED">
        <w:rPr>
          <w:rFonts w:ascii="Times New Roman" w:hAnsi="Times New Roman" w:cs="Times New Roman"/>
          <w:vertAlign w:val="superscript"/>
        </w:rPr>
        <w:t>1*</w:t>
      </w:r>
      <w:r w:rsidRPr="00F63AED">
        <w:rPr>
          <w:rFonts w:ascii="Times New Roman" w:hAnsi="Times New Roman" w:cs="Times New Roman"/>
        </w:rPr>
        <w:t>, Hsin-Hung Lin</w:t>
      </w:r>
      <w:r w:rsidRPr="00F63AED">
        <w:rPr>
          <w:rFonts w:ascii="Times New Roman" w:hAnsi="Times New Roman" w:cs="Times New Roman"/>
          <w:vertAlign w:val="superscript"/>
        </w:rPr>
        <w:t>1,3,4,5*</w:t>
      </w:r>
      <w:r w:rsidRPr="00F63AED">
        <w:rPr>
          <w:rFonts w:ascii="Times New Roman" w:hAnsi="Times New Roman" w:cs="Times New Roman"/>
        </w:rPr>
        <w:t xml:space="preserve"> 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F63AED">
        <w:rPr>
          <w:rFonts w:ascii="Times New Roman" w:hAnsi="Times New Roman" w:cs="Times New Roman"/>
          <w:b/>
        </w:rPr>
        <w:t>Institutions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  <w:vertAlign w:val="superscript"/>
        </w:rPr>
        <w:t>1</w:t>
      </w:r>
      <w:r w:rsidRPr="00F63AED">
        <w:rPr>
          <w:rFonts w:ascii="Times New Roman" w:hAnsi="Times New Roman" w:cs="Times New Roman"/>
        </w:rPr>
        <w:t>Graduate Institute of Pharmacology, National Taiwan University College of Medicine, Taiwan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  <w:vertAlign w:val="superscript"/>
        </w:rPr>
        <w:t>2</w:t>
      </w:r>
      <w:r w:rsidRPr="00F63AED">
        <w:rPr>
          <w:rFonts w:ascii="Times New Roman" w:hAnsi="Times New Roman" w:cs="Times New Roman"/>
        </w:rPr>
        <w:t>Department of Obstetrics and Gynecology, National Taiwan University Hospital, Taipei, Taiwan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63AED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3</w:t>
      </w:r>
      <w:r w:rsidRPr="00F63AED">
        <w:rPr>
          <w:rFonts w:ascii="Times New Roman" w:hAnsi="Times New Roman" w:cs="Times New Roman"/>
          <w:color w:val="000000" w:themeColor="text1"/>
          <w:shd w:val="clear" w:color="auto" w:fill="FFFFFF"/>
        </w:rPr>
        <w:t>VitaSpring Biomedical Co. Ltd., USA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vertAlign w:val="superscript"/>
        </w:rPr>
      </w:pPr>
      <w:r w:rsidRPr="00F63AED">
        <w:rPr>
          <w:rFonts w:ascii="Times New Roman" w:hAnsi="Times New Roman" w:cs="Times New Roman"/>
          <w:color w:val="000000" w:themeColor="text1"/>
          <w:vertAlign w:val="superscript"/>
        </w:rPr>
        <w:t>4</w:t>
      </w:r>
      <w:r w:rsidRPr="00F63AED">
        <w:rPr>
          <w:rFonts w:ascii="Times New Roman" w:hAnsi="Times New Roman" w:cs="Times New Roman"/>
          <w:color w:val="000000" w:themeColor="text1"/>
        </w:rPr>
        <w:t>MediDiamond Inc., Taiwan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63AED">
        <w:rPr>
          <w:rFonts w:ascii="Times New Roman" w:hAnsi="Times New Roman" w:cs="Times New Roman"/>
          <w:color w:val="000000" w:themeColor="text1"/>
          <w:vertAlign w:val="superscript"/>
        </w:rPr>
        <w:t>5</w:t>
      </w:r>
      <w:r w:rsidRPr="00F63AED">
        <w:rPr>
          <w:rFonts w:ascii="Times New Roman" w:hAnsi="Times New Roman" w:cs="Times New Roman"/>
          <w:color w:val="000000" w:themeColor="text1"/>
        </w:rPr>
        <w:t>LuminX Biotech Co. Ltd., Taiwan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  <w:b/>
        </w:rPr>
        <w:t>Corresponding Author:</w:t>
      </w:r>
      <w:r w:rsidRPr="00F63AED">
        <w:rPr>
          <w:rFonts w:ascii="Times New Roman" w:hAnsi="Times New Roman" w:cs="Times New Roman"/>
        </w:rPr>
        <w:t xml:space="preserve"> 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  <w:vertAlign w:val="superscript"/>
        </w:rPr>
        <w:t xml:space="preserve">† </w:t>
      </w:r>
      <w:r w:rsidRPr="00F63AED">
        <w:rPr>
          <w:rFonts w:ascii="Times New Roman" w:hAnsi="Times New Roman" w:cs="Times New Roman"/>
        </w:rPr>
        <w:t>These authors contributed equally to this work.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</w:rPr>
        <w:t>*</w:t>
      </w:r>
      <w:r w:rsidRPr="00F63AED">
        <w:rPr>
          <w:rFonts w:ascii="Times New Roman" w:hAnsi="Times New Roman" w:cs="Times New Roman"/>
          <w:color w:val="000000"/>
        </w:rPr>
        <w:t xml:space="preserve"> </w:t>
      </w:r>
      <w:r w:rsidRPr="00F63AED">
        <w:rPr>
          <w:rFonts w:ascii="Times New Roman" w:hAnsi="Times New Roman" w:cs="Times New Roman"/>
        </w:rPr>
        <w:t>Corresponding author: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</w:rPr>
        <w:t>Thai-Yen Ling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</w:rPr>
      </w:pPr>
      <w:r w:rsidRPr="00F63AED">
        <w:rPr>
          <w:rFonts w:ascii="Times New Roman" w:hAnsi="Times New Roman" w:cs="Times New Roman"/>
        </w:rPr>
        <w:t>Associate Professor &amp; Director, Institute of Pharmacology, College of Medicine, National Taiwan University, Taiwan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F63AED">
        <w:rPr>
          <w:rFonts w:ascii="Times New Roman" w:hAnsi="Times New Roman" w:cs="Times New Roman"/>
        </w:rPr>
        <w:t xml:space="preserve">Tel: 886-2-23123456 ext. 288322; Email: </w:t>
      </w:r>
      <w:hyperlink r:id="rId6" w:history="1">
        <w:r w:rsidRPr="00F63AED">
          <w:rPr>
            <w:rStyle w:val="a5"/>
            <w:rFonts w:ascii="Times New Roman" w:hAnsi="Times New Roman" w:cs="Times New Roman"/>
            <w:bCs/>
          </w:rPr>
          <w:t>tyling@ntu.edu.tw</w:t>
        </w:r>
      </w:hyperlink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F63AED">
        <w:rPr>
          <w:rFonts w:ascii="Times New Roman" w:hAnsi="Times New Roman" w:cs="Times New Roman"/>
          <w:bCs/>
        </w:rPr>
        <w:t>Hsin-Hung Lin</w:t>
      </w:r>
    </w:p>
    <w:p w:rsidR="00F63AED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F63AED">
        <w:rPr>
          <w:rFonts w:ascii="Times New Roman" w:hAnsi="Times New Roman" w:cs="Times New Roman"/>
          <w:bCs/>
        </w:rPr>
        <w:t xml:space="preserve">Chief </w:t>
      </w:r>
      <w:r w:rsidR="00830035">
        <w:rPr>
          <w:rFonts w:ascii="Times New Roman" w:hAnsi="Times New Roman" w:cs="Times New Roman"/>
          <w:bCs/>
        </w:rPr>
        <w:t>T</w:t>
      </w:r>
      <w:r w:rsidRPr="00F63AED">
        <w:rPr>
          <w:rFonts w:ascii="Times New Roman" w:hAnsi="Times New Roman" w:cs="Times New Roman"/>
          <w:bCs/>
        </w:rPr>
        <w:t xml:space="preserve">echnology </w:t>
      </w:r>
      <w:r w:rsidR="00830035">
        <w:rPr>
          <w:rFonts w:ascii="Times New Roman" w:hAnsi="Times New Roman" w:cs="Times New Roman"/>
          <w:bCs/>
        </w:rPr>
        <w:t>O</w:t>
      </w:r>
      <w:r w:rsidRPr="00F63AED">
        <w:rPr>
          <w:rFonts w:ascii="Times New Roman" w:hAnsi="Times New Roman" w:cs="Times New Roman"/>
          <w:bCs/>
        </w:rPr>
        <w:t>fficer, MediDiamond Inc.</w:t>
      </w:r>
      <w:r>
        <w:rPr>
          <w:rFonts w:ascii="Times New Roman" w:hAnsi="Times New Roman" w:cs="Times New Roman"/>
          <w:bCs/>
        </w:rPr>
        <w:t>, Taiwan</w:t>
      </w:r>
    </w:p>
    <w:p w:rsidR="00F90E01" w:rsidRPr="00F63AED" w:rsidRDefault="00F63AED" w:rsidP="00F63AED">
      <w:pPr>
        <w:spacing w:line="360" w:lineRule="auto"/>
        <w:jc w:val="both"/>
        <w:rPr>
          <w:rFonts w:ascii="Times New Roman" w:hAnsi="Times New Roman" w:cs="Times New Roman"/>
          <w:bCs/>
        </w:rPr>
        <w:sectPr w:rsidR="00F90E01" w:rsidRPr="00F63AED" w:rsidSect="002D109F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 w:rsidRPr="00F63AED">
        <w:rPr>
          <w:rFonts w:ascii="Times New Roman" w:hAnsi="Times New Roman" w:cs="Times New Roman"/>
          <w:bCs/>
        </w:rPr>
        <w:t>Tel: 886-2-26558597</w:t>
      </w:r>
      <w:r w:rsidRPr="00F63AED">
        <w:rPr>
          <w:rFonts w:ascii="Times New Roman" w:hAnsi="Times New Roman" w:cs="Times New Roman"/>
        </w:rPr>
        <w:t>; Email: HHLin@medidiamondinc.com</w:t>
      </w:r>
    </w:p>
    <w:p w:rsidR="00A143AD" w:rsidRPr="00A143AD" w:rsidRDefault="00A143AD" w:rsidP="00A143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43AD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figure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</w:p>
    <w:p w:rsidR="00A143AD" w:rsidRDefault="00A143AD" w:rsidP="00A143AD">
      <w:pPr>
        <w:jc w:val="center"/>
      </w:pPr>
      <w:r w:rsidRPr="00A143AD">
        <w:rPr>
          <w:noProof/>
        </w:rPr>
        <w:drawing>
          <wp:inline distT="0" distB="0" distL="0" distR="0" wp14:anchorId="6AD5F53A" wp14:editId="2D2D9833">
            <wp:extent cx="6635020" cy="4178778"/>
            <wp:effectExtent l="0" t="0" r="0" b="0"/>
            <wp:docPr id="6" name="圖片 5">
              <a:extLst xmlns:a="http://schemas.openxmlformats.org/drawingml/2006/main">
                <a:ext uri="{FF2B5EF4-FFF2-40B4-BE49-F238E27FC236}">
                  <a16:creationId xmlns:a16="http://schemas.microsoft.com/office/drawing/2014/main" id="{1CC9713D-D991-B8BB-0D2B-33F2C5CE3A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5">
                      <a:extLst>
                        <a:ext uri="{FF2B5EF4-FFF2-40B4-BE49-F238E27FC236}">
                          <a16:creationId xmlns:a16="http://schemas.microsoft.com/office/drawing/2014/main" id="{1CC9713D-D991-B8BB-0D2B-33F2C5CE3A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8" t="2215" r="852" b="1050"/>
                    <a:stretch/>
                  </pic:blipFill>
                  <pic:spPr bwMode="auto">
                    <a:xfrm>
                      <a:off x="0" y="0"/>
                      <a:ext cx="6643701" cy="4184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F5D" w:rsidRDefault="00A143AD" w:rsidP="00C44F5D">
      <w:pPr>
        <w:pStyle w:val="Web"/>
        <w:spacing w:before="0" w:beforeAutospacing="0" w:after="0" w:afterAutospacing="0" w:line="360" w:lineRule="auto"/>
        <w:jc w:val="both"/>
        <w:textAlignment w:val="baseline"/>
        <w:rPr>
          <w:rFonts w:eastAsia="+mn-ea"/>
          <w:b/>
          <w:bCs/>
          <w:color w:val="000000" w:themeColor="text1"/>
        </w:rPr>
      </w:pPr>
      <w:r w:rsidRPr="00A143AD">
        <w:rPr>
          <w:rFonts w:eastAsia="+mn-ea"/>
          <w:b/>
          <w:bCs/>
        </w:rPr>
        <w:t xml:space="preserve">Supplementary Figure 1 </w:t>
      </w:r>
      <w:r w:rsidRPr="00A143AD">
        <w:rPr>
          <w:b/>
        </w:rPr>
        <w:sym w:font="Symbol" w:char="F0BD"/>
      </w:r>
      <w:r w:rsidRPr="00A143AD">
        <w:rPr>
          <w:rFonts w:eastAsia="+mn-ea"/>
          <w:b/>
          <w:bCs/>
        </w:rPr>
        <w:t xml:space="preserve"> </w:t>
      </w:r>
      <w:r w:rsidRPr="00A143AD">
        <w:rPr>
          <w:rFonts w:eastAsia="+mn-ea"/>
          <w:b/>
          <w:bCs/>
          <w:color w:val="000000" w:themeColor="text1"/>
        </w:rPr>
        <w:t xml:space="preserve">Characterization of </w:t>
      </w:r>
      <w:r w:rsidR="00AE0AC2">
        <w:rPr>
          <w:rFonts w:eastAsia="+mn-ea"/>
          <w:b/>
          <w:bCs/>
          <w:color w:val="000000" w:themeColor="text1"/>
        </w:rPr>
        <w:t>MD-</w:t>
      </w:r>
      <w:r w:rsidRPr="00A143AD">
        <w:rPr>
          <w:rFonts w:eastAsia="+mn-ea"/>
          <w:b/>
          <w:bCs/>
          <w:color w:val="000000" w:themeColor="text1"/>
        </w:rPr>
        <w:t>MSCs for decidualization potential.</w:t>
      </w:r>
    </w:p>
    <w:p w:rsidR="00A143AD" w:rsidRPr="00C44F5D" w:rsidRDefault="00A143AD" w:rsidP="00C44F5D">
      <w:pPr>
        <w:pStyle w:val="Web"/>
        <w:spacing w:before="0" w:beforeAutospacing="0" w:after="0" w:afterAutospacing="0" w:line="360" w:lineRule="auto"/>
        <w:jc w:val="both"/>
        <w:textAlignment w:val="baseline"/>
        <w:rPr>
          <w:rFonts w:eastAsia="+mn-ea"/>
          <w:b/>
          <w:bCs/>
          <w:color w:val="000000" w:themeColor="text1"/>
        </w:rPr>
        <w:sectPr w:rsidR="00A143AD" w:rsidRPr="00C44F5D" w:rsidSect="002D109F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 w:rsidRPr="00A143AD">
        <w:rPr>
          <w:rFonts w:eastAsia="+mn-ea"/>
          <w:b/>
          <w:bCs/>
          <w:color w:val="000000" w:themeColor="text1"/>
        </w:rPr>
        <w:t xml:space="preserve">(A) </w:t>
      </w:r>
      <w:r w:rsidRPr="00A143AD">
        <w:rPr>
          <w:rFonts w:eastAsia="+mn-ea"/>
          <w:color w:val="000000" w:themeColor="text1"/>
        </w:rPr>
        <w:t xml:space="preserve">(a) Representative images and (b) quantified analysis of triplicate biological repeats across three batches of </w:t>
      </w:r>
      <w:r w:rsidR="00AE0AC2">
        <w:rPr>
          <w:rFonts w:eastAsia="+mn-ea"/>
          <w:color w:val="000000" w:themeColor="text1"/>
        </w:rPr>
        <w:t>MD-</w:t>
      </w:r>
      <w:r w:rsidRPr="00A143AD">
        <w:rPr>
          <w:rFonts w:eastAsia="+mn-ea"/>
          <w:color w:val="000000" w:themeColor="text1"/>
        </w:rPr>
        <w:t xml:space="preserve">MSCs for evaluating morphological changes under decidualization. </w:t>
      </w:r>
      <w:r w:rsidRPr="00A143AD">
        <w:rPr>
          <w:rFonts w:eastAsia="+mn-ea"/>
          <w:b/>
          <w:bCs/>
          <w:color w:val="000000" w:themeColor="text1"/>
        </w:rPr>
        <w:t xml:space="preserve">(B) </w:t>
      </w:r>
      <w:r w:rsidRPr="00A143AD">
        <w:rPr>
          <w:rFonts w:eastAsia="+mn-ea"/>
          <w:color w:val="000000" w:themeColor="text1"/>
        </w:rPr>
        <w:t>Three decidual cell markers, including</w:t>
      </w:r>
      <w:r w:rsidRPr="00A143AD">
        <w:rPr>
          <w:rFonts w:eastAsia="+mn-ea"/>
          <w:i/>
          <w:iCs/>
          <w:color w:val="000000" w:themeColor="text1"/>
        </w:rPr>
        <w:t xml:space="preserve"> Prl</w:t>
      </w:r>
      <w:r w:rsidRPr="00A143AD">
        <w:rPr>
          <w:rFonts w:eastAsia="+mn-ea"/>
          <w:color w:val="000000" w:themeColor="text1"/>
        </w:rPr>
        <w:t xml:space="preserve">, </w:t>
      </w:r>
      <w:r w:rsidRPr="00A143AD">
        <w:rPr>
          <w:rFonts w:eastAsia="+mn-ea"/>
          <w:i/>
          <w:iCs/>
          <w:color w:val="000000" w:themeColor="text1"/>
        </w:rPr>
        <w:t>Igfbp1</w:t>
      </w:r>
      <w:r w:rsidRPr="00A143AD">
        <w:rPr>
          <w:rFonts w:eastAsia="+mn-ea"/>
          <w:color w:val="000000" w:themeColor="text1"/>
        </w:rPr>
        <w:t xml:space="preserve">, and </w:t>
      </w:r>
      <w:r w:rsidRPr="00A143AD">
        <w:rPr>
          <w:rFonts w:eastAsia="+mn-ea"/>
          <w:i/>
          <w:iCs/>
          <w:color w:val="000000" w:themeColor="text1"/>
        </w:rPr>
        <w:t>Scara5</w:t>
      </w:r>
      <w:r w:rsidRPr="00A143AD">
        <w:rPr>
          <w:rFonts w:eastAsia="+mn-ea"/>
          <w:color w:val="000000" w:themeColor="text1"/>
        </w:rPr>
        <w:t>, exhibit organ-specific expression through E2/P4 decidualization induction.</w:t>
      </w:r>
      <w:r w:rsidRPr="00A143AD">
        <w:rPr>
          <w:rFonts w:eastAsia="+mn-ea"/>
          <w:b/>
          <w:bCs/>
          <w:color w:val="000000" w:themeColor="text1"/>
        </w:rPr>
        <w:t xml:space="preserve"> </w:t>
      </w:r>
      <w:r w:rsidRPr="00A143AD">
        <w:rPr>
          <w:rFonts w:eastAsia="+mn-ea"/>
          <w:color w:val="000000" w:themeColor="text1"/>
        </w:rPr>
        <w:t>Values are expressed as mean ± SEM. *p &lt; 0.05, **p &lt; 0.01, ***p &lt; 0.001.</w:t>
      </w:r>
    </w:p>
    <w:p w:rsidR="00A143AD" w:rsidRPr="00A143AD" w:rsidRDefault="00A143AD" w:rsidP="00A143AD">
      <w:pPr>
        <w:pStyle w:val="Web"/>
        <w:spacing w:before="0" w:beforeAutospacing="0" w:after="0" w:afterAutospacing="0" w:line="480" w:lineRule="auto"/>
        <w:textAlignment w:val="baseline"/>
        <w:rPr>
          <w:rFonts w:eastAsia="+mn-ea"/>
          <w:b/>
          <w:bCs/>
          <w:color w:val="FF0000"/>
        </w:rPr>
      </w:pPr>
      <w:r w:rsidRPr="00A143AD">
        <w:rPr>
          <w:rFonts w:eastAsia="+mn-ea"/>
          <w:b/>
          <w:bCs/>
          <w:noProof/>
          <w:color w:val="FF0000"/>
        </w:rPr>
        <w:lastRenderedPageBreak/>
        <w:drawing>
          <wp:inline distT="0" distB="0" distL="0" distR="0" wp14:anchorId="4929EEE9" wp14:editId="68BF4B7D">
            <wp:extent cx="5874183" cy="7275871"/>
            <wp:effectExtent l="0" t="0" r="6350" b="1270"/>
            <wp:docPr id="11" name="圖片 10">
              <a:extLst xmlns:a="http://schemas.openxmlformats.org/drawingml/2006/main">
                <a:ext uri="{FF2B5EF4-FFF2-40B4-BE49-F238E27FC236}">
                  <a16:creationId xmlns:a16="http://schemas.microsoft.com/office/drawing/2014/main" id="{8128B301-62AF-EC21-E913-99357A9E34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0">
                      <a:extLst>
                        <a:ext uri="{FF2B5EF4-FFF2-40B4-BE49-F238E27FC236}">
                          <a16:creationId xmlns:a16="http://schemas.microsoft.com/office/drawing/2014/main" id="{8128B301-62AF-EC21-E913-99357A9E34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" b="45"/>
                    <a:stretch>
                      <a:fillRect/>
                    </a:stretch>
                  </pic:blipFill>
                  <pic:spPr>
                    <a:xfrm>
                      <a:off x="0" y="0"/>
                      <a:ext cx="5882002" cy="728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3AD" w:rsidRDefault="00A143AD" w:rsidP="00C44F5D">
      <w:pPr>
        <w:pStyle w:val="Web"/>
        <w:spacing w:before="0" w:beforeAutospacing="0" w:after="0" w:afterAutospacing="0" w:line="360" w:lineRule="auto"/>
        <w:jc w:val="both"/>
        <w:textAlignment w:val="baseline"/>
        <w:rPr>
          <w:rFonts w:eastAsia="+mn-ea"/>
          <w:b/>
          <w:bCs/>
          <w:color w:val="000000" w:themeColor="text1"/>
        </w:rPr>
      </w:pPr>
      <w:r w:rsidRPr="00A143AD">
        <w:rPr>
          <w:rFonts w:eastAsia="+mn-ea"/>
          <w:b/>
          <w:bCs/>
        </w:rPr>
        <w:t xml:space="preserve">Supplementary Figure 2 </w:t>
      </w:r>
      <w:r w:rsidRPr="00A143AD">
        <w:rPr>
          <w:b/>
        </w:rPr>
        <w:sym w:font="Symbol" w:char="F0BD"/>
      </w:r>
      <w:r w:rsidRPr="00A143AD">
        <w:rPr>
          <w:rFonts w:eastAsia="+mn-ea"/>
          <w:b/>
          <w:bCs/>
        </w:rPr>
        <w:t xml:space="preserve"> </w:t>
      </w:r>
      <w:r w:rsidRPr="00A143AD">
        <w:rPr>
          <w:rFonts w:eastAsia="+mn-ea"/>
          <w:b/>
          <w:bCs/>
          <w:color w:val="000000" w:themeColor="text1"/>
        </w:rPr>
        <w:t>Characterization of PAs for decidualization defects.</w:t>
      </w:r>
    </w:p>
    <w:p w:rsidR="00A143AD" w:rsidRPr="00A143AD" w:rsidRDefault="00A143AD" w:rsidP="00C44F5D">
      <w:pPr>
        <w:pStyle w:val="Web"/>
        <w:spacing w:before="0" w:beforeAutospacing="0" w:after="0" w:afterAutospacing="0" w:line="360" w:lineRule="auto"/>
        <w:jc w:val="both"/>
        <w:textAlignment w:val="baseline"/>
        <w:rPr>
          <w:rFonts w:eastAsia="+mn-ea"/>
          <w:b/>
          <w:bCs/>
          <w:color w:val="FF0000"/>
        </w:rPr>
      </w:pPr>
      <w:r w:rsidRPr="00A143AD">
        <w:rPr>
          <w:rFonts w:eastAsia="+mn-ea"/>
          <w:b/>
          <w:bCs/>
          <w:color w:val="000000" w:themeColor="text1"/>
        </w:rPr>
        <w:t xml:space="preserve">(A) </w:t>
      </w:r>
      <w:r w:rsidRPr="00A143AD">
        <w:rPr>
          <w:rFonts w:eastAsia="+mn-ea"/>
          <w:color w:val="000000" w:themeColor="text1"/>
        </w:rPr>
        <w:t xml:space="preserve">Annotated up-regulated genes are validated with RT-PCR analysis under different decidualization inductions in PAs compared with </w:t>
      </w:r>
      <w:r w:rsidR="00AE0AC2">
        <w:rPr>
          <w:rFonts w:eastAsia="+mn-ea"/>
          <w:color w:val="000000" w:themeColor="text1"/>
        </w:rPr>
        <w:t>MD-</w:t>
      </w:r>
      <w:r w:rsidRPr="00A143AD">
        <w:rPr>
          <w:rFonts w:eastAsia="+mn-ea"/>
          <w:color w:val="000000" w:themeColor="text1"/>
        </w:rPr>
        <w:t>MSCs. Values are expressed as mean ± SEM. *p &lt; 0.05, **p &lt; 0.01, ***p &lt; 0.001.</w:t>
      </w:r>
      <w:r w:rsidRPr="00A143AD">
        <w:rPr>
          <w:rFonts w:eastAsia="+mn-ea"/>
          <w:b/>
          <w:bCs/>
          <w:color w:val="000000" w:themeColor="text1"/>
        </w:rPr>
        <w:t xml:space="preserve"> (B) </w:t>
      </w:r>
      <w:r w:rsidRPr="00A143AD">
        <w:rPr>
          <w:rFonts w:eastAsia="+mn-ea"/>
          <w:color w:val="000000" w:themeColor="text1"/>
        </w:rPr>
        <w:t xml:space="preserve">ER and PR protein expression levels under decidualization treatments in </w:t>
      </w:r>
      <w:r w:rsidR="00AE0AC2">
        <w:rPr>
          <w:rFonts w:eastAsia="+mn-ea"/>
          <w:color w:val="000000" w:themeColor="text1"/>
        </w:rPr>
        <w:t>MD-</w:t>
      </w:r>
      <w:r w:rsidRPr="00A143AD">
        <w:rPr>
          <w:rFonts w:eastAsia="+mn-ea"/>
          <w:color w:val="000000" w:themeColor="text1"/>
        </w:rPr>
        <w:t xml:space="preserve">MSCs and PAs. </w:t>
      </w:r>
      <w:r w:rsidRPr="00A143AD">
        <w:rPr>
          <w:rFonts w:eastAsia="+mn-ea"/>
          <w:bCs/>
        </w:rPr>
        <w:t>Values are normalized to the IgG control.</w:t>
      </w:r>
      <w:r w:rsidRPr="00A143AD">
        <w:rPr>
          <w:rFonts w:eastAsia="+mn-ea"/>
          <w:b/>
          <w:bCs/>
          <w:color w:val="000000" w:themeColor="text1"/>
        </w:rPr>
        <w:t xml:space="preserve"> (C) </w:t>
      </w:r>
      <w:r w:rsidRPr="00A143AD">
        <w:rPr>
          <w:rFonts w:eastAsia="+mn-ea"/>
          <w:color w:val="000000" w:themeColor="text1"/>
        </w:rPr>
        <w:t xml:space="preserve">IHC staining images demonstrate the ER and PR expression levels in normal and pathological placenta biopsies from PAS patients. </w:t>
      </w:r>
    </w:p>
    <w:p w:rsidR="00A143AD" w:rsidRDefault="00A143AD" w:rsidP="00C44F5D">
      <w:pPr>
        <w:spacing w:line="360" w:lineRule="auto"/>
      </w:pPr>
      <w:r w:rsidRPr="00A143AD">
        <w:rPr>
          <w:noProof/>
        </w:rPr>
        <w:lastRenderedPageBreak/>
        <w:drawing>
          <wp:inline distT="0" distB="0" distL="0" distR="0" wp14:anchorId="78157E4D" wp14:editId="6B9B399F">
            <wp:extent cx="6663500" cy="6134366"/>
            <wp:effectExtent l="0" t="0" r="4445" b="0"/>
            <wp:docPr id="25" name="圖片 24">
              <a:extLst xmlns:a="http://schemas.openxmlformats.org/drawingml/2006/main">
                <a:ext uri="{FF2B5EF4-FFF2-40B4-BE49-F238E27FC236}">
                  <a16:creationId xmlns:a16="http://schemas.microsoft.com/office/drawing/2014/main" id="{A3AB034B-6D7D-9BDE-D9A6-70F1BC3733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圖片 24">
                      <a:extLst>
                        <a:ext uri="{FF2B5EF4-FFF2-40B4-BE49-F238E27FC236}">
                          <a16:creationId xmlns:a16="http://schemas.microsoft.com/office/drawing/2014/main" id="{A3AB034B-6D7D-9BDE-D9A6-70F1BC3733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8" b="1207"/>
                    <a:stretch/>
                  </pic:blipFill>
                  <pic:spPr bwMode="auto">
                    <a:xfrm>
                      <a:off x="0" y="0"/>
                      <a:ext cx="6664011" cy="6134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F5D" w:rsidRDefault="00A143AD" w:rsidP="00C44F5D">
      <w:pPr>
        <w:pStyle w:val="Web"/>
        <w:spacing w:before="0" w:beforeAutospacing="0" w:after="0" w:afterAutospacing="0" w:line="360" w:lineRule="auto"/>
        <w:jc w:val="both"/>
        <w:textAlignment w:val="baseline"/>
        <w:rPr>
          <w:rFonts w:eastAsia="+mn-ea"/>
          <w:b/>
          <w:bCs/>
          <w:color w:val="000000" w:themeColor="text1"/>
        </w:rPr>
      </w:pPr>
      <w:r>
        <w:rPr>
          <w:rFonts w:eastAsia="+mn-ea"/>
          <w:b/>
          <w:bCs/>
        </w:rPr>
        <w:t>Supplementary F</w:t>
      </w:r>
      <w:r w:rsidRPr="0046763F">
        <w:rPr>
          <w:rFonts w:eastAsia="+mn-ea"/>
          <w:b/>
          <w:bCs/>
        </w:rPr>
        <w:t xml:space="preserve">igure </w:t>
      </w:r>
      <w:r>
        <w:rPr>
          <w:rFonts w:eastAsia="+mn-ea"/>
          <w:b/>
          <w:bCs/>
        </w:rPr>
        <w:t>3</w:t>
      </w:r>
      <w:r w:rsidRPr="0046763F">
        <w:rPr>
          <w:rFonts w:eastAsia="+mn-ea"/>
          <w:b/>
          <w:bCs/>
        </w:rPr>
        <w:t xml:space="preserve"> </w:t>
      </w:r>
      <w:r w:rsidRPr="004E018E">
        <w:rPr>
          <w:rFonts w:ascii="Symbol" w:hAnsi="Symbol"/>
          <w:b/>
        </w:rPr>
        <w:sym w:font="Symbol" w:char="F0BD"/>
      </w:r>
      <w:r w:rsidRPr="0046763F">
        <w:rPr>
          <w:rFonts w:eastAsia="+mn-ea"/>
          <w:b/>
          <w:bCs/>
        </w:rPr>
        <w:t xml:space="preserve"> </w:t>
      </w:r>
      <w:r>
        <w:rPr>
          <w:rFonts w:eastAsia="+mn-ea"/>
          <w:b/>
          <w:bCs/>
        </w:rPr>
        <w:t xml:space="preserve">HLA-G and </w:t>
      </w:r>
      <w:r>
        <w:rPr>
          <w:rFonts w:eastAsia="+mn-ea"/>
          <w:b/>
          <w:bCs/>
          <w:color w:val="000000" w:themeColor="text1"/>
        </w:rPr>
        <w:t>KIR2DL4 expression levels in trophoblasts and dNK2 cells.</w:t>
      </w:r>
    </w:p>
    <w:p w:rsidR="00F90E01" w:rsidRDefault="00A143AD" w:rsidP="00C44F5D">
      <w:pPr>
        <w:pStyle w:val="Web"/>
        <w:spacing w:before="0" w:beforeAutospacing="0" w:after="0" w:afterAutospacing="0" w:line="360" w:lineRule="auto"/>
        <w:jc w:val="both"/>
        <w:textAlignment w:val="baseline"/>
        <w:rPr>
          <w:rFonts w:eastAsia="+mn-ea"/>
          <w:color w:val="000000" w:themeColor="text1"/>
        </w:rPr>
        <w:sectPr w:rsidR="00F90E01" w:rsidSect="002D109F">
          <w:pgSz w:w="12240" w:h="15840" w:code="1"/>
          <w:pgMar w:top="720" w:right="720" w:bottom="720" w:left="720" w:header="720" w:footer="720" w:gutter="0"/>
          <w:lnNumType w:countBy="1"/>
          <w:cols w:space="720"/>
          <w:docGrid w:linePitch="360"/>
        </w:sectPr>
      </w:pPr>
      <w:r w:rsidRPr="00471F95">
        <w:rPr>
          <w:rFonts w:eastAsia="+mn-ea"/>
          <w:b/>
          <w:bCs/>
          <w:color w:val="000000" w:themeColor="text1"/>
        </w:rPr>
        <w:t>(A)</w:t>
      </w:r>
      <w:r w:rsidRPr="00471F95">
        <w:rPr>
          <w:rFonts w:eastAsia="+mn-ea"/>
          <w:color w:val="000000" w:themeColor="text1"/>
        </w:rPr>
        <w:t xml:space="preserve"> Expression levels of HLA-G on trophoblasts. </w:t>
      </w:r>
      <w:r w:rsidRPr="00471F95">
        <w:rPr>
          <w:rFonts w:eastAsia="+mn-ea"/>
          <w:b/>
          <w:bCs/>
          <w:color w:val="000000" w:themeColor="text1"/>
        </w:rPr>
        <w:t xml:space="preserve">(B) </w:t>
      </w:r>
      <w:r w:rsidRPr="00471F95">
        <w:rPr>
          <w:rFonts w:eastAsia="+mn-ea"/>
          <w:color w:val="000000" w:themeColor="text1"/>
        </w:rPr>
        <w:t>Measurement of KIR2DL4 expression levels on HEK293T, pNK cells, and dNK cells after co-culturing with trophoblasts at 0 (resting), 4, 8, and 12 hours</w:t>
      </w:r>
      <w:r w:rsidR="00C44F5D">
        <w:rPr>
          <w:rFonts w:eastAsia="+mn-ea"/>
          <w:color w:val="000000" w:themeColor="text1"/>
        </w:rPr>
        <w:t>.</w:t>
      </w:r>
    </w:p>
    <w:p w:rsidR="00F90E01" w:rsidRPr="00A143AD" w:rsidRDefault="00F90E01" w:rsidP="00F90E01">
      <w:pPr>
        <w:pStyle w:val="Web"/>
        <w:spacing w:before="0" w:beforeAutospacing="0" w:after="0" w:afterAutospacing="0" w:line="480" w:lineRule="auto"/>
        <w:jc w:val="center"/>
        <w:textAlignment w:val="baseline"/>
        <w:rPr>
          <w:rFonts w:eastAsia="+mn-ea"/>
          <w:b/>
          <w:bCs/>
          <w:sz w:val="28"/>
          <w:szCs w:val="28"/>
        </w:rPr>
      </w:pPr>
      <w:r w:rsidRPr="00A143AD">
        <w:rPr>
          <w:rFonts w:eastAsia="+mn-ea"/>
          <w:b/>
          <w:bCs/>
          <w:sz w:val="28"/>
          <w:szCs w:val="28"/>
        </w:rPr>
        <w:lastRenderedPageBreak/>
        <w:t xml:space="preserve">Supplementary </w:t>
      </w:r>
      <w:r>
        <w:rPr>
          <w:rFonts w:eastAsia="+mn-ea"/>
          <w:b/>
          <w:bCs/>
          <w:sz w:val="28"/>
          <w:szCs w:val="28"/>
        </w:rPr>
        <w:t>tables</w:t>
      </w:r>
    </w:p>
    <w:tbl>
      <w:tblPr>
        <w:tblStyle w:val="a4"/>
        <w:tblpPr w:leftFromText="180" w:rightFromText="180" w:vertAnchor="text" w:horzAnchor="margin" w:tblpY="395"/>
        <w:tblW w:w="9351" w:type="dxa"/>
        <w:tblLook w:val="04A0" w:firstRow="1" w:lastRow="0" w:firstColumn="1" w:lastColumn="0" w:noHBand="0" w:noVBand="1"/>
      </w:tblPr>
      <w:tblGrid>
        <w:gridCol w:w="2263"/>
        <w:gridCol w:w="709"/>
        <w:gridCol w:w="6379"/>
      </w:tblGrid>
      <w:tr w:rsidR="00F90E01" w:rsidRPr="003575ED" w:rsidTr="004D6005">
        <w:trPr>
          <w:trHeight w:val="421"/>
        </w:trPr>
        <w:tc>
          <w:tcPr>
            <w:tcW w:w="2263" w:type="dxa"/>
            <w:shd w:val="clear" w:color="auto" w:fill="auto"/>
            <w:vAlign w:val="center"/>
          </w:tcPr>
          <w:p w:rsidR="00F90E01" w:rsidRPr="006F4A5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6F4A5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Gene</w:t>
            </w:r>
          </w:p>
        </w:tc>
        <w:tc>
          <w:tcPr>
            <w:tcW w:w="7088" w:type="dxa"/>
            <w:gridSpan w:val="2"/>
            <w:shd w:val="clear" w:color="auto" w:fill="auto"/>
            <w:vAlign w:val="center"/>
          </w:tcPr>
          <w:p w:rsidR="00F90E01" w:rsidRPr="006F4A5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6F4A5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Primer sequences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Human 18srRNA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CGC CGC TAG AGG TGA AAT TCT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CGA ACC TCC GAC TTT CGT TCT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Human CRIPLD2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ACG GAC GAG ATG AAT GAG GTG G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GGT GTC ACA TCT GAC GAC TTG G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Human FKBP5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GCG AAG GAG AAG ACC ACG ACA T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TAG GCT TCC CTG CCT CTC CAA A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 xml:space="preserve">Human </w:t>
            </w:r>
            <w:r>
              <w:rPr>
                <w:rFonts w:ascii="Times New Roman" w:hAnsi="Times New Roman" w:cs="Times New Roman"/>
                <w:color w:val="000000"/>
              </w:rPr>
              <w:t>IGFBP1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6F4A5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F4A51">
              <w:rPr>
                <w:rFonts w:ascii="Times New Roman" w:hAnsi="Times New Roman" w:cs="Times New Roman"/>
                <w:color w:val="000000"/>
              </w:rPr>
              <w:t>TTTTACCTGCCAAACTGCAACA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6F4A5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F4A51">
              <w:rPr>
                <w:rFonts w:ascii="Times New Roman" w:hAnsi="Times New Roman" w:cs="Times New Roman"/>
                <w:color w:val="000000"/>
              </w:rPr>
              <w:t>CCCATTCCAAGGGTAGACGC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 xml:space="preserve">Human IGFBP4 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ACC CAC GAG GAC CTC TAC ATC A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tabs>
                <w:tab w:val="left" w:pos="1688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tabs>
                <w:tab w:val="left" w:pos="1688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CAC ACC AGC ACT TGC CAC GCT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 xml:space="preserve">Human IL-15 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AAC AGA AGC CAA CTG GGT GAA TG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CTC CAA GAG AAA GCA CTT CAT TGC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Human PRL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GAG GAG CAA ACC AAA CGG CTT C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AAG GCG AGA CTC TTC ATC AGC C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 xml:space="preserve">Human PRLR 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CAT GGT GAC CTG CAT CTT TCC G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GTG GGA GGA AAG TCT TGG CAT C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Human REN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GAA GAG GCT GAC ACT TGG CAA C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GCA CCC AAA CAT TGG ACG AAC C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 w:val="restart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 xml:space="preserve">Human SCARA5 </w:t>
            </w: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GCT GAA CCT GTG TGA GGA TGG T</w:t>
            </w:r>
          </w:p>
        </w:tc>
      </w:tr>
      <w:tr w:rsidR="00F90E01" w:rsidRPr="003575ED" w:rsidTr="004D6005">
        <w:trPr>
          <w:trHeight w:val="421"/>
        </w:trPr>
        <w:tc>
          <w:tcPr>
            <w:tcW w:w="2263" w:type="dxa"/>
            <w:vMerge/>
            <w:vAlign w:val="center"/>
          </w:tcPr>
          <w:p w:rsidR="00F90E01" w:rsidRPr="003575ED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F90E01" w:rsidRPr="003575ED" w:rsidRDefault="00F90E01" w:rsidP="004D6005">
            <w:pPr>
              <w:tabs>
                <w:tab w:val="left" w:pos="92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R</w:t>
            </w:r>
          </w:p>
        </w:tc>
        <w:tc>
          <w:tcPr>
            <w:tcW w:w="6379" w:type="dxa"/>
            <w:vAlign w:val="center"/>
          </w:tcPr>
          <w:p w:rsidR="00F90E01" w:rsidRPr="003575ED" w:rsidRDefault="00F90E01" w:rsidP="004D6005">
            <w:pPr>
              <w:tabs>
                <w:tab w:val="left" w:pos="920"/>
              </w:tabs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575ED">
              <w:rPr>
                <w:rFonts w:ascii="Times New Roman" w:hAnsi="Times New Roman" w:cs="Times New Roman"/>
                <w:color w:val="000000"/>
              </w:rPr>
              <w:t>TCA GGA AGA CCA GCA GGT AGA G</w:t>
            </w:r>
          </w:p>
        </w:tc>
      </w:tr>
    </w:tbl>
    <w:p w:rsidR="00F90E01" w:rsidRDefault="00F90E01" w:rsidP="00F90E01">
      <w:pPr>
        <w:pStyle w:val="Web"/>
        <w:jc w:val="both"/>
        <w:textAlignment w:val="baseline"/>
        <w:rPr>
          <w:rFonts w:eastAsia="+mn-ea"/>
          <w:b/>
          <w:bCs/>
        </w:rPr>
      </w:pPr>
      <w:r>
        <w:rPr>
          <w:rFonts w:eastAsia="+mn-ea"/>
          <w:b/>
          <w:bCs/>
        </w:rPr>
        <w:t xml:space="preserve">Supplementary Table 1. </w:t>
      </w:r>
      <w:r w:rsidRPr="003575ED">
        <w:rPr>
          <w:rFonts w:eastAsia="+mn-ea"/>
          <w:b/>
          <w:bCs/>
        </w:rPr>
        <w:t>Human primer sequences for RT-PCR</w:t>
      </w:r>
      <w:bookmarkStart w:id="0" w:name="_Toc142258427"/>
    </w:p>
    <w:p w:rsidR="00F90E01" w:rsidRPr="00CE228D" w:rsidRDefault="00F90E01" w:rsidP="00F90E01">
      <w:pPr>
        <w:pStyle w:val="Web"/>
        <w:jc w:val="both"/>
        <w:textAlignment w:val="baseline"/>
        <w:rPr>
          <w:rFonts w:eastAsia="+mn-ea"/>
          <w:b/>
          <w:bCs/>
        </w:rPr>
        <w:sectPr w:rsidR="00F90E01" w:rsidRPr="00CE228D" w:rsidSect="00F90E01">
          <w:pgSz w:w="12240" w:h="15840" w:code="1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F90E01" w:rsidRPr="006F4A51" w:rsidRDefault="00F90E01" w:rsidP="00F90E01">
      <w:pPr>
        <w:pStyle w:val="Web"/>
        <w:jc w:val="both"/>
        <w:textAlignment w:val="baseline"/>
        <w:rPr>
          <w:b/>
          <w:bCs/>
        </w:rPr>
      </w:pPr>
      <w:r>
        <w:rPr>
          <w:b/>
          <w:bCs/>
        </w:rPr>
        <w:lastRenderedPageBreak/>
        <w:t xml:space="preserve">Supplementary Table </w:t>
      </w:r>
      <w:r w:rsidRPr="006F4A51">
        <w:rPr>
          <w:b/>
          <w:bCs/>
        </w:rPr>
        <w:t>2. Antibodies for immun</w:t>
      </w:r>
      <w:r>
        <w:rPr>
          <w:b/>
          <w:bCs/>
        </w:rPr>
        <w:t>ohistochemistry</w:t>
      </w:r>
      <w:r w:rsidRPr="006F4A51">
        <w:rPr>
          <w:rFonts w:hint="eastAsia"/>
          <w:b/>
          <w:bCs/>
          <w:lang w:eastAsia="zh-TW"/>
        </w:rPr>
        <w:t xml:space="preserve"> </w:t>
      </w:r>
      <w:r w:rsidRPr="006F4A51">
        <w:rPr>
          <w:b/>
          <w:bCs/>
        </w:rPr>
        <w:t>and flow cytometry</w:t>
      </w:r>
      <w:bookmarkEnd w:id="0"/>
      <w:r w:rsidRPr="006F4A51">
        <w:rPr>
          <w:b/>
          <w:bCs/>
        </w:rPr>
        <w:t xml:space="preserve"> </w:t>
      </w:r>
    </w:p>
    <w:tbl>
      <w:tblPr>
        <w:tblStyle w:val="a4"/>
        <w:tblW w:w="9351" w:type="dxa"/>
        <w:jc w:val="center"/>
        <w:tblLook w:val="04A0" w:firstRow="1" w:lastRow="0" w:firstColumn="1" w:lastColumn="0" w:noHBand="0" w:noVBand="1"/>
      </w:tblPr>
      <w:tblGrid>
        <w:gridCol w:w="4106"/>
        <w:gridCol w:w="1701"/>
        <w:gridCol w:w="1985"/>
        <w:gridCol w:w="1559"/>
      </w:tblGrid>
      <w:tr w:rsidR="00F90E01" w:rsidRPr="00AE3561" w:rsidTr="004D6005">
        <w:trPr>
          <w:trHeight w:val="438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Antibodies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Brand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Catalog number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Applications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Recombinant Alexa Fluor® 488 Anti-Estrogen Receptor alpha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abcam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ab194150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FC/ IHC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Recombinant Alexa Fluor® 647 Anti-Progesterone Receptor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abcam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ab270198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FC/ IHC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Human SCARA5 Alexa Fluor® 488-conjugated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R&amp;D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#FAB4900G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FC/ IHC</w:t>
            </w:r>
          </w:p>
        </w:tc>
      </w:tr>
      <w:tr w:rsidR="00F90E01" w:rsidRPr="00AE3561" w:rsidTr="004D6005">
        <w:trPr>
          <w:trHeight w:val="492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Human Prolactin Capture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R&amp;D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Part #842242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IHC</w:t>
            </w:r>
          </w:p>
        </w:tc>
      </w:tr>
      <w:tr w:rsidR="00F90E01" w:rsidRPr="00AE3561" w:rsidTr="004D6005">
        <w:trPr>
          <w:trHeight w:val="492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Human Prolactin Detection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R&amp;D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Part #842243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IHC</w:t>
            </w:r>
          </w:p>
        </w:tc>
      </w:tr>
      <w:tr w:rsidR="00F90E01" w:rsidRPr="00AE3561" w:rsidTr="004D6005">
        <w:trPr>
          <w:trHeight w:val="492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Human IGFBP1 Capture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R&amp;D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D25033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25033">
              <w:rPr>
                <w:rFonts w:ascii="Times New Roman" w:hAnsi="Times New Roman" w:cs="Times New Roman"/>
                <w:bCs/>
                <w:color w:val="000000" w:themeColor="text1"/>
              </w:rPr>
              <w:t>Part #</w:t>
            </w:r>
            <w:r w:rsidRPr="00D25033">
              <w:rPr>
                <w:rFonts w:ascii="Times New Roman" w:hAnsi="Times New Roman" w:cs="Times New Roman"/>
              </w:rPr>
              <w:t>840402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IHC</w:t>
            </w:r>
          </w:p>
        </w:tc>
      </w:tr>
      <w:tr w:rsidR="00F90E01" w:rsidRPr="00AE3561" w:rsidTr="004D6005">
        <w:trPr>
          <w:trHeight w:val="492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Human IGFBP1 Detection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R&amp;D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Part #</w:t>
            </w:r>
            <w:r w:rsidRPr="00D25033">
              <w:rPr>
                <w:rFonts w:ascii="Times New Roman" w:hAnsi="Times New Roman" w:cs="Times New Roman"/>
              </w:rPr>
              <w:t>84040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IHC</w:t>
            </w:r>
          </w:p>
        </w:tc>
      </w:tr>
      <w:tr w:rsidR="00F90E01" w:rsidRPr="00AE3561" w:rsidTr="004D6005">
        <w:trPr>
          <w:trHeight w:val="492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FITC anti-human CD3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Biolegend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317306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492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APC anti-human CD56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eBioscience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17-0567-42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APC anti-human CD158d (KIR2DL4)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BioLegend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347008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Alexa Fluor® 488 anti-human HLA-G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BioLegend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335917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Recombinant Alexa Fluor® 488 Rabbit IgG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abcam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ab199091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Recombinant Alexa Fluor® 647 Rabbit IgG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abcam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ab199093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749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Mouse IgG2B Alexa Fluor® 488-conjugated Isotype Control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R&amp;D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#</w:t>
            </w:r>
            <w:r w:rsidRPr="00AE3561">
              <w:rPr>
                <w:rFonts w:ascii="Times New Roman" w:hAnsi="Times New Roman" w:cs="Times New Roman"/>
                <w:color w:val="000000" w:themeColor="text1"/>
              </w:rPr>
              <w:t>IC0041G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545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APC anti-mouse IgG1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BioLegend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406609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  <w:tr w:rsidR="00F90E01" w:rsidRPr="00AE3561" w:rsidTr="004D6005">
        <w:trPr>
          <w:trHeight w:val="86"/>
          <w:jc w:val="center"/>
        </w:trPr>
        <w:tc>
          <w:tcPr>
            <w:tcW w:w="4106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Alexa Fluor® 488 Mouse IgG2a, κ Isotype Ctrl Antibody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BioLegend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bCs/>
                <w:color w:val="000000" w:themeColor="text1"/>
              </w:rPr>
              <w:t>400233</w:t>
            </w:r>
          </w:p>
        </w:tc>
        <w:tc>
          <w:tcPr>
            <w:tcW w:w="1559" w:type="dxa"/>
            <w:vAlign w:val="center"/>
          </w:tcPr>
          <w:p w:rsidR="00F90E01" w:rsidRPr="00AE3561" w:rsidRDefault="00F90E01" w:rsidP="004D60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AE3561">
              <w:rPr>
                <w:rFonts w:ascii="Times New Roman" w:hAnsi="Times New Roman" w:cs="Times New Roman"/>
                <w:color w:val="000000" w:themeColor="text1"/>
              </w:rPr>
              <w:t>FC</w:t>
            </w:r>
          </w:p>
        </w:tc>
      </w:tr>
    </w:tbl>
    <w:p w:rsidR="00A143AD" w:rsidRPr="00C44F5D" w:rsidRDefault="00A143AD" w:rsidP="00C44F5D">
      <w:pPr>
        <w:pStyle w:val="Web"/>
        <w:spacing w:before="0" w:beforeAutospacing="0" w:after="0" w:afterAutospacing="0" w:line="360" w:lineRule="auto"/>
        <w:jc w:val="both"/>
        <w:textAlignment w:val="baseline"/>
        <w:rPr>
          <w:rFonts w:eastAsia="+mn-ea"/>
          <w:b/>
          <w:bCs/>
          <w:color w:val="000000" w:themeColor="text1"/>
        </w:rPr>
      </w:pPr>
    </w:p>
    <w:sectPr w:rsidR="00A143AD" w:rsidRPr="00C44F5D" w:rsidSect="00F90E01">
      <w:pgSz w:w="12240" w:h="15840" w:code="1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+mn-ea">
    <w:altName w:val="Cambria"/>
    <w:panose1 w:val="020B0604020202020204"/>
    <w:charset w:val="00"/>
    <w:family w:val="roman"/>
    <w:notTrueType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A319C8"/>
    <w:multiLevelType w:val="multilevel"/>
    <w:tmpl w:val="2E969BCA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287004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3AD"/>
    <w:rsid w:val="00017257"/>
    <w:rsid w:val="00064197"/>
    <w:rsid w:val="000706C4"/>
    <w:rsid w:val="00094EE6"/>
    <w:rsid w:val="00096C7F"/>
    <w:rsid w:val="000D4699"/>
    <w:rsid w:val="00120107"/>
    <w:rsid w:val="00152EFD"/>
    <w:rsid w:val="001577C1"/>
    <w:rsid w:val="001C159A"/>
    <w:rsid w:val="0020027D"/>
    <w:rsid w:val="002057C5"/>
    <w:rsid w:val="00241AAF"/>
    <w:rsid w:val="002603C6"/>
    <w:rsid w:val="00264552"/>
    <w:rsid w:val="002D109F"/>
    <w:rsid w:val="00307969"/>
    <w:rsid w:val="00345FAE"/>
    <w:rsid w:val="00380D8A"/>
    <w:rsid w:val="0038600C"/>
    <w:rsid w:val="004039E7"/>
    <w:rsid w:val="00433760"/>
    <w:rsid w:val="00434837"/>
    <w:rsid w:val="004C7D91"/>
    <w:rsid w:val="004E1D15"/>
    <w:rsid w:val="0051251B"/>
    <w:rsid w:val="00565698"/>
    <w:rsid w:val="005C26DB"/>
    <w:rsid w:val="005C7393"/>
    <w:rsid w:val="00685481"/>
    <w:rsid w:val="006855AE"/>
    <w:rsid w:val="00687E10"/>
    <w:rsid w:val="00692E7F"/>
    <w:rsid w:val="006A0428"/>
    <w:rsid w:val="006F0092"/>
    <w:rsid w:val="006F7F5E"/>
    <w:rsid w:val="00744515"/>
    <w:rsid w:val="00746213"/>
    <w:rsid w:val="007520C6"/>
    <w:rsid w:val="00771A7A"/>
    <w:rsid w:val="007C275F"/>
    <w:rsid w:val="007C770E"/>
    <w:rsid w:val="00830035"/>
    <w:rsid w:val="00851C05"/>
    <w:rsid w:val="0086637E"/>
    <w:rsid w:val="008C4C30"/>
    <w:rsid w:val="008D1634"/>
    <w:rsid w:val="00914563"/>
    <w:rsid w:val="0097618F"/>
    <w:rsid w:val="0099201B"/>
    <w:rsid w:val="00A143AD"/>
    <w:rsid w:val="00A57A7C"/>
    <w:rsid w:val="00A605C9"/>
    <w:rsid w:val="00A77FB4"/>
    <w:rsid w:val="00A84C88"/>
    <w:rsid w:val="00AA5268"/>
    <w:rsid w:val="00AB4F59"/>
    <w:rsid w:val="00AB6D78"/>
    <w:rsid w:val="00AD4B56"/>
    <w:rsid w:val="00AE0AC2"/>
    <w:rsid w:val="00B83D9A"/>
    <w:rsid w:val="00B84B46"/>
    <w:rsid w:val="00B949DA"/>
    <w:rsid w:val="00B95FAA"/>
    <w:rsid w:val="00B97047"/>
    <w:rsid w:val="00C379DD"/>
    <w:rsid w:val="00C44F5D"/>
    <w:rsid w:val="00C72FF2"/>
    <w:rsid w:val="00CE6FE5"/>
    <w:rsid w:val="00D3179A"/>
    <w:rsid w:val="00D32E76"/>
    <w:rsid w:val="00D40B44"/>
    <w:rsid w:val="00D67D87"/>
    <w:rsid w:val="00D96E0F"/>
    <w:rsid w:val="00DA6E8B"/>
    <w:rsid w:val="00E544A6"/>
    <w:rsid w:val="00E6211D"/>
    <w:rsid w:val="00E820C8"/>
    <w:rsid w:val="00E9056B"/>
    <w:rsid w:val="00EF7F44"/>
    <w:rsid w:val="00F22C44"/>
    <w:rsid w:val="00F27A94"/>
    <w:rsid w:val="00F40B00"/>
    <w:rsid w:val="00F63AED"/>
    <w:rsid w:val="00F64453"/>
    <w:rsid w:val="00F90E01"/>
    <w:rsid w:val="00F95E82"/>
    <w:rsid w:val="00FD7A7B"/>
    <w:rsid w:val="00FE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21126A"/>
  <w15:chartTrackingRefBased/>
  <w15:docId w15:val="{F2A23A69-F4A8-B347-A760-D2A5A4C46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樣式1"/>
    <w:uiPriority w:val="99"/>
    <w:rsid w:val="00E544A6"/>
    <w:pPr>
      <w:numPr>
        <w:numId w:val="1"/>
      </w:numPr>
    </w:pPr>
  </w:style>
  <w:style w:type="paragraph" w:styleId="Web">
    <w:name w:val="Normal (Web)"/>
    <w:basedOn w:val="a"/>
    <w:uiPriority w:val="99"/>
    <w:unhideWhenUsed/>
    <w:rsid w:val="00A143AD"/>
    <w:pPr>
      <w:widowControl/>
      <w:spacing w:before="100" w:beforeAutospacing="1" w:after="100" w:afterAutospacing="1"/>
    </w:pPr>
    <w:rPr>
      <w:rFonts w:ascii="Times New Roman" w:eastAsia="新細明體" w:hAnsi="Times New Roman" w:cs="Times New Roman"/>
      <w:kern w:val="0"/>
      <w:lang w:eastAsia="zh-CN"/>
    </w:rPr>
  </w:style>
  <w:style w:type="character" w:styleId="a3">
    <w:name w:val="line number"/>
    <w:basedOn w:val="a0"/>
    <w:uiPriority w:val="99"/>
    <w:semiHidden/>
    <w:unhideWhenUsed/>
    <w:rsid w:val="00A143AD"/>
  </w:style>
  <w:style w:type="table" w:styleId="a4">
    <w:name w:val="Table Grid"/>
    <w:basedOn w:val="a1"/>
    <w:uiPriority w:val="39"/>
    <w:rsid w:val="00A143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63A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yling@ntu.edu.tw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22FBA3AC-4736-5A4D-9574-A4362407C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15</TotalTime>
  <Pages>6</Pages>
  <Words>652</Words>
  <Characters>3722</Characters>
  <Application>Microsoft Office Word</Application>
  <DocSecurity>0</DocSecurity>
  <Lines>31</Lines>
  <Paragraphs>8</Paragraphs>
  <ScaleCrop>false</ScaleCrop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You-Zhen Liu</dc:creator>
  <cp:keywords/>
  <dc:description/>
  <cp:lastModifiedBy>You-Zhen Liu</cp:lastModifiedBy>
  <cp:revision>7</cp:revision>
  <dcterms:created xsi:type="dcterms:W3CDTF">2024-04-23T03:20:00Z</dcterms:created>
  <dcterms:modified xsi:type="dcterms:W3CDTF">2024-08-02T05:22:00Z</dcterms:modified>
</cp:coreProperties>
</file>