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3A679" w14:textId="62FDE8E9" w:rsidR="0023339B" w:rsidRDefault="00000000" w:rsidP="002D06AD">
      <w:pP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 xml:space="preserve">Title: </w:t>
      </w:r>
      <w:r>
        <w:rPr>
          <w:rFonts w:ascii="Arial" w:eastAsia="Arial" w:hAnsi="Arial" w:cs="Arial"/>
          <w:color w:val="000000"/>
        </w:rPr>
        <w:t xml:space="preserve">A Fact-Finding Survey of the Concerns of Patients with Cancer: A Network Analysis </w:t>
      </w:r>
    </w:p>
    <w:p w14:paraId="04DE8164" w14:textId="5D898FF0" w:rsidR="00CA62CE" w:rsidRPr="00CA62CE" w:rsidRDefault="00000000" w:rsidP="002D06AD">
      <w:pP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Journal: </w:t>
      </w:r>
      <w:r w:rsidRPr="002D06AD">
        <w:rPr>
          <w:rFonts w:ascii="Arial" w:eastAsia="Arial" w:hAnsi="Arial" w:cs="Arial"/>
          <w:i/>
          <w:iCs/>
          <w:color w:val="000000"/>
        </w:rPr>
        <w:t>Supportive Care in Cancer</w:t>
      </w:r>
    </w:p>
    <w:p w14:paraId="557A2794" w14:textId="77777777" w:rsidR="008D4A63" w:rsidRDefault="008D4A63" w:rsidP="00CA62CE">
      <w:pPr>
        <w:spacing w:line="360" w:lineRule="auto"/>
        <w:rPr>
          <w:rFonts w:ascii="Arial" w:eastAsia="Arial" w:hAnsi="Arial" w:cs="Arial"/>
          <w:b/>
          <w:color w:val="000000"/>
        </w:rPr>
      </w:pPr>
    </w:p>
    <w:p w14:paraId="0F722D20" w14:textId="04FC1339" w:rsidR="0023339B" w:rsidRDefault="00000000" w:rsidP="002D06AD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Author Details</w:t>
      </w:r>
      <w:r w:rsidR="00CA62CE">
        <w:rPr>
          <w:rFonts w:ascii="Arial" w:eastAsia="Arial" w:hAnsi="Arial" w:cs="Arial"/>
          <w:b/>
          <w:color w:val="000000"/>
        </w:rPr>
        <w:t xml:space="preserve">: </w:t>
      </w:r>
      <w:r>
        <w:rPr>
          <w:rFonts w:ascii="Arial" w:eastAsia="Arial" w:hAnsi="Arial" w:cs="Arial"/>
          <w:color w:val="000000"/>
        </w:rPr>
        <w:t>Kazumasa Yamamoto</w:t>
      </w:r>
      <w:r>
        <w:rPr>
          <w:rFonts w:ascii="Arial" w:eastAsia="Arial" w:hAnsi="Arial" w:cs="Arial"/>
          <w:color w:val="000000"/>
          <w:vertAlign w:val="superscript"/>
        </w:rPr>
        <w:t>1</w:t>
      </w:r>
      <w:r>
        <w:rPr>
          <w:rFonts w:ascii="Arial" w:eastAsia="Arial" w:hAnsi="Arial" w:cs="Arial"/>
          <w:color w:val="000000"/>
        </w:rPr>
        <w:t>, Yuko Tanabe</w:t>
      </w:r>
      <w:r>
        <w:rPr>
          <w:rFonts w:ascii="Arial" w:eastAsia="Arial" w:hAnsi="Arial" w:cs="Arial"/>
          <w:color w:val="000000"/>
          <w:vertAlign w:val="superscript"/>
        </w:rPr>
        <w:t>1</w:t>
      </w:r>
      <w:r>
        <w:rPr>
          <w:rFonts w:ascii="Arial" w:eastAsia="Arial" w:hAnsi="Arial" w:cs="Arial"/>
          <w:color w:val="000000"/>
        </w:rPr>
        <w:t>, Kiyomi Nonogaki</w:t>
      </w:r>
      <w:r>
        <w:rPr>
          <w:rFonts w:ascii="Arial" w:eastAsia="Arial" w:hAnsi="Arial" w:cs="Arial"/>
          <w:color w:val="000000"/>
          <w:vertAlign w:val="superscript"/>
        </w:rPr>
        <w:t>1</w:t>
      </w:r>
      <w:r>
        <w:rPr>
          <w:rFonts w:ascii="Arial" w:eastAsia="Arial" w:hAnsi="Arial" w:cs="Arial"/>
          <w:color w:val="000000"/>
        </w:rPr>
        <w:t>, Hiroki Okumura</w:t>
      </w:r>
      <w:r>
        <w:rPr>
          <w:rFonts w:ascii="Arial" w:eastAsia="Arial" w:hAnsi="Arial" w:cs="Arial"/>
          <w:color w:val="000000"/>
          <w:vertAlign w:val="superscript"/>
        </w:rPr>
        <w:t>1</w:t>
      </w:r>
      <w:r>
        <w:rPr>
          <w:rFonts w:ascii="Arial" w:eastAsia="Arial" w:hAnsi="Arial" w:cs="Arial"/>
          <w:color w:val="000000"/>
        </w:rPr>
        <w:t>, Haruka Ozaki</w:t>
      </w:r>
      <w:r>
        <w:rPr>
          <w:rFonts w:ascii="Arial" w:eastAsia="Arial" w:hAnsi="Arial" w:cs="Arial"/>
          <w:color w:val="000000"/>
          <w:vertAlign w:val="superscript"/>
        </w:rPr>
        <w:t>1</w:t>
      </w:r>
      <w:r>
        <w:rPr>
          <w:rFonts w:ascii="Arial" w:eastAsia="Arial" w:hAnsi="Arial" w:cs="Arial"/>
          <w:color w:val="000000"/>
        </w:rPr>
        <w:t>, Masahiro Kuno</w:t>
      </w:r>
      <w:r>
        <w:rPr>
          <w:rFonts w:ascii="Arial" w:eastAsia="Arial" w:hAnsi="Arial" w:cs="Arial"/>
          <w:color w:val="000000"/>
          <w:vertAlign w:val="superscript"/>
        </w:rPr>
        <w:t>1</w:t>
      </w:r>
      <w:r>
        <w:rPr>
          <w:rFonts w:ascii="Arial" w:eastAsia="Arial" w:hAnsi="Arial" w:cs="Arial"/>
          <w:color w:val="000000"/>
        </w:rPr>
        <w:t>, Shogo Watanabe</w:t>
      </w:r>
      <w:r>
        <w:rPr>
          <w:rFonts w:ascii="Arial" w:eastAsia="Arial" w:hAnsi="Arial" w:cs="Arial"/>
          <w:color w:val="000000"/>
          <w:vertAlign w:val="superscript"/>
        </w:rPr>
        <w:t>1</w:t>
      </w:r>
      <w:r>
        <w:rPr>
          <w:rFonts w:ascii="Arial" w:eastAsia="Arial" w:hAnsi="Arial" w:cs="Arial"/>
          <w:color w:val="000000"/>
        </w:rPr>
        <w:t>, Kohji Takemura</w:t>
      </w:r>
      <w:r>
        <w:rPr>
          <w:rFonts w:ascii="Arial" w:eastAsia="Arial" w:hAnsi="Arial" w:cs="Arial"/>
          <w:color w:val="000000"/>
          <w:vertAlign w:val="superscript"/>
        </w:rPr>
        <w:t>1</w:t>
      </w:r>
      <w:r>
        <w:rPr>
          <w:rFonts w:ascii="Arial" w:eastAsia="Arial" w:hAnsi="Arial" w:cs="Arial"/>
          <w:color w:val="000000"/>
        </w:rPr>
        <w:t>, Taro Yamanaka</w:t>
      </w:r>
      <w:r>
        <w:rPr>
          <w:rFonts w:ascii="Arial" w:eastAsia="Arial" w:hAnsi="Arial" w:cs="Arial"/>
          <w:color w:val="000000"/>
          <w:vertAlign w:val="superscript"/>
        </w:rPr>
        <w:t>1</w:t>
      </w:r>
      <w:r>
        <w:rPr>
          <w:rFonts w:ascii="Arial" w:eastAsia="Arial" w:hAnsi="Arial" w:cs="Arial"/>
          <w:color w:val="000000"/>
        </w:rPr>
        <w:t>, Rika Kizawa</w:t>
      </w:r>
      <w:r>
        <w:rPr>
          <w:rFonts w:ascii="Arial" w:eastAsia="Arial" w:hAnsi="Arial" w:cs="Arial"/>
          <w:color w:val="000000"/>
          <w:vertAlign w:val="superscript"/>
        </w:rPr>
        <w:t>1</w:t>
      </w:r>
      <w:r>
        <w:rPr>
          <w:rFonts w:ascii="Arial" w:eastAsia="Arial" w:hAnsi="Arial" w:cs="Arial"/>
          <w:color w:val="000000"/>
        </w:rPr>
        <w:t>, Takeshi Yamaguchi</w:t>
      </w:r>
      <w:r>
        <w:rPr>
          <w:rFonts w:ascii="Arial" w:eastAsia="Arial" w:hAnsi="Arial" w:cs="Arial"/>
          <w:color w:val="000000"/>
          <w:vertAlign w:val="superscript"/>
        </w:rPr>
        <w:t>1</w:t>
      </w:r>
      <w:r>
        <w:rPr>
          <w:rFonts w:ascii="Arial" w:eastAsia="Arial" w:hAnsi="Arial" w:cs="Arial"/>
          <w:color w:val="000000"/>
        </w:rPr>
        <w:t>, Kiyo Tanaka</w:t>
      </w:r>
      <w:r>
        <w:rPr>
          <w:rFonts w:ascii="Arial" w:eastAsia="Arial" w:hAnsi="Arial" w:cs="Arial"/>
          <w:color w:val="000000"/>
          <w:vertAlign w:val="superscript"/>
        </w:rPr>
        <w:t>2</w:t>
      </w:r>
      <w:r>
        <w:rPr>
          <w:rFonts w:ascii="Arial" w:eastAsia="Arial" w:hAnsi="Arial" w:cs="Arial"/>
          <w:color w:val="000000"/>
        </w:rPr>
        <w:t>, Yoko Kobayashi</w:t>
      </w:r>
      <w:r>
        <w:rPr>
          <w:rFonts w:ascii="Arial" w:eastAsia="Arial" w:hAnsi="Arial" w:cs="Arial"/>
          <w:color w:val="000000"/>
          <w:vertAlign w:val="superscript"/>
        </w:rPr>
        <w:t>2</w:t>
      </w:r>
      <w:r>
        <w:rPr>
          <w:rFonts w:ascii="Arial" w:eastAsia="Arial" w:hAnsi="Arial" w:cs="Arial"/>
          <w:color w:val="000000"/>
        </w:rPr>
        <w:t>, Takuya Ogura</w:t>
      </w:r>
      <w:r>
        <w:rPr>
          <w:rFonts w:ascii="Arial" w:eastAsia="Arial" w:hAnsi="Arial" w:cs="Arial"/>
          <w:color w:val="000000"/>
          <w:vertAlign w:val="superscript"/>
        </w:rPr>
        <w:t>2</w:t>
      </w:r>
      <w:r>
        <w:rPr>
          <w:rFonts w:ascii="Arial" w:eastAsia="Arial" w:hAnsi="Arial" w:cs="Arial"/>
          <w:color w:val="000000"/>
        </w:rPr>
        <w:t>, Nobuko Tamura</w:t>
      </w:r>
      <w:r>
        <w:rPr>
          <w:rFonts w:ascii="Arial" w:eastAsia="Arial" w:hAnsi="Arial" w:cs="Arial"/>
          <w:color w:val="000000"/>
          <w:vertAlign w:val="superscript"/>
        </w:rPr>
        <w:t>2</w:t>
      </w:r>
      <w:r>
        <w:rPr>
          <w:rFonts w:ascii="Arial" w:eastAsia="Arial" w:hAnsi="Arial" w:cs="Arial"/>
          <w:color w:val="000000"/>
        </w:rPr>
        <w:t>, Hidetaka Kawabata</w:t>
      </w:r>
      <w:r>
        <w:rPr>
          <w:rFonts w:ascii="Arial" w:eastAsia="Arial" w:hAnsi="Arial" w:cs="Arial"/>
          <w:color w:val="000000"/>
          <w:vertAlign w:val="superscript"/>
        </w:rPr>
        <w:t>2</w:t>
      </w:r>
      <w:r>
        <w:rPr>
          <w:rFonts w:ascii="Arial" w:eastAsia="Arial" w:hAnsi="Arial" w:cs="Arial"/>
          <w:color w:val="000000"/>
        </w:rPr>
        <w:t>, Koichi Suyama</w:t>
      </w:r>
      <w:r>
        <w:rPr>
          <w:rFonts w:ascii="Arial" w:eastAsia="Arial" w:hAnsi="Arial" w:cs="Arial"/>
          <w:color w:val="000000"/>
          <w:vertAlign w:val="superscript"/>
        </w:rPr>
        <w:t>1</w:t>
      </w:r>
      <w:r>
        <w:rPr>
          <w:rFonts w:ascii="Arial" w:eastAsia="Arial" w:hAnsi="Arial" w:cs="Arial"/>
          <w:color w:val="000000"/>
        </w:rPr>
        <w:t>, Yuji Miura</w:t>
      </w:r>
      <w:r>
        <w:rPr>
          <w:rFonts w:ascii="Arial" w:eastAsia="Arial" w:hAnsi="Arial" w:cs="Arial"/>
          <w:color w:val="000000"/>
          <w:vertAlign w:val="superscript"/>
        </w:rPr>
        <w:t>1＊</w:t>
      </w:r>
    </w:p>
    <w:p w14:paraId="2A39DEC5" w14:textId="77777777" w:rsidR="0023339B" w:rsidRDefault="00000000" w:rsidP="002D06AD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vertAlign w:val="superscript"/>
        </w:rPr>
        <w:t>1</w:t>
      </w:r>
      <w:r>
        <w:rPr>
          <w:rFonts w:ascii="Arial" w:eastAsia="Arial" w:hAnsi="Arial" w:cs="Arial"/>
        </w:rPr>
        <w:t>Department of Medical Oncology, Toranomon Hospital, Tokyo, Japan.</w:t>
      </w:r>
    </w:p>
    <w:p w14:paraId="0924039C" w14:textId="77777777" w:rsidR="0023339B" w:rsidRDefault="00000000" w:rsidP="002D06AD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vertAlign w:val="superscript"/>
        </w:rPr>
        <w:t>2</w:t>
      </w:r>
      <w:r>
        <w:rPr>
          <w:rFonts w:ascii="Arial" w:eastAsia="Arial" w:hAnsi="Arial" w:cs="Arial"/>
        </w:rPr>
        <w:t>Department of Breast and Endocrinology surgery, Toranomon Hospital, Tokyo, Japan.</w:t>
      </w:r>
    </w:p>
    <w:p w14:paraId="45AB3B8F" w14:textId="77777777" w:rsidR="0023339B" w:rsidRDefault="0023339B" w:rsidP="002D06AD">
      <w:pPr>
        <w:spacing w:line="360" w:lineRule="auto"/>
        <w:rPr>
          <w:rFonts w:ascii="Arial" w:eastAsia="Arial" w:hAnsi="Arial" w:cs="Arial"/>
        </w:rPr>
      </w:pPr>
    </w:p>
    <w:p w14:paraId="5518A627" w14:textId="77777777" w:rsidR="0023339B" w:rsidRDefault="00000000" w:rsidP="002D06AD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*Correspondence to: Dr. Yuji Miura </w:t>
      </w:r>
    </w:p>
    <w:p w14:paraId="12C71089" w14:textId="77777777" w:rsidR="0023339B" w:rsidRDefault="00000000" w:rsidP="002D06AD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Email: </w:t>
      </w:r>
      <w:hyperlink r:id="rId5" w:history="1">
        <w:r>
          <w:rPr>
            <w:rStyle w:val="ac"/>
            <w:rFonts w:ascii="Arial" w:eastAsia="Arial" w:hAnsi="Arial" w:cs="Arial"/>
            <w:u w:val="single"/>
          </w:rPr>
          <w:t>yujmiura@mac.com</w:t>
        </w:r>
      </w:hyperlink>
    </w:p>
    <w:p w14:paraId="2AFC5C7F" w14:textId="77777777" w:rsidR="0023339B" w:rsidRDefault="0023339B">
      <w:pPr>
        <w:jc w:val="center"/>
        <w:rPr>
          <w:rFonts w:ascii="Arial" w:eastAsia="Arial" w:hAnsi="Arial" w:cs="Arial"/>
          <w:b/>
          <w:bCs/>
          <w:iCs/>
        </w:rPr>
      </w:pPr>
    </w:p>
    <w:p w14:paraId="49255F39" w14:textId="77777777" w:rsidR="008D4A63" w:rsidRDefault="00000000">
      <w:pPr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  <w:b/>
          <w:bCs/>
          <w:iCs/>
        </w:rPr>
        <w:br w:type="page"/>
      </w:r>
    </w:p>
    <w:p w14:paraId="31093B8F" w14:textId="0F938E2C" w:rsidR="00CA70E9" w:rsidRPr="00734433" w:rsidRDefault="00000000" w:rsidP="002D06AD">
      <w:pPr>
        <w:rPr>
          <w:rFonts w:ascii="Arial" w:eastAsia="Arial" w:hAnsi="Arial" w:cs="Arial"/>
          <w:bCs/>
        </w:rPr>
      </w:pPr>
      <w:r w:rsidRPr="002D06AD">
        <w:rPr>
          <w:rFonts w:ascii="Arial" w:eastAsia="Arial" w:hAnsi="Arial" w:cs="Arial"/>
          <w:b/>
          <w:bCs/>
          <w:iCs/>
        </w:rPr>
        <w:lastRenderedPageBreak/>
        <w:t>Supplementary Table</w:t>
      </w:r>
      <w:r w:rsidR="00734433" w:rsidRPr="002D06AD">
        <w:rPr>
          <w:rFonts w:ascii="Arial" w:eastAsia="Arial" w:hAnsi="Arial" w:cs="Arial"/>
          <w:b/>
          <w:bCs/>
          <w:iCs/>
        </w:rPr>
        <w:t xml:space="preserve"> </w:t>
      </w:r>
      <w:r w:rsidRPr="002D06AD">
        <w:rPr>
          <w:rFonts w:ascii="Arial" w:eastAsia="Arial" w:hAnsi="Arial" w:cs="Arial"/>
          <w:b/>
          <w:bCs/>
          <w:iCs/>
        </w:rPr>
        <w:t>1</w:t>
      </w:r>
      <w:r w:rsidR="00734433" w:rsidRPr="002D06AD">
        <w:rPr>
          <w:rFonts w:ascii="Arial" w:eastAsia="Arial" w:hAnsi="Arial" w:cs="Arial"/>
          <w:b/>
          <w:bCs/>
          <w:iCs/>
        </w:rPr>
        <w:t>.</w:t>
      </w:r>
      <w:r w:rsidRPr="00734433">
        <w:rPr>
          <w:rFonts w:ascii="Arial" w:eastAsia="Arial" w:hAnsi="Arial" w:cs="Arial"/>
          <w:b/>
          <w:bCs/>
        </w:rPr>
        <w:t xml:space="preserve"> </w:t>
      </w:r>
      <w:r w:rsidR="00565EDA" w:rsidRPr="002D06AD">
        <w:rPr>
          <w:rFonts w:ascii="Arial" w:eastAsia="Arial" w:hAnsi="Arial" w:cs="Arial"/>
          <w:bCs/>
        </w:rPr>
        <w:t>Questionnaire Items in the Survey</w:t>
      </w:r>
    </w:p>
    <w:tbl>
      <w:tblPr>
        <w:tblStyle w:val="a3"/>
        <w:tblW w:w="10376" w:type="dxa"/>
        <w:tblInd w:w="-941" w:type="dxa"/>
        <w:tblLook w:val="0000" w:firstRow="0" w:lastRow="0" w:firstColumn="0" w:lastColumn="0" w:noHBand="0" w:noVBand="0"/>
      </w:tblPr>
      <w:tblGrid>
        <w:gridCol w:w="3963"/>
        <w:gridCol w:w="6413"/>
      </w:tblGrid>
      <w:tr w:rsidR="00377D5D" w14:paraId="31093B92" w14:textId="77777777">
        <w:trPr>
          <w:trHeight w:val="330"/>
        </w:trPr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14:paraId="31093B90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General Symptoms</w:t>
            </w:r>
          </w:p>
        </w:tc>
        <w:tc>
          <w:tcPr>
            <w:tcW w:w="6413" w:type="dxa"/>
            <w:tcBorders>
              <w:top w:val="single" w:sz="4" w:space="0" w:color="auto"/>
              <w:bottom w:val="single" w:sz="4" w:space="0" w:color="auto"/>
            </w:tcBorders>
          </w:tcPr>
          <w:p w14:paraId="31093B91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Physical decline, Fatigue, Fever, Headache, Other pain, Weight loss, Weight gain</w:t>
            </w:r>
          </w:p>
        </w:tc>
      </w:tr>
      <w:tr w:rsidR="00377D5D" w14:paraId="31093B95" w14:textId="77777777">
        <w:trPr>
          <w:trHeight w:val="508"/>
        </w:trPr>
        <w:tc>
          <w:tcPr>
            <w:tcW w:w="3963" w:type="dxa"/>
            <w:tcBorders>
              <w:bottom w:val="single" w:sz="4" w:space="0" w:color="auto"/>
            </w:tcBorders>
          </w:tcPr>
          <w:p w14:paraId="31093B93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General Symptoms</w:t>
            </w:r>
          </w:p>
        </w:tc>
        <w:tc>
          <w:tcPr>
            <w:tcW w:w="6413" w:type="dxa"/>
            <w:tcBorders>
              <w:bottom w:val="single" w:sz="4" w:space="0" w:color="auto"/>
            </w:tcBorders>
          </w:tcPr>
          <w:p w14:paraId="31093B94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Anorexia, Nausea/vomiting, Diarrhea, Constipation, Abdominal pain, Bloating, Mouth sores, Dysgeusia, Dry mouth, Colostomy</w:t>
            </w:r>
          </w:p>
        </w:tc>
      </w:tr>
      <w:tr w:rsidR="00377D5D" w14:paraId="31093B98" w14:textId="77777777">
        <w:trPr>
          <w:trHeight w:val="298"/>
        </w:trPr>
        <w:tc>
          <w:tcPr>
            <w:tcW w:w="3963" w:type="dxa"/>
            <w:tcBorders>
              <w:bottom w:val="single" w:sz="4" w:space="0" w:color="auto"/>
            </w:tcBorders>
          </w:tcPr>
          <w:p w14:paraId="31093B96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Respiratory Symptoms</w:t>
            </w:r>
          </w:p>
        </w:tc>
        <w:tc>
          <w:tcPr>
            <w:tcW w:w="6413" w:type="dxa"/>
            <w:tcBorders>
              <w:bottom w:val="single" w:sz="4" w:space="0" w:color="auto"/>
            </w:tcBorders>
          </w:tcPr>
          <w:p w14:paraId="31093B97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Palpitations, Hypertension, Hypotension, Edema</w:t>
            </w:r>
          </w:p>
        </w:tc>
      </w:tr>
      <w:tr w:rsidR="00377D5D" w14:paraId="31093B9B" w14:textId="77777777">
        <w:trPr>
          <w:trHeight w:val="270"/>
        </w:trPr>
        <w:tc>
          <w:tcPr>
            <w:tcW w:w="3963" w:type="dxa"/>
            <w:tcBorders>
              <w:bottom w:val="single" w:sz="4" w:space="0" w:color="auto"/>
            </w:tcBorders>
          </w:tcPr>
          <w:p w14:paraId="31093B99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Respiratory Symptoms</w:t>
            </w:r>
          </w:p>
        </w:tc>
        <w:tc>
          <w:tcPr>
            <w:tcW w:w="6413" w:type="dxa"/>
            <w:tcBorders>
              <w:bottom w:val="single" w:sz="4" w:space="0" w:color="auto"/>
            </w:tcBorders>
          </w:tcPr>
          <w:p w14:paraId="31093B9A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Cough, Sputum, Dyspnea, Hoarseness</w:t>
            </w:r>
          </w:p>
        </w:tc>
      </w:tr>
      <w:tr w:rsidR="00377D5D" w14:paraId="31093B9E" w14:textId="77777777">
        <w:trPr>
          <w:trHeight w:val="430"/>
        </w:trPr>
        <w:tc>
          <w:tcPr>
            <w:tcW w:w="3963" w:type="dxa"/>
            <w:tcBorders>
              <w:bottom w:val="single" w:sz="4" w:space="0" w:color="auto"/>
            </w:tcBorders>
          </w:tcPr>
          <w:p w14:paraId="31093B9C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Neurological Symptoms</w:t>
            </w:r>
          </w:p>
        </w:tc>
        <w:tc>
          <w:tcPr>
            <w:tcW w:w="6413" w:type="dxa"/>
            <w:tcBorders>
              <w:bottom w:val="single" w:sz="4" w:space="0" w:color="auto"/>
            </w:tcBorders>
          </w:tcPr>
          <w:p w14:paraId="31093B9D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Numbness, Muscle weakness, Dizziness, Tinnitus, Memory impairment</w:t>
            </w:r>
          </w:p>
        </w:tc>
      </w:tr>
      <w:tr w:rsidR="00377D5D" w14:paraId="31093BA1" w14:textId="77777777">
        <w:trPr>
          <w:trHeight w:val="166"/>
        </w:trPr>
        <w:tc>
          <w:tcPr>
            <w:tcW w:w="3963" w:type="dxa"/>
            <w:tcBorders>
              <w:bottom w:val="single" w:sz="4" w:space="0" w:color="auto"/>
            </w:tcBorders>
          </w:tcPr>
          <w:p w14:paraId="31093B9F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Ocular Symptoms</w:t>
            </w:r>
          </w:p>
        </w:tc>
        <w:tc>
          <w:tcPr>
            <w:tcW w:w="6413" w:type="dxa"/>
            <w:tcBorders>
              <w:bottom w:val="single" w:sz="4" w:space="0" w:color="auto"/>
            </w:tcBorders>
          </w:tcPr>
          <w:p w14:paraId="31093BA0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Impaired vision, Dry eyes</w:t>
            </w:r>
          </w:p>
        </w:tc>
      </w:tr>
      <w:tr w:rsidR="00377D5D" w14:paraId="31093BA4" w14:textId="77777777">
        <w:trPr>
          <w:trHeight w:val="270"/>
        </w:trPr>
        <w:tc>
          <w:tcPr>
            <w:tcW w:w="3963" w:type="dxa"/>
            <w:tcBorders>
              <w:bottom w:val="single" w:sz="4" w:space="0" w:color="auto"/>
            </w:tcBorders>
          </w:tcPr>
          <w:p w14:paraId="31093BA2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Psychological Symptoms</w:t>
            </w:r>
          </w:p>
        </w:tc>
        <w:tc>
          <w:tcPr>
            <w:tcW w:w="6413" w:type="dxa"/>
            <w:tcBorders>
              <w:bottom w:val="single" w:sz="4" w:space="0" w:color="auto"/>
            </w:tcBorders>
          </w:tcPr>
          <w:p w14:paraId="31093BA3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Depression, Insomnia, Anxiety</w:t>
            </w:r>
          </w:p>
        </w:tc>
      </w:tr>
      <w:tr w:rsidR="00377D5D" w14:paraId="31093BA7" w14:textId="77777777">
        <w:trPr>
          <w:trHeight w:val="298"/>
        </w:trPr>
        <w:tc>
          <w:tcPr>
            <w:tcW w:w="3963" w:type="dxa"/>
            <w:tcBorders>
              <w:bottom w:val="single" w:sz="4" w:space="0" w:color="auto"/>
            </w:tcBorders>
          </w:tcPr>
          <w:p w14:paraId="31093BA5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Urological Symptoms</w:t>
            </w:r>
          </w:p>
        </w:tc>
        <w:tc>
          <w:tcPr>
            <w:tcW w:w="6413" w:type="dxa"/>
            <w:tcBorders>
              <w:bottom w:val="single" w:sz="4" w:space="0" w:color="auto"/>
            </w:tcBorders>
          </w:tcPr>
          <w:p w14:paraId="31093BA6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Dysuria, Hematuria, Nephrostomy</w:t>
            </w:r>
          </w:p>
        </w:tc>
      </w:tr>
      <w:tr w:rsidR="00377D5D" w14:paraId="31093BAA" w14:textId="77777777">
        <w:trPr>
          <w:trHeight w:val="508"/>
        </w:trPr>
        <w:tc>
          <w:tcPr>
            <w:tcW w:w="3963" w:type="dxa"/>
            <w:tcBorders>
              <w:bottom w:val="single" w:sz="4" w:space="0" w:color="auto"/>
            </w:tcBorders>
          </w:tcPr>
          <w:p w14:paraId="31093BA8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Dermatological Symptoms</w:t>
            </w:r>
          </w:p>
        </w:tc>
        <w:tc>
          <w:tcPr>
            <w:tcW w:w="6413" w:type="dxa"/>
            <w:tcBorders>
              <w:bottom w:val="single" w:sz="4" w:space="0" w:color="auto"/>
            </w:tcBorders>
          </w:tcPr>
          <w:p w14:paraId="31093BA9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Itchiness, Redness, Pigmentation, Nail changes, Dry skin, Acne, Hair loss, Eyelash loss, Eyebrow loss, Other hair loss, Hand-foot syndrome, Lymphedema</w:t>
            </w:r>
          </w:p>
        </w:tc>
      </w:tr>
      <w:tr w:rsidR="00377D5D" w14:paraId="31093BAD" w14:textId="77777777">
        <w:trPr>
          <w:trHeight w:val="298"/>
        </w:trPr>
        <w:tc>
          <w:tcPr>
            <w:tcW w:w="3963" w:type="dxa"/>
            <w:tcBorders>
              <w:bottom w:val="single" w:sz="4" w:space="0" w:color="auto"/>
            </w:tcBorders>
          </w:tcPr>
          <w:p w14:paraId="31093BAB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Reproductive Health</w:t>
            </w:r>
          </w:p>
        </w:tc>
        <w:tc>
          <w:tcPr>
            <w:tcW w:w="6413" w:type="dxa"/>
            <w:tcBorders>
              <w:bottom w:val="single" w:sz="4" w:space="0" w:color="auto"/>
            </w:tcBorders>
          </w:tcPr>
          <w:p w14:paraId="31093BAC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Menstrual disorders, Menopausal disorders, Pregnant/Delivery, Sexual life</w:t>
            </w:r>
          </w:p>
        </w:tc>
      </w:tr>
      <w:tr w:rsidR="00377D5D" w14:paraId="31093BB0" w14:textId="77777777">
        <w:trPr>
          <w:trHeight w:val="747"/>
        </w:trPr>
        <w:tc>
          <w:tcPr>
            <w:tcW w:w="3963" w:type="dxa"/>
            <w:tcBorders>
              <w:bottom w:val="single" w:sz="4" w:space="0" w:color="auto"/>
            </w:tcBorders>
          </w:tcPr>
          <w:p w14:paraId="31093BAE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Social and Economic Impact</w:t>
            </w:r>
          </w:p>
        </w:tc>
        <w:tc>
          <w:tcPr>
            <w:tcW w:w="6413" w:type="dxa"/>
            <w:tcBorders>
              <w:bottom w:val="single" w:sz="4" w:space="0" w:color="auto"/>
            </w:tcBorders>
          </w:tcPr>
          <w:p w14:paraId="31093BAF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Impact on spouse, Impact on children, Family care, Housework/childcare, Employment, Finance, Hospital visits, Social support systems, Rehabilitation, Cancer counseling</w:t>
            </w:r>
          </w:p>
        </w:tc>
      </w:tr>
      <w:tr w:rsidR="00377D5D" w14:paraId="31093BB3" w14:textId="77777777">
        <w:trPr>
          <w:trHeight w:val="866"/>
        </w:trPr>
        <w:tc>
          <w:tcPr>
            <w:tcW w:w="3963" w:type="dxa"/>
            <w:tcBorders>
              <w:bottom w:val="single" w:sz="4" w:space="0" w:color="auto"/>
            </w:tcBorders>
          </w:tcPr>
          <w:p w14:paraId="31093BB1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Support and Healthcare Interaction</w:t>
            </w:r>
          </w:p>
        </w:tc>
        <w:tc>
          <w:tcPr>
            <w:tcW w:w="6413" w:type="dxa"/>
            <w:tcBorders>
              <w:bottom w:val="single" w:sz="4" w:space="0" w:color="auto"/>
            </w:tcBorders>
          </w:tcPr>
          <w:p w14:paraId="31093BB2" w14:textId="77777777" w:rsidR="00CA70E9" w:rsidRDefault="00000000">
            <w:pP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Appearance changes, Nutritional management, Blood tests, Intravenous Route, CV port, Image tests</w:t>
            </w:r>
            <w:r>
              <w:t xml:space="preserve"> </w:t>
            </w:r>
            <w:r>
              <w:rPr>
                <w:rFonts w:ascii="Arial" w:eastAsia="Arial" w:hAnsi="Arial" w:cs="Arial"/>
              </w:rPr>
              <w:t>(CT etc.), Communication with health care providers, Treatment options, Supplements, Chemotherapy exposure</w:t>
            </w:r>
          </w:p>
        </w:tc>
      </w:tr>
    </w:tbl>
    <w:p w14:paraId="31093BB4" w14:textId="77777777" w:rsidR="00CA70E9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Abbreviations: CV: central venous; CT: computed tomography.</w:t>
      </w:r>
    </w:p>
    <w:sectPr w:rsidR="00CA70E9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D5C7E"/>
    <w:multiLevelType w:val="multilevel"/>
    <w:tmpl w:val="4498F9FA"/>
    <w:lvl w:ilvl="0">
      <w:start w:val="1"/>
      <w:numFmt w:val="decimal"/>
      <w:lvlText w:val=""/>
      <w:lvlJc w:val="left"/>
      <w:pPr>
        <w:ind w:left="360" w:hanging="360"/>
      </w:pPr>
      <w:rPr>
        <w:rFonts w:ascii="Wingdings" w:eastAsia="Wingdings" w:hAnsi="Wingdings" w:cs="Wingdings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 w16cid:durableId="162280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E9"/>
    <w:rsid w:val="0023339B"/>
    <w:rsid w:val="002D06AD"/>
    <w:rsid w:val="00377D5D"/>
    <w:rsid w:val="00391AF1"/>
    <w:rsid w:val="00452832"/>
    <w:rsid w:val="00565EDA"/>
    <w:rsid w:val="00734433"/>
    <w:rsid w:val="008D4A63"/>
    <w:rsid w:val="00CA62CE"/>
    <w:rsid w:val="00CA70E9"/>
    <w:rsid w:val="00DB4D92"/>
    <w:rsid w:val="00FA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093B8E"/>
  <w15:docId w15:val="{4E6B768B-975D-4DFA-8108-E5F383AC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pPr>
      <w:spacing w:line="330" w:lineRule="auto"/>
    </w:pPr>
    <w:rPr>
      <w:rFonts w:ascii="Calibri" w:eastAsia="Calibri" w:hAnsi="Calibri" w:cs="Calibri"/>
    </w:rPr>
  </w:style>
  <w:style w:type="paragraph" w:styleId="3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8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7">
    <w:name w:val="annotation text"/>
    <w:basedOn w:val="a"/>
    <w:rPr>
      <w:rFonts w:ascii="Calibri" w:eastAsia="Calibri" w:hAnsi="Calibri" w:cs="Calibri"/>
      <w:sz w:val="20"/>
    </w:rPr>
  </w:style>
  <w:style w:type="paragraph" w:styleId="a8">
    <w:name w:val="annotation subject"/>
    <w:basedOn w:val="a7"/>
    <w:rPr>
      <w:b/>
    </w:rPr>
  </w:style>
  <w:style w:type="paragraph" w:styleId="a9">
    <w:name w:val="List Paragraph"/>
    <w:basedOn w:val="a"/>
    <w:pPr>
      <w:widowControl w:val="0"/>
      <w:ind w:left="840"/>
      <w:jc w:val="both"/>
    </w:pPr>
    <w:rPr>
      <w:rFonts w:ascii="游明朝" w:eastAsia="游明朝" w:hAnsi="游明朝" w:cs="游明朝"/>
      <w:sz w:val="21"/>
    </w:rPr>
  </w:style>
  <w:style w:type="character" w:styleId="aa">
    <w:name w:val="Strong"/>
    <w:basedOn w:val="a0"/>
    <w:qFormat/>
    <w:rPr>
      <w:b/>
    </w:rPr>
  </w:style>
  <w:style w:type="paragraph" w:customStyle="1" w:styleId="TableList">
    <w:name w:val="Table List"/>
    <w:basedOn w:val="a"/>
    <w:pPr>
      <w:ind w:left="300" w:hanging="300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</w:style>
  <w:style w:type="character" w:customStyle="1" w:styleId="FamilyName">
    <w:name w:val="Family Name"/>
    <w:basedOn w:val="a0"/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</w:style>
  <w:style w:type="character" w:customStyle="1" w:styleId="Postcode">
    <w:name w:val="Postcode"/>
    <w:basedOn w:val="a0"/>
  </w:style>
  <w:style w:type="paragraph" w:customStyle="1" w:styleId="Authors">
    <w:name w:val="Authors"/>
    <w:basedOn w:val="a"/>
    <w:pPr>
      <w:spacing w:before="360" w:after="120" w:line="283" w:lineRule="auto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</w:style>
  <w:style w:type="paragraph" w:customStyle="1" w:styleId="Annotation">
    <w:name w:val="Annotation"/>
    <w:basedOn w:val="a"/>
    <w:pPr>
      <w:spacing w:after="160" w:line="360" w:lineRule="auto"/>
      <w:ind w:left="400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 w:val="22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  <w:jc w:val="both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</w:style>
  <w:style w:type="paragraph" w:styleId="20">
    <w:name w:val="List 2"/>
    <w:basedOn w:val="a"/>
    <w:pPr>
      <w:spacing w:line="360" w:lineRule="auto"/>
      <w:ind w:left="800" w:hanging="400"/>
      <w:jc w:val="both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b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</w:style>
  <w:style w:type="character" w:customStyle="1" w:styleId="City">
    <w:name w:val="City"/>
    <w:basedOn w:val="a0"/>
  </w:style>
  <w:style w:type="character" w:styleId="ac">
    <w:name w:val="Hyperlink"/>
    <w:basedOn w:val="a0"/>
    <w:rPr>
      <w:color w:val="0563C1"/>
    </w:rPr>
  </w:style>
  <w:style w:type="character" w:customStyle="1" w:styleId="Region">
    <w:name w:val="Region"/>
    <w:basedOn w:val="a0"/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character" w:customStyle="1" w:styleId="DatabaseLink">
    <w:name w:val="Database Link"/>
    <w:basedOn w:val="a0"/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z w:val="20"/>
    </w:rPr>
  </w:style>
  <w:style w:type="character" w:customStyle="1" w:styleId="PageNumbers">
    <w:name w:val="Page Numbers"/>
    <w:basedOn w:val="a0"/>
  </w:style>
  <w:style w:type="paragraph" w:styleId="ad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character" w:customStyle="1" w:styleId="VolumeNumber">
    <w:name w:val="Volume Number"/>
    <w:basedOn w:val="a0"/>
  </w:style>
  <w:style w:type="character" w:customStyle="1" w:styleId="GeneSequence">
    <w:name w:val="Gene Sequence"/>
    <w:basedOn w:val="a0"/>
  </w:style>
  <w:style w:type="paragraph" w:styleId="ae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</w:style>
  <w:style w:type="paragraph" w:styleId="af">
    <w:name w:val="List"/>
    <w:basedOn w:val="a"/>
    <w:pPr>
      <w:spacing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</w:rPr>
  </w:style>
  <w:style w:type="paragraph" w:styleId="30">
    <w:name w:val="List 3"/>
    <w:basedOn w:val="a"/>
    <w:pPr>
      <w:spacing w:line="360" w:lineRule="auto"/>
      <w:ind w:left="1200" w:hanging="400"/>
      <w:jc w:val="both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</w:style>
  <w:style w:type="paragraph" w:customStyle="1" w:styleId="Surtitle">
    <w:name w:val="Surtitle"/>
    <w:basedOn w:val="a"/>
    <w:qFormat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</w:pPr>
    <w:rPr>
      <w:rFonts w:ascii="Calibri" w:eastAsia="Calibri" w:hAnsi="Calibri" w:cs="Calibri"/>
    </w:rPr>
  </w:style>
  <w:style w:type="character" w:customStyle="1" w:styleId="Miscellaneous">
    <w:name w:val="Miscellaneous"/>
    <w:basedOn w:val="a0"/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</w:style>
  <w:style w:type="paragraph" w:styleId="af0">
    <w:name w:val="Subtitle"/>
    <w:basedOn w:val="a"/>
    <w:qFormat/>
    <w:pPr>
      <w:spacing w:after="160" w:line="208" w:lineRule="auto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  <w:jc w:val="both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</w:style>
  <w:style w:type="paragraph" w:customStyle="1" w:styleId="TableBody">
    <w:name w:val="Table Body"/>
    <w:basedOn w:val="a"/>
    <w:pPr>
      <w:spacing w:after="160" w:line="396" w:lineRule="auto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0">
    <w:name w:val="Comment Text_0"/>
    <w:basedOn w:val="a"/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</w:rPr>
  </w:style>
  <w:style w:type="paragraph" w:customStyle="1" w:styleId="List1">
    <w:name w:val="List 1"/>
    <w:basedOn w:val="a"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paragraph" w:styleId="af1">
    <w:name w:val="Revision"/>
    <w:rPr>
      <w:rFonts w:ascii="ＭＳ Ｐゴシック" w:eastAsia="ＭＳ Ｐゴシック" w:hAnsi="ＭＳ Ｐゴシック" w:cs="ＭＳ Ｐゴシック"/>
      <w:sz w:val="24"/>
    </w:rPr>
  </w:style>
  <w:style w:type="paragraph" w:styleId="af2">
    <w:name w:val="header"/>
    <w:basedOn w:val="a"/>
    <w:pPr>
      <w:tabs>
        <w:tab w:val="center" w:pos="4513"/>
        <w:tab w:val="right" w:pos="9026"/>
      </w:tabs>
    </w:pPr>
  </w:style>
  <w:style w:type="paragraph" w:styleId="af3">
    <w:name w:val="footer"/>
    <w:basedOn w:val="a"/>
    <w:pPr>
      <w:tabs>
        <w:tab w:val="center" w:pos="4513"/>
        <w:tab w:val="right" w:pos="9026"/>
      </w:tabs>
    </w:pPr>
  </w:style>
  <w:style w:type="paragraph" w:styleId="af4">
    <w:name w:val="footnote text"/>
    <w:basedOn w:val="a"/>
    <w:rPr>
      <w:rFonts w:ascii="Calibri" w:eastAsia="Calibri" w:hAnsi="Calibri" w:cs="Calibri"/>
    </w:rPr>
  </w:style>
  <w:style w:type="paragraph" w:styleId="af5">
    <w:name w:val="endnote text"/>
    <w:basedOn w:val="a"/>
    <w:rPr>
      <w:rFonts w:ascii="Calibri" w:eastAsia="Calibri" w:hAnsi="Calibri" w:cs="Calibri"/>
    </w:rPr>
  </w:style>
  <w:style w:type="paragraph" w:styleId="af6">
    <w:name w:val="caption"/>
    <w:basedOn w:val="a"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  <w:shd w:val="clear" w:color="auto" w:fill="FFF5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ujmiura@ma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一将 山本</cp:lastModifiedBy>
  <cp:revision>9</cp:revision>
  <dcterms:created xsi:type="dcterms:W3CDTF">2024-07-10T16:12:00Z</dcterms:created>
  <dcterms:modified xsi:type="dcterms:W3CDTF">2024-07-10T21:22:00Z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0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0dd35994-21c7-41b1-9bf7-6fa2df3a3cca.docx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MG-Session/On-20240710/I:45f5f683-7fda-4259-85ee-43be2215b907</vt:lpwstr>
  </property>
  <property fmtid="{D5CDD505-2E9C-101B-9397-08002B2CF9AE}" pid="18" name="Merops processed date">
    <vt:lpwstr>2024/07/10 03:35:40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merops/preset-v1/springer-basic-brackets</vt:lpwstr>
  </property>
  <property fmtid="{D5CDD505-2E9C-101B-9397-08002B2CF9AE}" pid="24" name="Merops Standard Set modified">
    <vt:lpwstr/>
  </property>
  <property fmtid="{D5CDD505-2E9C-101B-9397-08002B2CF9AE}" pid="25" name="Merops tables count">
    <vt:lpwstr>1</vt:lpwstr>
  </property>
  <property fmtid="{D5CDD505-2E9C-101B-9397-08002B2CF9AE}" pid="26" name="Merops word count">
    <vt:lpwstr>161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