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7D0E23" w14:textId="77777777" w:rsidR="00ED2A97" w:rsidRDefault="00ED2A97" w:rsidP="00ED2A97">
      <w:pPr>
        <w:spacing w:line="360" w:lineRule="auto"/>
        <w:jc w:val="both"/>
        <w:rPr>
          <w:rFonts w:ascii="Aptos" w:hAnsi="Aptos" w:cs="Arial"/>
          <w:color w:val="202124"/>
          <w:shd w:val="clear" w:color="auto" w:fill="FFFFFF"/>
        </w:rPr>
      </w:pPr>
      <w:r w:rsidRPr="006E2C3F">
        <w:rPr>
          <w:noProof/>
          <w:color w:val="156082" w:themeColor="accent1"/>
          <w:sz w:val="22"/>
          <w:szCs w:val="22"/>
        </w:rPr>
        <w:drawing>
          <wp:inline distT="0" distB="0" distL="0" distR="0" wp14:anchorId="553E211B" wp14:editId="4B88DB74">
            <wp:extent cx="5731510" cy="3211830"/>
            <wp:effectExtent l="0" t="0" r="0" b="1270"/>
            <wp:docPr id="86101259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012598" name=""/>
                    <pic:cNvPicPr/>
                  </pic:nvPicPr>
                  <pic:blipFill>
                    <a:blip r:embed="rId4">
                      <a:extLst>
                        <a:ext uri="{96DAC541-7B7A-43D3-8B79-37D633B846F1}">
                          <asvg:svgBlip xmlns:asvg="http://schemas.microsoft.com/office/drawing/2016/SVG/main" r:embed="rId5"/>
                        </a:ext>
                      </a:extLst>
                    </a:blip>
                    <a:stretch>
                      <a:fillRect/>
                    </a:stretch>
                  </pic:blipFill>
                  <pic:spPr>
                    <a:xfrm>
                      <a:off x="0" y="0"/>
                      <a:ext cx="5731510" cy="3211830"/>
                    </a:xfrm>
                    <a:prstGeom prst="rect">
                      <a:avLst/>
                    </a:prstGeom>
                  </pic:spPr>
                </pic:pic>
              </a:graphicData>
            </a:graphic>
          </wp:inline>
        </w:drawing>
      </w:r>
    </w:p>
    <w:p w14:paraId="33942437" w14:textId="77777777" w:rsidR="00ED2A97" w:rsidRPr="00D53313" w:rsidRDefault="00ED2A97" w:rsidP="00ED2A97">
      <w:pPr>
        <w:spacing w:line="276" w:lineRule="auto"/>
        <w:jc w:val="both"/>
        <w:rPr>
          <w:color w:val="156082" w:themeColor="accent1"/>
          <w:sz w:val="20"/>
          <w:szCs w:val="20"/>
        </w:rPr>
      </w:pPr>
      <w:r w:rsidRPr="00D53313">
        <w:rPr>
          <w:color w:val="156082" w:themeColor="accent1"/>
          <w:sz w:val="20"/>
          <w:szCs w:val="20"/>
        </w:rPr>
        <w:t xml:space="preserve">Table 1. Summary of ligand binding site prediction methods. Approach: the techniques applied by the method; Features/#Features: </w:t>
      </w:r>
      <w:proofErr w:type="gramStart"/>
      <w:r w:rsidRPr="00D53313">
        <w:rPr>
          <w:color w:val="156082" w:themeColor="accent1"/>
          <w:sz w:val="20"/>
          <w:szCs w:val="20"/>
        </w:rPr>
        <w:t>the</w:t>
      </w:r>
      <w:proofErr w:type="gramEnd"/>
      <w:r w:rsidRPr="00D53313">
        <w:rPr>
          <w:color w:val="156082" w:themeColor="accent1"/>
          <w:sz w:val="20"/>
          <w:szCs w:val="20"/>
        </w:rPr>
        <w:t xml:space="preserve"> Features and their number if the method is machine learning-based; P centroid/P residues/P score/P ranking/R score: whether the method reports the pocket centroid, pocket residues, pocket score, pocket ranking and residue </w:t>
      </w:r>
      <w:proofErr w:type="spellStart"/>
      <w:r w:rsidRPr="00D53313">
        <w:rPr>
          <w:i/>
          <w:iCs/>
          <w:color w:val="156082" w:themeColor="accent1"/>
          <w:sz w:val="20"/>
          <w:szCs w:val="20"/>
        </w:rPr>
        <w:t>ligandability</w:t>
      </w:r>
      <w:proofErr w:type="spellEnd"/>
      <w:r w:rsidRPr="00D53313">
        <w:rPr>
          <w:color w:val="156082" w:themeColor="accent1"/>
          <w:sz w:val="20"/>
          <w:szCs w:val="20"/>
        </w:rPr>
        <w:t xml:space="preserve"> score. Information about their clustering strategies is also relevant: whether the method uses a residue </w:t>
      </w:r>
      <w:proofErr w:type="spellStart"/>
      <w:r w:rsidRPr="00D53313">
        <w:rPr>
          <w:color w:val="156082" w:themeColor="accent1"/>
          <w:sz w:val="20"/>
          <w:szCs w:val="20"/>
        </w:rPr>
        <w:t>ligandability</w:t>
      </w:r>
      <w:proofErr w:type="spellEnd"/>
      <w:r w:rsidRPr="00D53313">
        <w:rPr>
          <w:color w:val="156082" w:themeColor="accent1"/>
          <w:sz w:val="20"/>
          <w:szCs w:val="20"/>
        </w:rPr>
        <w:t xml:space="preserve"> threshold (R score threshold), the instances they cluster (Cluster) to define the distinct pockets, the clustering algorithm used (Algorithm) and threshold employed (Threshold). For example, P2Rank uses a random forest classifier on SAS points represented by 35 atom and residue features. Points with a score &gt; 0.35 are later clustered into binding sites using single linkage and a threshold of 3Å. EGNN + VN: equivariant graph neural network + virtual nodes; </w:t>
      </w:r>
      <w:proofErr w:type="spellStart"/>
      <w:r w:rsidRPr="00D53313">
        <w:rPr>
          <w:color w:val="156082" w:themeColor="accent1"/>
          <w:sz w:val="20"/>
          <w:szCs w:val="20"/>
        </w:rPr>
        <w:t>LightGBM</w:t>
      </w:r>
      <w:proofErr w:type="spellEnd"/>
      <w:r w:rsidRPr="00D53313">
        <w:rPr>
          <w:color w:val="156082" w:themeColor="accent1"/>
          <w:sz w:val="20"/>
          <w:szCs w:val="20"/>
        </w:rPr>
        <w:t xml:space="preserve">: Light gradient boosting machine; GAT: graph attention network; GNN: graph neural network; DRN: deep residual network; 3D-CNN: three-dimensional convolutional neural network; LJ potential: Lennard-Jones potential.  </w:t>
      </w:r>
    </w:p>
    <w:p w14:paraId="5B523203" w14:textId="77777777" w:rsidR="008B2388" w:rsidRDefault="008B2388"/>
    <w:p w14:paraId="7865E9C6" w14:textId="77777777" w:rsidR="00ED2A97" w:rsidRDefault="00ED2A97" w:rsidP="00ED2A97">
      <w:pPr>
        <w:spacing w:line="360" w:lineRule="auto"/>
        <w:jc w:val="both"/>
      </w:pPr>
    </w:p>
    <w:p w14:paraId="78C63A0D" w14:textId="5C25ADC2" w:rsidR="00ED2A97" w:rsidRPr="001F1176" w:rsidRDefault="00ED2A97" w:rsidP="00ED2A97">
      <w:pPr>
        <w:spacing w:line="276" w:lineRule="auto"/>
        <w:jc w:val="both"/>
      </w:pPr>
      <w:r w:rsidRPr="000A37D4">
        <w:rPr>
          <w:rFonts w:eastAsiaTheme="minorEastAsia"/>
          <w:noProof/>
          <w:color w:val="156082" w:themeColor="accent1"/>
          <w:sz w:val="22"/>
          <w:szCs w:val="22"/>
        </w:rPr>
        <w:lastRenderedPageBreak/>
        <w:drawing>
          <wp:anchor distT="0" distB="0" distL="114300" distR="114300" simplePos="0" relativeHeight="251661312" behindDoc="0" locked="0" layoutInCell="1" allowOverlap="1" wp14:anchorId="628481FA" wp14:editId="2C87D44E">
            <wp:simplePos x="0" y="0"/>
            <wp:positionH relativeFrom="margin">
              <wp:align>left</wp:align>
            </wp:positionH>
            <wp:positionV relativeFrom="paragraph">
              <wp:posOffset>5369197</wp:posOffset>
            </wp:positionV>
            <wp:extent cx="5731510" cy="2853055"/>
            <wp:effectExtent l="0" t="0" r="2540" b="4445"/>
            <wp:wrapTopAndBottom/>
            <wp:docPr id="167646459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464591" name=""/>
                    <pic:cNvPicPr/>
                  </pic:nvPicPr>
                  <pic:blipFill>
                    <a:blip r:embed="rId6">
                      <a:extLst>
                        <a:ext uri="{96DAC541-7B7A-43D3-8B79-37D633B846F1}">
                          <asvg:svgBlip xmlns:asvg="http://schemas.microsoft.com/office/drawing/2016/SVG/main" r:embed="rId7"/>
                        </a:ext>
                      </a:extLst>
                    </a:blip>
                    <a:stretch>
                      <a:fillRect/>
                    </a:stretch>
                  </pic:blipFill>
                  <pic:spPr>
                    <a:xfrm>
                      <a:off x="0" y="0"/>
                      <a:ext cx="5731510" cy="2853055"/>
                    </a:xfrm>
                    <a:prstGeom prst="rect">
                      <a:avLst/>
                    </a:prstGeom>
                  </pic:spPr>
                </pic:pic>
              </a:graphicData>
            </a:graphic>
            <wp14:sizeRelH relativeFrom="page">
              <wp14:pctWidth>0</wp14:pctWidth>
            </wp14:sizeRelH>
            <wp14:sizeRelV relativeFrom="page">
              <wp14:pctHeight>0</wp14:pctHeight>
            </wp14:sizeRelV>
          </wp:anchor>
        </w:drawing>
      </w:r>
      <w:r w:rsidRPr="001F462D">
        <w:rPr>
          <w:noProof/>
        </w:rPr>
        <w:drawing>
          <wp:anchor distT="0" distB="0" distL="114300" distR="114300" simplePos="0" relativeHeight="251659264" behindDoc="0" locked="0" layoutInCell="1" allowOverlap="1" wp14:anchorId="67ADFEEE" wp14:editId="1919D431">
            <wp:simplePos x="0" y="0"/>
            <wp:positionH relativeFrom="column">
              <wp:posOffset>0</wp:posOffset>
            </wp:positionH>
            <wp:positionV relativeFrom="paragraph">
              <wp:posOffset>0</wp:posOffset>
            </wp:positionV>
            <wp:extent cx="5731510" cy="2750185"/>
            <wp:effectExtent l="0" t="0" r="0" b="0"/>
            <wp:wrapTopAndBottom/>
            <wp:docPr id="139335236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352364" name=""/>
                    <pic:cNvPicPr/>
                  </pic:nvPicPr>
                  <pic:blipFill>
                    <a:blip r:embed="rId8">
                      <a:extLst>
                        <a:ext uri="{96DAC541-7B7A-43D3-8B79-37D633B846F1}">
                          <asvg:svgBlip xmlns:asvg="http://schemas.microsoft.com/office/drawing/2016/SVG/main" r:embed="rId9"/>
                        </a:ext>
                      </a:extLst>
                    </a:blip>
                    <a:stretch>
                      <a:fillRect/>
                    </a:stretch>
                  </pic:blipFill>
                  <pic:spPr>
                    <a:xfrm>
                      <a:off x="0" y="0"/>
                      <a:ext cx="5731510" cy="2750185"/>
                    </a:xfrm>
                    <a:prstGeom prst="rect">
                      <a:avLst/>
                    </a:prstGeom>
                  </pic:spPr>
                </pic:pic>
              </a:graphicData>
            </a:graphic>
            <wp14:sizeRelH relativeFrom="page">
              <wp14:pctWidth>0</wp14:pctWidth>
            </wp14:sizeRelH>
            <wp14:sizeRelV relativeFrom="page">
              <wp14:pctHeight>0</wp14:pctHeight>
            </wp14:sizeRelV>
          </wp:anchor>
        </w:drawing>
      </w:r>
      <w:r w:rsidRPr="0016103C">
        <w:rPr>
          <w:color w:val="156082" w:themeColor="accent1"/>
          <w:sz w:val="20"/>
          <w:szCs w:val="20"/>
        </w:rPr>
        <w:t>Table 2. Summary statistics of the different datasets analysed in this study. LIGYSIS is our reference dataset, LIGYSIS</w:t>
      </w:r>
      <w:r w:rsidRPr="0016103C">
        <w:rPr>
          <w:color w:val="156082" w:themeColor="accent1"/>
          <w:sz w:val="20"/>
          <w:szCs w:val="20"/>
          <w:vertAlign w:val="subscript"/>
        </w:rPr>
        <w:t>NI</w:t>
      </w:r>
      <w:r w:rsidRPr="0016103C">
        <w:rPr>
          <w:color w:val="156082" w:themeColor="accent1"/>
          <w:sz w:val="20"/>
          <w:szCs w:val="20"/>
        </w:rPr>
        <w:t xml:space="preserve"> is a subset wit</w:t>
      </w:r>
      <w:r>
        <w:rPr>
          <w:color w:val="156082" w:themeColor="accent1"/>
          <w:sz w:val="20"/>
          <w:szCs w:val="20"/>
        </w:rPr>
        <w:t xml:space="preserve">h no </w:t>
      </w:r>
      <w:r w:rsidRPr="0016103C">
        <w:rPr>
          <w:color w:val="156082" w:themeColor="accent1"/>
          <w:sz w:val="20"/>
          <w:szCs w:val="20"/>
        </w:rPr>
        <w:t xml:space="preserve">ion (NI) ligand binding sites, </w:t>
      </w:r>
      <w:proofErr w:type="spellStart"/>
      <w:r w:rsidRPr="0016103C">
        <w:rPr>
          <w:color w:val="156082" w:themeColor="accent1"/>
          <w:sz w:val="20"/>
          <w:szCs w:val="20"/>
        </w:rPr>
        <w:t>sc</w:t>
      </w:r>
      <w:proofErr w:type="spellEnd"/>
      <w:r w:rsidRPr="0016103C">
        <w:rPr>
          <w:color w:val="156082" w:themeColor="accent1"/>
          <w:sz w:val="20"/>
          <w:szCs w:val="20"/>
        </w:rPr>
        <w:t>-PDB</w:t>
      </w:r>
      <w:r>
        <w:rPr>
          <w:color w:val="156082" w:themeColor="accent1"/>
          <w:sz w:val="20"/>
          <w:szCs w:val="20"/>
          <w:vertAlign w:val="subscript"/>
        </w:rPr>
        <w:t>FULL</w:t>
      </w:r>
      <w:r w:rsidRPr="0016103C">
        <w:rPr>
          <w:color w:val="156082" w:themeColor="accent1"/>
          <w:sz w:val="20"/>
          <w:szCs w:val="20"/>
        </w:rPr>
        <w:t xml:space="preserve">, </w:t>
      </w:r>
      <w:proofErr w:type="spellStart"/>
      <w:r w:rsidRPr="0016103C">
        <w:rPr>
          <w:color w:val="156082" w:themeColor="accent1"/>
          <w:sz w:val="20"/>
          <w:szCs w:val="20"/>
        </w:rPr>
        <w:t>bMOAD</w:t>
      </w:r>
      <w:r>
        <w:rPr>
          <w:color w:val="156082" w:themeColor="accent1"/>
          <w:sz w:val="20"/>
          <w:szCs w:val="20"/>
          <w:vertAlign w:val="subscript"/>
        </w:rPr>
        <w:t>SUB</w:t>
      </w:r>
      <w:proofErr w:type="spellEnd"/>
      <w:r w:rsidRPr="0016103C">
        <w:rPr>
          <w:color w:val="156082" w:themeColor="accent1"/>
          <w:sz w:val="20"/>
          <w:szCs w:val="20"/>
        </w:rPr>
        <w:t xml:space="preserve"> and CHEN11 constitute the training datasets, whereas </w:t>
      </w:r>
      <w:proofErr w:type="spellStart"/>
      <w:r w:rsidRPr="0016103C">
        <w:rPr>
          <w:color w:val="156082" w:themeColor="accent1"/>
          <w:sz w:val="20"/>
          <w:szCs w:val="20"/>
        </w:rPr>
        <w:t>PDBbind</w:t>
      </w:r>
      <w:r>
        <w:rPr>
          <w:color w:val="156082" w:themeColor="accent1"/>
          <w:sz w:val="20"/>
          <w:szCs w:val="20"/>
          <w:vertAlign w:val="subscript"/>
        </w:rPr>
        <w:t>REF</w:t>
      </w:r>
      <w:proofErr w:type="spellEnd"/>
      <w:r w:rsidRPr="0016103C">
        <w:rPr>
          <w:color w:val="156082" w:themeColor="accent1"/>
          <w:sz w:val="20"/>
          <w:szCs w:val="20"/>
        </w:rPr>
        <w:t>, SC6K, HOLO4K and COACH420 represent test sets. # Structures, # Sites and # Ligands represent the number of PDB structures, ligand sites and total number of ligands for each dataset. Note that for LIGYSIS and LIGYSIS</w:t>
      </w:r>
      <w:r w:rsidRPr="0016103C">
        <w:rPr>
          <w:color w:val="156082" w:themeColor="accent1"/>
          <w:sz w:val="20"/>
          <w:szCs w:val="20"/>
          <w:vertAlign w:val="subscript"/>
        </w:rPr>
        <w:t>NI</w:t>
      </w:r>
      <w:r w:rsidRPr="0016103C">
        <w:rPr>
          <w:color w:val="156082" w:themeColor="accent1"/>
          <w:sz w:val="20"/>
          <w:szCs w:val="20"/>
        </w:rPr>
        <w:t>, 3,448 and 2,775, are the number of human structural segments considered, each represented by a single chain. For each segment, all biologically relevant ligand-binding structures were considered: N = 23,321 (LIGYSIS) and N = 19,012 (LIGYSIS</w:t>
      </w:r>
      <w:r w:rsidRPr="0016103C">
        <w:rPr>
          <w:color w:val="156082" w:themeColor="accent1"/>
          <w:sz w:val="20"/>
          <w:szCs w:val="20"/>
          <w:vertAlign w:val="subscript"/>
        </w:rPr>
        <w:t>NI</w:t>
      </w:r>
      <w:r w:rsidRPr="0016103C">
        <w:rPr>
          <w:color w:val="156082" w:themeColor="accent1"/>
          <w:sz w:val="20"/>
          <w:szCs w:val="20"/>
        </w:rPr>
        <w:t>). The number of ligands is not equal to the number of sites for LIGYSIS, as data from multiple structures of the same protein are aggregated into unique sites, i.e., a LIGYSIS site often includes multiple ligands. Overlap is the percentage of protein-ligand complexes overlapping between these datasets and LIGYSIS. Methods represents the ligand site predictors that use these datasets for training or test. Only the original version of each dataset is considered in the analysis, e.g., HOLO4K is analysed, but not HOLO4K</w:t>
      </w:r>
      <w:r w:rsidRPr="0016103C">
        <w:rPr>
          <w:color w:val="156082" w:themeColor="accent1"/>
          <w:sz w:val="20"/>
          <w:szCs w:val="20"/>
          <w:vertAlign w:val="subscript"/>
        </w:rPr>
        <w:t>Mlig</w:t>
      </w:r>
      <w:r w:rsidRPr="0016103C">
        <w:rPr>
          <w:color w:val="156082" w:themeColor="accent1"/>
          <w:sz w:val="20"/>
          <w:szCs w:val="20"/>
        </w:rPr>
        <w:t>, nor HOLO4K</w:t>
      </w:r>
      <w:r w:rsidRPr="0016103C">
        <w:rPr>
          <w:color w:val="156082" w:themeColor="accent1"/>
          <w:sz w:val="20"/>
          <w:szCs w:val="20"/>
          <w:vertAlign w:val="subscript"/>
        </w:rPr>
        <w:t>Mlig+</w:t>
      </w:r>
      <w:r w:rsidRPr="0016103C">
        <w:rPr>
          <w:color w:val="156082" w:themeColor="accent1"/>
          <w:sz w:val="20"/>
          <w:szCs w:val="20"/>
        </w:rPr>
        <w:t xml:space="preserve"> HAP, or HAP-small. The same goes for </w:t>
      </w:r>
      <w:proofErr w:type="spellStart"/>
      <w:r w:rsidRPr="0016103C">
        <w:rPr>
          <w:color w:val="156082" w:themeColor="accent1"/>
          <w:sz w:val="20"/>
          <w:szCs w:val="20"/>
        </w:rPr>
        <w:t>Mlig</w:t>
      </w:r>
      <w:proofErr w:type="spellEnd"/>
      <w:r w:rsidRPr="0016103C">
        <w:rPr>
          <w:color w:val="156082" w:themeColor="accent1"/>
          <w:sz w:val="20"/>
          <w:szCs w:val="20"/>
        </w:rPr>
        <w:t xml:space="preserve">, </w:t>
      </w:r>
      <w:proofErr w:type="spellStart"/>
      <w:r w:rsidRPr="0016103C">
        <w:rPr>
          <w:color w:val="156082" w:themeColor="accent1"/>
          <w:sz w:val="20"/>
          <w:szCs w:val="20"/>
        </w:rPr>
        <w:t>Mlig</w:t>
      </w:r>
      <w:proofErr w:type="spellEnd"/>
      <w:r w:rsidRPr="0016103C">
        <w:rPr>
          <w:color w:val="156082" w:themeColor="accent1"/>
          <w:sz w:val="20"/>
          <w:szCs w:val="20"/>
        </w:rPr>
        <w:t xml:space="preserve">+ versions of COACH420, </w:t>
      </w:r>
      <w:proofErr w:type="spellStart"/>
      <w:r w:rsidRPr="0016103C">
        <w:rPr>
          <w:color w:val="156082" w:themeColor="accent1"/>
          <w:sz w:val="20"/>
          <w:szCs w:val="20"/>
        </w:rPr>
        <w:t>sc</w:t>
      </w:r>
      <w:proofErr w:type="spellEnd"/>
      <w:r w:rsidRPr="0016103C">
        <w:rPr>
          <w:color w:val="156082" w:themeColor="accent1"/>
          <w:sz w:val="20"/>
          <w:szCs w:val="20"/>
        </w:rPr>
        <w:t>-PDB</w:t>
      </w:r>
      <w:r>
        <w:rPr>
          <w:color w:val="156082" w:themeColor="accent1"/>
          <w:sz w:val="20"/>
          <w:szCs w:val="20"/>
          <w:vertAlign w:val="subscript"/>
        </w:rPr>
        <w:t>SUB</w:t>
      </w:r>
      <w:r w:rsidRPr="0016103C">
        <w:rPr>
          <w:color w:val="156082" w:themeColor="accent1"/>
          <w:sz w:val="20"/>
          <w:szCs w:val="20"/>
        </w:rPr>
        <w:t xml:space="preserve"> and </w:t>
      </w:r>
      <w:proofErr w:type="spellStart"/>
      <w:r w:rsidRPr="0016103C">
        <w:rPr>
          <w:color w:val="156082" w:themeColor="accent1"/>
          <w:sz w:val="20"/>
          <w:szCs w:val="20"/>
        </w:rPr>
        <w:t>sc</w:t>
      </w:r>
      <w:proofErr w:type="spellEnd"/>
      <w:r w:rsidRPr="0016103C">
        <w:rPr>
          <w:color w:val="156082" w:themeColor="accent1"/>
          <w:sz w:val="20"/>
          <w:szCs w:val="20"/>
        </w:rPr>
        <w:t>-PDB</w:t>
      </w:r>
      <w:r w:rsidRPr="0016103C">
        <w:rPr>
          <w:color w:val="156082" w:themeColor="accent1"/>
          <w:sz w:val="20"/>
          <w:szCs w:val="20"/>
          <w:vertAlign w:val="subscript"/>
        </w:rPr>
        <w:t>RICH</w:t>
      </w:r>
      <w:r w:rsidRPr="0016103C">
        <w:rPr>
          <w:color w:val="156082" w:themeColor="accent1"/>
          <w:sz w:val="20"/>
          <w:szCs w:val="20"/>
        </w:rPr>
        <w:t>.</w:t>
      </w:r>
      <w:r w:rsidRPr="0016103C">
        <w:rPr>
          <w:i/>
          <w:iCs/>
          <w:color w:val="156082" w:themeColor="accent1"/>
          <w:sz w:val="20"/>
          <w:szCs w:val="20"/>
        </w:rPr>
        <w:t xml:space="preserve"> ALL</w:t>
      </w:r>
      <w:r w:rsidRPr="0016103C">
        <w:rPr>
          <w:color w:val="156082" w:themeColor="accent1"/>
          <w:sz w:val="20"/>
          <w:szCs w:val="20"/>
        </w:rPr>
        <w:t xml:space="preserve">* represents all the methods compared in this work except for </w:t>
      </w:r>
      <w:proofErr w:type="spellStart"/>
      <w:r w:rsidRPr="0016103C">
        <w:rPr>
          <w:color w:val="156082" w:themeColor="accent1"/>
          <w:sz w:val="20"/>
          <w:szCs w:val="20"/>
        </w:rPr>
        <w:t>fpocket</w:t>
      </w:r>
      <w:proofErr w:type="spellEnd"/>
      <w:r w:rsidRPr="0016103C">
        <w:rPr>
          <w:color w:val="156082" w:themeColor="accent1"/>
          <w:sz w:val="20"/>
          <w:szCs w:val="20"/>
        </w:rPr>
        <w:t xml:space="preserve">, </w:t>
      </w:r>
      <w:proofErr w:type="spellStart"/>
      <w:r w:rsidRPr="0016103C">
        <w:rPr>
          <w:color w:val="156082" w:themeColor="accent1"/>
          <w:sz w:val="20"/>
          <w:szCs w:val="20"/>
        </w:rPr>
        <w:t>PocketFinder</w:t>
      </w:r>
      <w:proofErr w:type="spellEnd"/>
      <w:r>
        <w:rPr>
          <w:color w:val="156082" w:themeColor="accent1"/>
          <w:sz w:val="20"/>
          <w:szCs w:val="20"/>
          <w:vertAlign w:val="superscript"/>
        </w:rPr>
        <w:t>+</w:t>
      </w:r>
      <w:r w:rsidRPr="0016103C">
        <w:rPr>
          <w:color w:val="156082" w:themeColor="accent1"/>
          <w:sz w:val="20"/>
          <w:szCs w:val="20"/>
        </w:rPr>
        <w:t xml:space="preserve">, </w:t>
      </w:r>
      <w:proofErr w:type="spellStart"/>
      <w:r w:rsidRPr="0016103C">
        <w:rPr>
          <w:color w:val="156082" w:themeColor="accent1"/>
          <w:sz w:val="20"/>
          <w:szCs w:val="20"/>
        </w:rPr>
        <w:t>Ligsite</w:t>
      </w:r>
      <w:proofErr w:type="spellEnd"/>
      <w:r>
        <w:rPr>
          <w:color w:val="156082" w:themeColor="accent1"/>
          <w:sz w:val="20"/>
          <w:szCs w:val="20"/>
          <w:vertAlign w:val="superscript"/>
        </w:rPr>
        <w:t>+</w:t>
      </w:r>
      <w:r w:rsidRPr="0016103C">
        <w:rPr>
          <w:color w:val="156082" w:themeColor="accent1"/>
          <w:sz w:val="20"/>
          <w:szCs w:val="20"/>
        </w:rPr>
        <w:t xml:space="preserve"> and </w:t>
      </w:r>
      <w:proofErr w:type="spellStart"/>
      <w:r w:rsidRPr="0016103C">
        <w:rPr>
          <w:color w:val="156082" w:themeColor="accent1"/>
          <w:sz w:val="20"/>
          <w:szCs w:val="20"/>
        </w:rPr>
        <w:t>Surfnet</w:t>
      </w:r>
      <w:proofErr w:type="spellEnd"/>
      <w:r>
        <w:rPr>
          <w:color w:val="156082" w:themeColor="accent1"/>
          <w:sz w:val="20"/>
          <w:szCs w:val="20"/>
          <w:vertAlign w:val="superscript"/>
        </w:rPr>
        <w:t>+</w:t>
      </w:r>
      <w:r w:rsidRPr="0016103C">
        <w:rPr>
          <w:color w:val="156082" w:themeColor="accent1"/>
          <w:sz w:val="20"/>
          <w:szCs w:val="20"/>
        </w:rPr>
        <w:t>.</w:t>
      </w:r>
    </w:p>
    <w:p w14:paraId="6A27D3D5" w14:textId="77777777" w:rsidR="00ED2A97" w:rsidRDefault="00ED2A97" w:rsidP="00ED2A97">
      <w:pPr>
        <w:spacing w:line="360" w:lineRule="auto"/>
        <w:jc w:val="both"/>
      </w:pPr>
    </w:p>
    <w:p w14:paraId="3040EB6B" w14:textId="7CB58E6C" w:rsidR="00ED2A97" w:rsidRDefault="00ED2A97" w:rsidP="00ED2A97">
      <w:pPr>
        <w:spacing w:line="360" w:lineRule="auto"/>
        <w:jc w:val="both"/>
      </w:pPr>
    </w:p>
    <w:p w14:paraId="14F66F38" w14:textId="77777777" w:rsidR="00ED2A97" w:rsidRPr="0016103C" w:rsidRDefault="00ED2A97" w:rsidP="00ED2A97">
      <w:pPr>
        <w:spacing w:line="276" w:lineRule="auto"/>
        <w:jc w:val="both"/>
        <w:rPr>
          <w:rFonts w:eastAsiaTheme="minorEastAsia"/>
          <w:color w:val="156082" w:themeColor="accent1"/>
          <w:sz w:val="20"/>
          <w:szCs w:val="20"/>
        </w:rPr>
      </w:pPr>
      <w:r w:rsidRPr="0016103C">
        <w:rPr>
          <w:rFonts w:eastAsiaTheme="minorEastAsia"/>
          <w:color w:val="156082" w:themeColor="accent1"/>
          <w:sz w:val="20"/>
          <w:szCs w:val="20"/>
        </w:rPr>
        <w:t xml:space="preserve">Table 3. Ligand site characterisation summary. LIGYSIS is not a ligand binding site predictor, but a reference dataset curated from experimentally determined structures of biologically relevant protein-ligand complexes. Coverage represents the number of protein chains the different methods return at least one prediction. Percentage is relative to LIGYSIS sites. Protein chains not covered by VN-EGNN, </w:t>
      </w:r>
      <w:proofErr w:type="spellStart"/>
      <w:r w:rsidRPr="0016103C">
        <w:rPr>
          <w:rFonts w:eastAsiaTheme="minorEastAsia"/>
          <w:color w:val="156082" w:themeColor="accent1"/>
          <w:sz w:val="20"/>
          <w:szCs w:val="20"/>
        </w:rPr>
        <w:t>GrASP</w:t>
      </w:r>
      <w:proofErr w:type="spellEnd"/>
      <w:r w:rsidRPr="0016103C">
        <w:rPr>
          <w:rFonts w:eastAsiaTheme="minorEastAsia"/>
          <w:color w:val="156082" w:themeColor="accent1"/>
          <w:sz w:val="20"/>
          <w:szCs w:val="20"/>
        </w:rPr>
        <w:t xml:space="preserve"> and </w:t>
      </w:r>
      <w:proofErr w:type="spellStart"/>
      <w:r w:rsidRPr="0016103C">
        <w:rPr>
          <w:rFonts w:eastAsiaTheme="minorEastAsia"/>
          <w:color w:val="156082" w:themeColor="accent1"/>
          <w:sz w:val="20"/>
          <w:szCs w:val="20"/>
        </w:rPr>
        <w:t>fpocket</w:t>
      </w:r>
      <w:proofErr w:type="spellEnd"/>
      <w:r w:rsidRPr="0016103C">
        <w:rPr>
          <w:rFonts w:eastAsiaTheme="minorEastAsia"/>
          <w:color w:val="156082" w:themeColor="accent1"/>
          <w:sz w:val="20"/>
          <w:szCs w:val="20"/>
        </w:rPr>
        <w:t xml:space="preserve"> represent errors in the programme execution, and not absence of predicted sites; Total number of pockets and ratio of predicted pockets by reference pockets in parenthesis, e.g., for each LIGYSIS site, </w:t>
      </w:r>
      <w:proofErr w:type="spellStart"/>
      <w:r w:rsidRPr="0016103C">
        <w:rPr>
          <w:rFonts w:eastAsiaTheme="minorEastAsia"/>
          <w:color w:val="156082" w:themeColor="accent1"/>
          <w:sz w:val="20"/>
          <w:szCs w:val="20"/>
        </w:rPr>
        <w:t>fpocket</w:t>
      </w:r>
      <w:proofErr w:type="spellEnd"/>
      <w:r w:rsidRPr="0016103C">
        <w:rPr>
          <w:rFonts w:eastAsiaTheme="minorEastAsia"/>
          <w:color w:val="156082" w:themeColor="accent1"/>
          <w:sz w:val="20"/>
          <w:szCs w:val="20"/>
        </w:rPr>
        <w:t xml:space="preserve"> predicts in average 8.3 pockets; Minimum, median and maximum number of pockets per protein; Median pocket radius of gyration </w:t>
      </w:r>
      <w:proofErr w:type="spellStart"/>
      <w:r w:rsidRPr="00AC6947">
        <w:rPr>
          <w:rFonts w:eastAsiaTheme="minorEastAsia"/>
          <w:i/>
          <w:iCs/>
          <w:color w:val="156082" w:themeColor="accent1"/>
          <w:sz w:val="20"/>
          <w:szCs w:val="20"/>
        </w:rPr>
        <w:t>R</w:t>
      </w:r>
      <w:r w:rsidRPr="00AC6947">
        <w:rPr>
          <w:rFonts w:eastAsiaTheme="minorEastAsia"/>
          <w:i/>
          <w:iCs/>
          <w:color w:val="156082" w:themeColor="accent1"/>
          <w:sz w:val="20"/>
          <w:szCs w:val="20"/>
          <w:vertAlign w:val="subscript"/>
        </w:rPr>
        <w:t>g</w:t>
      </w:r>
      <w:proofErr w:type="spellEnd"/>
      <w:r>
        <w:rPr>
          <w:rFonts w:eastAsiaTheme="minorEastAsia"/>
          <w:color w:val="156082" w:themeColor="accent1"/>
          <w:sz w:val="20"/>
          <w:szCs w:val="20"/>
        </w:rPr>
        <w:t xml:space="preserve"> </w:t>
      </w:r>
      <w:r w:rsidRPr="0016103C">
        <w:rPr>
          <w:rFonts w:eastAsiaTheme="minorEastAsia"/>
          <w:color w:val="156082" w:themeColor="accent1"/>
          <w:sz w:val="20"/>
          <w:szCs w:val="20"/>
        </w:rPr>
        <w:t>(Å); Minimum centroid distance (MCD)</w:t>
      </w:r>
      <w:r>
        <w:rPr>
          <w:rFonts w:eastAsiaTheme="minorEastAsia"/>
          <w:color w:val="156082" w:themeColor="accent1"/>
          <w:sz w:val="20"/>
          <w:szCs w:val="20"/>
        </w:rPr>
        <w:t xml:space="preserve"> </w:t>
      </w:r>
      <w:r w:rsidRPr="0016103C">
        <w:rPr>
          <w:rFonts w:eastAsiaTheme="minorEastAsia"/>
          <w:color w:val="156082" w:themeColor="accent1"/>
          <w:sz w:val="20"/>
          <w:szCs w:val="20"/>
        </w:rPr>
        <w:t>(Å). For proteins where multiple pockets are predicted, MCD represents the distance to the closest pocket centroid for each of the different predicted pockets. This is a measure of how close predicted pockets are to each other; Maximum residue overlap (MRO). For a given pocket, MRO is the maximum overlap of the residues forming the pockets. MRO is a measure of how similar, in terms of shared residues, the predicted pockets are. For example, the median overlap between VN-EGNN predicted pockets is 85%. Redundancy represents the percentage of predicted pockets that are redundant, i.e., the closest pocket centroid is within 5Å or overlaps at least 3/4 (</w:t>
      </w:r>
      <w:r w:rsidRPr="00AC6947">
        <w:rPr>
          <w:rFonts w:eastAsiaTheme="minorEastAsia"/>
          <w:color w:val="156082" w:themeColor="accent1"/>
          <w:sz w:val="20"/>
          <w:szCs w:val="20"/>
        </w:rPr>
        <w:t>≥</w:t>
      </w:r>
      <w:r w:rsidRPr="0016103C">
        <w:rPr>
          <w:rFonts w:eastAsiaTheme="minorEastAsia"/>
          <w:color w:val="156082" w:themeColor="accent1"/>
          <w:sz w:val="20"/>
          <w:szCs w:val="20"/>
        </w:rPr>
        <w:t xml:space="preserve">75%) residues. This is the case for 67% of VN-EGNN pockets on proteins, and 0% for </w:t>
      </w:r>
      <w:proofErr w:type="spellStart"/>
      <w:r w:rsidRPr="0016103C">
        <w:rPr>
          <w:rFonts w:eastAsiaTheme="minorEastAsia"/>
          <w:color w:val="156082" w:themeColor="accent1"/>
          <w:sz w:val="20"/>
          <w:szCs w:val="20"/>
        </w:rPr>
        <w:t>GrASP</w:t>
      </w:r>
      <w:proofErr w:type="spellEnd"/>
      <w:r w:rsidRPr="0016103C">
        <w:rPr>
          <w:rFonts w:eastAsiaTheme="minorEastAsia"/>
          <w:color w:val="156082" w:themeColor="accent1"/>
          <w:sz w:val="20"/>
          <w:szCs w:val="20"/>
        </w:rPr>
        <w:t xml:space="preserve"> pockets. Bold red font indicates the most extreme values within each column. </w:t>
      </w:r>
    </w:p>
    <w:p w14:paraId="0848C12F" w14:textId="77777777" w:rsidR="00ED2A97" w:rsidRDefault="00ED2A97"/>
    <w:p w14:paraId="0C34C785" w14:textId="77777777" w:rsidR="00ED2A97" w:rsidRDefault="00ED2A97" w:rsidP="00ED2A97">
      <w:pPr>
        <w:spacing w:line="360" w:lineRule="auto"/>
        <w:jc w:val="both"/>
        <w:rPr>
          <w:rFonts w:eastAsiaTheme="minorEastAsia" w:cs="Arial"/>
          <w:color w:val="202124"/>
          <w:shd w:val="clear" w:color="auto" w:fill="FFFFFF"/>
        </w:rPr>
      </w:pPr>
    </w:p>
    <w:p w14:paraId="5FD6E60C" w14:textId="77777777" w:rsidR="00ED2A97" w:rsidRPr="0016103C" w:rsidRDefault="00ED2A97" w:rsidP="00ED2A97">
      <w:pPr>
        <w:spacing w:line="276" w:lineRule="auto"/>
        <w:jc w:val="both"/>
        <w:rPr>
          <w:rFonts w:eastAsiaTheme="minorEastAsia" w:cs="Arial"/>
          <w:color w:val="202124"/>
          <w:sz w:val="21"/>
          <w:szCs w:val="21"/>
          <w:shd w:val="clear" w:color="auto" w:fill="FFFFFF"/>
        </w:rPr>
      </w:pPr>
      <w:r w:rsidRPr="00B16BB3">
        <w:rPr>
          <w:rFonts w:eastAsiaTheme="minorEastAsia" w:cs="Arial"/>
          <w:noProof/>
          <w:color w:val="202124"/>
          <w:shd w:val="clear" w:color="auto" w:fill="FFFFFF"/>
        </w:rPr>
        <w:drawing>
          <wp:anchor distT="0" distB="0" distL="114300" distR="114300" simplePos="0" relativeHeight="251663360" behindDoc="0" locked="0" layoutInCell="1" allowOverlap="1" wp14:anchorId="5244450E" wp14:editId="201A1D1A">
            <wp:simplePos x="0" y="0"/>
            <wp:positionH relativeFrom="column">
              <wp:posOffset>0</wp:posOffset>
            </wp:positionH>
            <wp:positionV relativeFrom="paragraph">
              <wp:posOffset>1850</wp:posOffset>
            </wp:positionV>
            <wp:extent cx="5731510" cy="2470785"/>
            <wp:effectExtent l="0" t="0" r="0" b="5715"/>
            <wp:wrapTopAndBottom/>
            <wp:docPr id="206096785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967854"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731510" cy="2470785"/>
                    </a:xfrm>
                    <a:prstGeom prst="rect">
                      <a:avLst/>
                    </a:prstGeom>
                  </pic:spPr>
                </pic:pic>
              </a:graphicData>
            </a:graphic>
            <wp14:sizeRelH relativeFrom="page">
              <wp14:pctWidth>0</wp14:pctWidth>
            </wp14:sizeRelH>
            <wp14:sizeRelV relativeFrom="page">
              <wp14:pctHeight>0</wp14:pctHeight>
            </wp14:sizeRelV>
          </wp:anchor>
        </w:drawing>
      </w:r>
      <w:r w:rsidRPr="0016103C">
        <w:rPr>
          <w:color w:val="156082" w:themeColor="accent1"/>
          <w:sz w:val="20"/>
          <w:szCs w:val="20"/>
        </w:rPr>
        <w:t xml:space="preserve">Table 4. </w:t>
      </w:r>
      <w:r>
        <w:rPr>
          <w:color w:val="156082" w:themeColor="accent1"/>
          <w:sz w:val="20"/>
          <w:szCs w:val="20"/>
        </w:rPr>
        <w:t>Pocket level evaluation summary table</w:t>
      </w:r>
      <w:r w:rsidRPr="0016103C">
        <w:rPr>
          <w:color w:val="156082" w:themeColor="accent1"/>
          <w:sz w:val="20"/>
          <w:szCs w:val="20"/>
        </w:rPr>
        <w:t>. Recall</w:t>
      </w:r>
      <w:r>
        <w:rPr>
          <w:color w:val="156082" w:themeColor="accent1"/>
          <w:sz w:val="20"/>
          <w:szCs w:val="20"/>
        </w:rPr>
        <w:t xml:space="preserve"> </w:t>
      </w:r>
      <w:r w:rsidRPr="0016103C">
        <w:rPr>
          <w:color w:val="156082" w:themeColor="accent1"/>
          <w:sz w:val="20"/>
          <w:szCs w:val="20"/>
        </w:rPr>
        <w:t xml:space="preserve">for each method considering top-N, N+2 and </w:t>
      </w:r>
      <w:r w:rsidRPr="0016103C">
        <w:rPr>
          <w:i/>
          <w:iCs/>
          <w:color w:val="156082" w:themeColor="accent1"/>
          <w:sz w:val="20"/>
          <w:szCs w:val="20"/>
        </w:rPr>
        <w:t xml:space="preserve">all </w:t>
      </w:r>
      <w:r w:rsidRPr="0016103C">
        <w:rPr>
          <w:color w:val="156082" w:themeColor="accent1"/>
          <w:sz w:val="20"/>
          <w:szCs w:val="20"/>
        </w:rPr>
        <w:t xml:space="preserve">predictions </w:t>
      </w:r>
      <w:r>
        <w:rPr>
          <w:color w:val="156082" w:themeColor="accent1"/>
          <w:sz w:val="20"/>
          <w:szCs w:val="20"/>
        </w:rPr>
        <w:t>(</w:t>
      </w:r>
      <w:r w:rsidRPr="00B23B76">
        <w:rPr>
          <w:color w:val="156082" w:themeColor="accent1"/>
          <w:sz w:val="20"/>
          <w:szCs w:val="20"/>
        </w:rPr>
        <w:t>max</w:t>
      </w:r>
      <w:r>
        <w:rPr>
          <w:color w:val="156082" w:themeColor="accent1"/>
          <w:sz w:val="20"/>
          <w:szCs w:val="20"/>
        </w:rPr>
        <w:t xml:space="preserve">) </w:t>
      </w:r>
      <w:r w:rsidRPr="0016103C">
        <w:rPr>
          <w:color w:val="156082" w:themeColor="accent1"/>
          <w:sz w:val="20"/>
          <w:szCs w:val="20"/>
        </w:rPr>
        <w:t>without taking rank into consideration, i.e., maximum recall. Precision of the method for the top-1,000 scored predictions. Number of TP reached for the first 100 FP</w:t>
      </w:r>
      <w:r>
        <w:rPr>
          <w:color w:val="156082" w:themeColor="accent1"/>
          <w:sz w:val="20"/>
          <w:szCs w:val="20"/>
        </w:rPr>
        <w:t xml:space="preserve"> (# TP</w:t>
      </w:r>
      <w:r>
        <w:rPr>
          <w:color w:val="156082" w:themeColor="accent1"/>
          <w:sz w:val="20"/>
          <w:szCs w:val="20"/>
          <w:vertAlign w:val="subscript"/>
        </w:rPr>
        <w:t>100FP</w:t>
      </w:r>
      <w:r>
        <w:rPr>
          <w:color w:val="156082" w:themeColor="accent1"/>
          <w:sz w:val="20"/>
          <w:szCs w:val="20"/>
        </w:rPr>
        <w:t>)</w:t>
      </w:r>
      <w:r w:rsidRPr="0016103C">
        <w:rPr>
          <w:color w:val="156082" w:themeColor="accent1"/>
          <w:sz w:val="20"/>
          <w:szCs w:val="20"/>
        </w:rPr>
        <w:t>. Median relative residue overlap (RRO) for those sites correctly predicted and relative volume overlap (RVO) only for correctly predicted sites that have a volume, i.e., are pockets or cavities, and not exposed sites, which don’t have a volume. These last two metrics represent the overlap in residues and volume relative to the observed site. Bold font indicates the best (green) and worst (red) performing methods</w:t>
      </w:r>
      <w:r>
        <w:rPr>
          <w:color w:val="156082" w:themeColor="accent1"/>
          <w:sz w:val="20"/>
          <w:szCs w:val="20"/>
        </w:rPr>
        <w:t xml:space="preserve"> for each metric</w:t>
      </w:r>
      <w:r w:rsidRPr="0016103C">
        <w:rPr>
          <w:color w:val="156082" w:themeColor="accent1"/>
          <w:sz w:val="20"/>
          <w:szCs w:val="20"/>
        </w:rPr>
        <w:t>.</w:t>
      </w:r>
    </w:p>
    <w:p w14:paraId="2B545E92" w14:textId="77777777" w:rsidR="00ED2A97" w:rsidRDefault="00ED2A97"/>
    <w:p w14:paraId="47D76838" w14:textId="77777777" w:rsidR="00ED2A97" w:rsidRDefault="00ED2A97"/>
    <w:p w14:paraId="06BA59EA" w14:textId="77777777" w:rsidR="00ED2A97" w:rsidRDefault="00ED2A97"/>
    <w:p w14:paraId="73526D85" w14:textId="77777777" w:rsidR="00ED2A97" w:rsidRDefault="00ED2A97"/>
    <w:p w14:paraId="1C04F9A1" w14:textId="77777777" w:rsidR="00ED2A97" w:rsidRPr="00DA1CF0" w:rsidRDefault="00ED2A97" w:rsidP="00ED2A97">
      <w:pPr>
        <w:spacing w:line="276" w:lineRule="auto"/>
        <w:jc w:val="both"/>
        <w:rPr>
          <w:rFonts w:eastAsiaTheme="minorEastAsia" w:cs="Arial"/>
          <w:color w:val="202124"/>
          <w:sz w:val="21"/>
          <w:szCs w:val="21"/>
          <w:shd w:val="clear" w:color="auto" w:fill="FFFFFF"/>
        </w:rPr>
      </w:pPr>
      <w:r w:rsidRPr="0016103C">
        <w:rPr>
          <w:color w:val="156082" w:themeColor="accent1"/>
          <w:sz w:val="20"/>
          <w:szCs w:val="20"/>
        </w:rPr>
        <w:t xml:space="preserve">Table 5. </w:t>
      </w:r>
      <w:r>
        <w:rPr>
          <w:color w:val="156082" w:themeColor="accent1"/>
          <w:sz w:val="20"/>
          <w:szCs w:val="20"/>
        </w:rPr>
        <w:t>Residue level evaluation summary table. L</w:t>
      </w:r>
      <w:r w:rsidRPr="0016103C">
        <w:rPr>
          <w:color w:val="156082" w:themeColor="accent1"/>
          <w:sz w:val="20"/>
          <w:szCs w:val="20"/>
        </w:rPr>
        <w:t>igand binding site prediction benchmark at the residue level</w:t>
      </w:r>
      <w:r>
        <w:rPr>
          <w:color w:val="156082" w:themeColor="accent1"/>
          <w:sz w:val="20"/>
          <w:szCs w:val="20"/>
        </w:rPr>
        <w:t xml:space="preserve"> was </w:t>
      </w:r>
      <w:r w:rsidRPr="0016103C">
        <w:rPr>
          <w:color w:val="156082" w:themeColor="accent1"/>
          <w:sz w:val="20"/>
          <w:szCs w:val="20"/>
        </w:rPr>
        <w:t xml:space="preserve">calculated from 2,775 protein chains in the LIGYSIS dataset. Median F1 score, median </w:t>
      </w:r>
      <w:proofErr w:type="gramStart"/>
      <w:r w:rsidRPr="0016103C">
        <w:rPr>
          <w:color w:val="156082" w:themeColor="accent1"/>
          <w:sz w:val="20"/>
          <w:szCs w:val="20"/>
        </w:rPr>
        <w:t>Matthews</w:t>
      </w:r>
      <w:proofErr w:type="gramEnd"/>
      <w:r w:rsidRPr="0016103C">
        <w:rPr>
          <w:color w:val="156082" w:themeColor="accent1"/>
          <w:sz w:val="20"/>
          <w:szCs w:val="20"/>
        </w:rPr>
        <w:t xml:space="preserve"> correlation coefficient (MCC), ROC area under the curve (AUC) and precision recall (PR) curve average precision (AP).  Bold font indicates the best (green) and worst (red) performing methods.</w:t>
      </w:r>
    </w:p>
    <w:p w14:paraId="0E743AEB" w14:textId="77777777" w:rsidR="00ED2A97" w:rsidRDefault="00ED2A97"/>
    <w:p w14:paraId="203E7261" w14:textId="3C406BCC" w:rsidR="00ED2A97" w:rsidRDefault="00ED2A97">
      <w:r w:rsidRPr="0016103C">
        <w:rPr>
          <w:noProof/>
          <w:color w:val="156082" w:themeColor="accent1"/>
          <w:sz w:val="20"/>
          <w:szCs w:val="20"/>
        </w:rPr>
        <w:drawing>
          <wp:anchor distT="0" distB="0" distL="114300" distR="114300" simplePos="0" relativeHeight="251665408" behindDoc="0" locked="0" layoutInCell="1" allowOverlap="1" wp14:anchorId="7A06968D" wp14:editId="69CAA14C">
            <wp:simplePos x="0" y="0"/>
            <wp:positionH relativeFrom="column">
              <wp:posOffset>0</wp:posOffset>
            </wp:positionH>
            <wp:positionV relativeFrom="paragraph">
              <wp:posOffset>184785</wp:posOffset>
            </wp:positionV>
            <wp:extent cx="3362325" cy="3185160"/>
            <wp:effectExtent l="0" t="0" r="3175" b="2540"/>
            <wp:wrapTopAndBottom/>
            <wp:docPr id="105489762" name="Graphic 105489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89762"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3362325" cy="3185160"/>
                    </a:xfrm>
                    <a:prstGeom prst="rect">
                      <a:avLst/>
                    </a:prstGeom>
                  </pic:spPr>
                </pic:pic>
              </a:graphicData>
            </a:graphic>
            <wp14:sizeRelH relativeFrom="page">
              <wp14:pctWidth>0</wp14:pctWidth>
            </wp14:sizeRelH>
            <wp14:sizeRelV relativeFrom="page">
              <wp14:pctHeight>0</wp14:pctHeight>
            </wp14:sizeRelV>
          </wp:anchor>
        </w:drawing>
      </w:r>
    </w:p>
    <w:sectPr w:rsidR="00ED2A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A97"/>
    <w:rsid w:val="004A2D59"/>
    <w:rsid w:val="008B2388"/>
    <w:rsid w:val="00AA5EBD"/>
    <w:rsid w:val="00ED2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97C1A"/>
  <w15:chartTrackingRefBased/>
  <w15:docId w15:val="{A6A67868-309D-42E1-ADFE-D977E006D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2A97"/>
    <w:pPr>
      <w:spacing w:after="0" w:line="240" w:lineRule="auto"/>
    </w:pPr>
    <w:rPr>
      <w:sz w:val="24"/>
      <w:szCs w:val="24"/>
      <w:lang w:val="en-GB"/>
    </w:rPr>
  </w:style>
  <w:style w:type="paragraph" w:styleId="Heading1">
    <w:name w:val="heading 1"/>
    <w:basedOn w:val="Normal"/>
    <w:next w:val="Normal"/>
    <w:link w:val="Heading1Char"/>
    <w:uiPriority w:val="9"/>
    <w:qFormat/>
    <w:rsid w:val="00ED2A97"/>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ED2A97"/>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ED2A97"/>
    <w:pPr>
      <w:keepNext/>
      <w:keepLines/>
      <w:spacing w:before="160" w:after="80" w:line="259"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ED2A97"/>
    <w:pPr>
      <w:keepNext/>
      <w:keepLines/>
      <w:spacing w:before="80" w:after="40" w:line="259" w:lineRule="auto"/>
      <w:outlineLvl w:val="3"/>
    </w:pPr>
    <w:rPr>
      <w:rFonts w:eastAsiaTheme="majorEastAsia" w:cstheme="majorBidi"/>
      <w:i/>
      <w:iCs/>
      <w:color w:val="0F4761" w:themeColor="accent1" w:themeShade="BF"/>
      <w:sz w:val="22"/>
      <w:szCs w:val="22"/>
      <w:lang w:val="en-US"/>
    </w:rPr>
  </w:style>
  <w:style w:type="paragraph" w:styleId="Heading5">
    <w:name w:val="heading 5"/>
    <w:basedOn w:val="Normal"/>
    <w:next w:val="Normal"/>
    <w:link w:val="Heading5Char"/>
    <w:uiPriority w:val="9"/>
    <w:semiHidden/>
    <w:unhideWhenUsed/>
    <w:qFormat/>
    <w:rsid w:val="00ED2A97"/>
    <w:pPr>
      <w:keepNext/>
      <w:keepLines/>
      <w:spacing w:before="80" w:after="40" w:line="259" w:lineRule="auto"/>
      <w:outlineLvl w:val="4"/>
    </w:pPr>
    <w:rPr>
      <w:rFonts w:eastAsiaTheme="majorEastAsia" w:cstheme="majorBidi"/>
      <w:color w:val="0F4761" w:themeColor="accent1" w:themeShade="BF"/>
      <w:sz w:val="22"/>
      <w:szCs w:val="22"/>
      <w:lang w:val="en-US"/>
    </w:rPr>
  </w:style>
  <w:style w:type="paragraph" w:styleId="Heading6">
    <w:name w:val="heading 6"/>
    <w:basedOn w:val="Normal"/>
    <w:next w:val="Normal"/>
    <w:link w:val="Heading6Char"/>
    <w:uiPriority w:val="9"/>
    <w:semiHidden/>
    <w:unhideWhenUsed/>
    <w:qFormat/>
    <w:rsid w:val="00ED2A97"/>
    <w:pPr>
      <w:keepNext/>
      <w:keepLines/>
      <w:spacing w:before="40" w:line="259" w:lineRule="auto"/>
      <w:outlineLvl w:val="5"/>
    </w:pPr>
    <w:rPr>
      <w:rFonts w:eastAsiaTheme="majorEastAsia" w:cstheme="majorBidi"/>
      <w:i/>
      <w:iCs/>
      <w:color w:val="595959" w:themeColor="text1" w:themeTint="A6"/>
      <w:sz w:val="22"/>
      <w:szCs w:val="22"/>
      <w:lang w:val="en-US"/>
    </w:rPr>
  </w:style>
  <w:style w:type="paragraph" w:styleId="Heading7">
    <w:name w:val="heading 7"/>
    <w:basedOn w:val="Normal"/>
    <w:next w:val="Normal"/>
    <w:link w:val="Heading7Char"/>
    <w:uiPriority w:val="9"/>
    <w:semiHidden/>
    <w:unhideWhenUsed/>
    <w:qFormat/>
    <w:rsid w:val="00ED2A97"/>
    <w:pPr>
      <w:keepNext/>
      <w:keepLines/>
      <w:spacing w:before="40" w:line="259" w:lineRule="auto"/>
      <w:outlineLvl w:val="6"/>
    </w:pPr>
    <w:rPr>
      <w:rFonts w:eastAsiaTheme="majorEastAsia" w:cstheme="majorBidi"/>
      <w:color w:val="595959" w:themeColor="text1" w:themeTint="A6"/>
      <w:sz w:val="22"/>
      <w:szCs w:val="22"/>
      <w:lang w:val="en-US"/>
    </w:rPr>
  </w:style>
  <w:style w:type="paragraph" w:styleId="Heading8">
    <w:name w:val="heading 8"/>
    <w:basedOn w:val="Normal"/>
    <w:next w:val="Normal"/>
    <w:link w:val="Heading8Char"/>
    <w:uiPriority w:val="9"/>
    <w:semiHidden/>
    <w:unhideWhenUsed/>
    <w:qFormat/>
    <w:rsid w:val="00ED2A97"/>
    <w:pPr>
      <w:keepNext/>
      <w:keepLines/>
      <w:spacing w:line="259" w:lineRule="auto"/>
      <w:outlineLvl w:val="7"/>
    </w:pPr>
    <w:rPr>
      <w:rFonts w:eastAsiaTheme="majorEastAsia" w:cstheme="majorBidi"/>
      <w:i/>
      <w:iCs/>
      <w:color w:val="272727" w:themeColor="text1" w:themeTint="D8"/>
      <w:sz w:val="22"/>
      <w:szCs w:val="22"/>
      <w:lang w:val="en-US"/>
    </w:rPr>
  </w:style>
  <w:style w:type="paragraph" w:styleId="Heading9">
    <w:name w:val="heading 9"/>
    <w:basedOn w:val="Normal"/>
    <w:next w:val="Normal"/>
    <w:link w:val="Heading9Char"/>
    <w:uiPriority w:val="9"/>
    <w:semiHidden/>
    <w:unhideWhenUsed/>
    <w:qFormat/>
    <w:rsid w:val="00ED2A97"/>
    <w:pPr>
      <w:keepNext/>
      <w:keepLines/>
      <w:spacing w:line="259" w:lineRule="auto"/>
      <w:outlineLvl w:val="8"/>
    </w:pPr>
    <w:rPr>
      <w:rFonts w:eastAsiaTheme="majorEastAsia" w:cstheme="majorBidi"/>
      <w:color w:val="272727" w:themeColor="text1" w:themeTint="D8"/>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2A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2A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2A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2A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2A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2A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2A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2A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2A97"/>
    <w:rPr>
      <w:rFonts w:eastAsiaTheme="majorEastAsia" w:cstheme="majorBidi"/>
      <w:color w:val="272727" w:themeColor="text1" w:themeTint="D8"/>
    </w:rPr>
  </w:style>
  <w:style w:type="paragraph" w:styleId="Title">
    <w:name w:val="Title"/>
    <w:basedOn w:val="Normal"/>
    <w:next w:val="Normal"/>
    <w:link w:val="TitleChar"/>
    <w:uiPriority w:val="10"/>
    <w:qFormat/>
    <w:rsid w:val="00ED2A97"/>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ED2A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2A97"/>
    <w:pPr>
      <w:numPr>
        <w:ilvl w:val="1"/>
      </w:numPr>
      <w:spacing w:after="160" w:line="259"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ED2A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2A97"/>
    <w:pPr>
      <w:spacing w:before="160" w:after="160" w:line="259" w:lineRule="auto"/>
      <w:jc w:val="center"/>
    </w:pPr>
    <w:rPr>
      <w:i/>
      <w:iCs/>
      <w:color w:val="404040" w:themeColor="text1" w:themeTint="BF"/>
      <w:sz w:val="22"/>
      <w:szCs w:val="22"/>
      <w:lang w:val="en-US"/>
    </w:rPr>
  </w:style>
  <w:style w:type="character" w:customStyle="1" w:styleId="QuoteChar">
    <w:name w:val="Quote Char"/>
    <w:basedOn w:val="DefaultParagraphFont"/>
    <w:link w:val="Quote"/>
    <w:uiPriority w:val="29"/>
    <w:rsid w:val="00ED2A97"/>
    <w:rPr>
      <w:i/>
      <w:iCs/>
      <w:color w:val="404040" w:themeColor="text1" w:themeTint="BF"/>
    </w:rPr>
  </w:style>
  <w:style w:type="paragraph" w:styleId="ListParagraph">
    <w:name w:val="List Paragraph"/>
    <w:basedOn w:val="Normal"/>
    <w:uiPriority w:val="34"/>
    <w:qFormat/>
    <w:rsid w:val="00ED2A97"/>
    <w:pPr>
      <w:spacing w:after="160" w:line="259" w:lineRule="auto"/>
      <w:ind w:left="720"/>
      <w:contextualSpacing/>
    </w:pPr>
    <w:rPr>
      <w:sz w:val="22"/>
      <w:szCs w:val="22"/>
      <w:lang w:val="en-US"/>
    </w:rPr>
  </w:style>
  <w:style w:type="character" w:styleId="IntenseEmphasis">
    <w:name w:val="Intense Emphasis"/>
    <w:basedOn w:val="DefaultParagraphFont"/>
    <w:uiPriority w:val="21"/>
    <w:qFormat/>
    <w:rsid w:val="00ED2A97"/>
    <w:rPr>
      <w:i/>
      <w:iCs/>
      <w:color w:val="0F4761" w:themeColor="accent1" w:themeShade="BF"/>
    </w:rPr>
  </w:style>
  <w:style w:type="paragraph" w:styleId="IntenseQuote">
    <w:name w:val="Intense Quote"/>
    <w:basedOn w:val="Normal"/>
    <w:next w:val="Normal"/>
    <w:link w:val="IntenseQuoteChar"/>
    <w:uiPriority w:val="30"/>
    <w:qFormat/>
    <w:rsid w:val="00ED2A97"/>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lang w:val="en-US"/>
    </w:rPr>
  </w:style>
  <w:style w:type="character" w:customStyle="1" w:styleId="IntenseQuoteChar">
    <w:name w:val="Intense Quote Char"/>
    <w:basedOn w:val="DefaultParagraphFont"/>
    <w:link w:val="IntenseQuote"/>
    <w:uiPriority w:val="30"/>
    <w:rsid w:val="00ED2A97"/>
    <w:rPr>
      <w:i/>
      <w:iCs/>
      <w:color w:val="0F4761" w:themeColor="accent1" w:themeShade="BF"/>
    </w:rPr>
  </w:style>
  <w:style w:type="character" w:styleId="IntenseReference">
    <w:name w:val="Intense Reference"/>
    <w:basedOn w:val="DefaultParagraphFont"/>
    <w:uiPriority w:val="32"/>
    <w:qFormat/>
    <w:rsid w:val="00ED2A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svg"/><Relationship Id="rId3" Type="http://schemas.openxmlformats.org/officeDocument/2006/relationships/webSettings" Target="webSettings.xml"/><Relationship Id="rId7" Type="http://schemas.openxmlformats.org/officeDocument/2006/relationships/image" Target="media/image4.sv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svg"/><Relationship Id="rId5" Type="http://schemas.openxmlformats.org/officeDocument/2006/relationships/image" Target="media/image2.sv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sv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808</Words>
  <Characters>4608</Characters>
  <Application>Microsoft Office Word</Application>
  <DocSecurity>0</DocSecurity>
  <Lines>38</Lines>
  <Paragraphs>10</Paragraphs>
  <ScaleCrop>false</ScaleCrop>
  <Company>Springer Nature</Company>
  <LinksUpToDate>false</LinksUpToDate>
  <CharactersWithSpaces>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2024-08-08T16:26:00Z</dcterms:created>
  <dcterms:modified xsi:type="dcterms:W3CDTF">2024-08-08T16:30:00Z</dcterms:modified>
</cp:coreProperties>
</file>