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0E6DE" w14:textId="77777777" w:rsidR="00E8717E" w:rsidRPr="007F0496" w:rsidRDefault="00E8717E" w:rsidP="00E8717E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Pr="0090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7F04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Appendices</w:t>
      </w:r>
    </w:p>
    <w:p w14:paraId="1145A17A" w14:textId="77777777" w:rsidR="00E8717E" w:rsidRPr="00AE4B4B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1. 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Composition of parental </w:t>
      </w:r>
      <w:r>
        <w:rPr>
          <w:rFonts w:ascii="Times New Roman" w:eastAsia="Times New Roman" w:hAnsi="Times New Roman" w:cs="Times New Roman"/>
          <w:color w:val="000000"/>
        </w:rPr>
        <w:t>nutritional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 solutions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1170"/>
        <w:gridCol w:w="1170"/>
        <w:gridCol w:w="1125"/>
        <w:gridCol w:w="1125"/>
        <w:gridCol w:w="1125"/>
        <w:gridCol w:w="1020"/>
        <w:gridCol w:w="1125"/>
      </w:tblGrid>
      <w:tr w:rsidR="00E8717E" w14:paraId="72091611" w14:textId="77777777" w:rsidTr="001B2928">
        <w:trPr>
          <w:trHeight w:val="31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507C1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 xml:space="preserve">For 100 mL 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B5761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PEDIAVEN APHP NN1 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80343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PEDIAVEN APHP NN 2 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60C081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Numetah G13%E 3 CP 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C6057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Numetah G13%E 2 CP 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CD19D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Numetah G16%E 3CP®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647AE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Numetah G16%E 3 CP 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CC0C85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SNPN1 ®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</w:tr>
      <w:tr w:rsidR="00E8717E" w14:paraId="0EDFC898" w14:textId="77777777" w:rsidTr="001B2928">
        <w:trPr>
          <w:trHeight w:val="31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A07C8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Producer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D5B4F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Fresenius Kabi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8D0A00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Fresenius Kabi</w:t>
            </w:r>
          </w:p>
          <w:p w14:paraId="3EC595C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0F4C1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Baxter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E781B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Baxter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686ED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Baxter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715019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Baxter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1AC40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</w:tr>
      <w:tr w:rsidR="00E8717E" w14:paraId="51A673DB" w14:textId="77777777" w:rsidTr="001B2928">
        <w:trPr>
          <w:trHeight w:val="165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1F269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Glucose (g)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18519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FFB6F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1A439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13,3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A0FF35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16,7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6B62E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15,5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BF13A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20,6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62140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15</w:t>
            </w:r>
          </w:p>
        </w:tc>
      </w:tr>
      <w:tr w:rsidR="00E8717E" w14:paraId="7F2D4094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B77E4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Carbohydrates (g)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75902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1,5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2871A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1,7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9CD7B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3,1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0BEB8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3,9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57A3C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32442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3,5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6CB37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6</w:t>
            </w:r>
          </w:p>
        </w:tc>
      </w:tr>
      <w:tr w:rsidR="00E8717E" w14:paraId="41ABDBDE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136CF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Lipids (g)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493699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C05BC1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8CE29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DD8EC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BB2C8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3,1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A9094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D5730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E8717E" w14:paraId="63F42802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1EB02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Calories (kcal)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59E16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29F13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79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184E1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91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7859F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82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20269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93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74F16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96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5DDD01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84</w:t>
            </w:r>
          </w:p>
        </w:tc>
      </w:tr>
      <w:tr w:rsidR="00E8717E" w14:paraId="516AC968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AFBAD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Osmolarity (Osm)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A02D2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715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F07FC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790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634DC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1150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AB027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1410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8A53C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1230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BD4E0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1585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66BCE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1364,5</w:t>
            </w:r>
          </w:p>
        </w:tc>
      </w:tr>
      <w:tr w:rsidR="00E8717E" w14:paraId="50A61DE7" w14:textId="77777777" w:rsidTr="001B2928">
        <w:trPr>
          <w:trHeight w:val="18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BD778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Sodium (mmol)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9FE46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0,45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09A27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A9F29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CD4CF9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2,7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0EC16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1F4BA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3,1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A777A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</w:tr>
      <w:tr w:rsidR="00E8717E" w14:paraId="2B8F7ECD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D617C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Potassium (mmol)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5A5C7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995BA0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1,7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5CFDA5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7B415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2,6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875CE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2,28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03419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F8F30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E8717E" w14:paraId="7EA9B8D2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00479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Calcium (mmol)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C7C39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A6B611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0,76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A397F1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1,3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08FCB9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1,6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D42EE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0,62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19459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0,82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907A1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E8717E" w14:paraId="1705D83A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244E05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Magnesium (mmol)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D1E7D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0,21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B8DF2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0,16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55BB2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0,16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F994C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0,2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CE107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0,32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5B055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0,41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E8BF75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0,3</w:t>
            </w:r>
          </w:p>
        </w:tc>
      </w:tr>
      <w:tr w:rsidR="00E8717E" w14:paraId="3A413873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44F20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Chlorure (mmol)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06B36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1DC96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C4D48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3,1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1A23E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3,9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DFF4C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2,8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BDBE40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3,7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3855D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</w:tr>
      <w:tr w:rsidR="00E8717E" w14:paraId="2C7099B2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1F617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Phosphore (mmol)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EB6D0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C241A5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0,91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5D0ED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1,3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0F14E9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1,3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A2216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0,88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E983A7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0,85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6C7FD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</w:tr>
      <w:tr w:rsidR="00E8717E" w14:paraId="05D7C039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C5058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Micronutrient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72BB6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8D304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81A1A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2374B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422DC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E42C0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7ABDF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Yes</w:t>
            </w:r>
          </w:p>
        </w:tc>
      </w:tr>
      <w:tr w:rsidR="00E8717E" w14:paraId="77983808" w14:textId="77777777" w:rsidTr="001B2928">
        <w:trPr>
          <w:trHeight w:val="30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F6035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 xml:space="preserve">Vitamins 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EB79D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AD5D3C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DE888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27C88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44D30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61D57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4823F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No</w:t>
            </w:r>
          </w:p>
        </w:tc>
      </w:tr>
    </w:tbl>
    <w:p w14:paraId="25AA766E" w14:textId="77777777" w:rsidR="00E8717E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0"/>
        <w:gridCol w:w="2550"/>
      </w:tblGrid>
      <w:tr w:rsidR="00E8717E" w14:paraId="16147656" w14:textId="77777777" w:rsidTr="001B2928">
        <w:trPr>
          <w:trHeight w:val="25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8E269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 xml:space="preserve">                                                                     </w:t>
            </w: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Producer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6C27E8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Clinoléic ®</w:t>
            </w:r>
          </w:p>
          <w:p w14:paraId="2743C513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Baxter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EC42E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SMOF Lipids ®</w:t>
            </w:r>
          </w:p>
          <w:p w14:paraId="1BD0031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Fresenius Kabi</w:t>
            </w:r>
          </w:p>
        </w:tc>
      </w:tr>
      <w:tr w:rsidR="00E8717E" w14:paraId="35629B79" w14:textId="77777777" w:rsidTr="001B2928">
        <w:trPr>
          <w:trHeight w:val="25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0C6BF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TCL soja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9637A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20%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E1A422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30%</w:t>
            </w:r>
          </w:p>
        </w:tc>
      </w:tr>
      <w:tr w:rsidR="00E8717E" w14:paraId="2AD08080" w14:textId="77777777" w:rsidTr="001B2928">
        <w:trPr>
          <w:trHeight w:val="25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F332BF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TCL olive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EE8F4B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80%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FC1C24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25%</w:t>
            </w:r>
          </w:p>
        </w:tc>
      </w:tr>
      <w:tr w:rsidR="00E8717E" w14:paraId="3F526FD3" w14:textId="77777777" w:rsidTr="001B2928">
        <w:trPr>
          <w:trHeight w:val="25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DE65C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lastRenderedPageBreak/>
              <w:t>TCM (coconut/palme)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F41EE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522496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30%</w:t>
            </w:r>
          </w:p>
        </w:tc>
      </w:tr>
      <w:tr w:rsidR="00E8717E" w14:paraId="3E89CFFE" w14:textId="77777777" w:rsidTr="001B2928">
        <w:trPr>
          <w:trHeight w:val="225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98C99E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TG à w3 (fish)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7B95AD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2A018A" w14:textId="77777777" w:rsidR="00E8717E" w:rsidRDefault="00E8717E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1E0DE59B">
              <w:rPr>
                <w:rFonts w:ascii="Times New Roman" w:eastAsia="Times New Roman" w:hAnsi="Times New Roman" w:cs="Times New Roman"/>
                <w:sz w:val="13"/>
                <w:szCs w:val="13"/>
              </w:rPr>
              <w:t>15%</w:t>
            </w:r>
          </w:p>
        </w:tc>
      </w:tr>
    </w:tbl>
    <w:p w14:paraId="47FD1A57" w14:textId="77777777" w:rsidR="00E8717E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3E857FE" w14:textId="77777777" w:rsidR="00E8717E" w:rsidRPr="00AE4B4B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</w:rPr>
        <w:t>Appendix 2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. Screenshots of the </w:t>
      </w:r>
      <w:r>
        <w:rPr>
          <w:rFonts w:ascii="Times New Roman" w:eastAsia="Times New Roman" w:hAnsi="Times New Roman" w:cs="Times New Roman"/>
          <w:color w:val="000000"/>
        </w:rPr>
        <w:t>nutritional information provided by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 the Metavision prescription software</w:t>
      </w:r>
    </w:p>
    <w:p w14:paraId="138483B1" w14:textId="77777777" w:rsidR="00E8717E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fr-FR" w:eastAsia="fr-FR"/>
        </w:rPr>
        <w:drawing>
          <wp:inline distT="0" distB="0" distL="0" distR="0" wp14:anchorId="7A39363E" wp14:editId="7FE2E580">
            <wp:extent cx="4572000" cy="2657475"/>
            <wp:effectExtent l="0" t="0" r="0" b="0"/>
            <wp:docPr id="1190912502" name="Image 1190912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1250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CDDAA" w14:textId="77777777" w:rsidR="00E8717E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fr-FR" w:eastAsia="fr-FR"/>
        </w:rPr>
        <w:drawing>
          <wp:inline distT="0" distB="0" distL="0" distR="0" wp14:anchorId="3E8B5ECE" wp14:editId="03C0CFB1">
            <wp:extent cx="4572000" cy="2600325"/>
            <wp:effectExtent l="0" t="0" r="0" b="0"/>
            <wp:docPr id="424379935" name="Image 42437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7993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9DB9" w14:textId="77777777" w:rsidR="00E8717E" w:rsidRDefault="00E8717E" w:rsidP="00E8717E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19"/>
          <w:szCs w:val="19"/>
        </w:rPr>
      </w:pPr>
    </w:p>
    <w:p w14:paraId="13FF8951" w14:textId="77777777" w:rsidR="00E8717E" w:rsidRPr="00612B38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Appendix 3. </w:t>
      </w:r>
      <w:r>
        <w:rPr>
          <w:rFonts w:ascii="Times New Roman" w:eastAsia="Times New Roman" w:hAnsi="Times New Roman" w:cs="Times New Roman"/>
          <w:color w:val="000000"/>
        </w:rPr>
        <w:t>The quality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 of weighting and matching </w:t>
      </w:r>
      <w:r>
        <w:rPr>
          <w:rFonts w:ascii="Times New Roman" w:eastAsia="Times New Roman" w:hAnsi="Times New Roman" w:cs="Times New Roman"/>
          <w:color w:val="000000"/>
        </w:rPr>
        <w:t xml:space="preserve">was 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>verified by estimation of SMDs</w:t>
      </w:r>
      <w:r>
        <w:rPr>
          <w:rFonts w:ascii="Times New Roman" w:eastAsia="Times New Roman" w:hAnsi="Times New Roman" w:cs="Times New Roman"/>
          <w:color w:val="000000"/>
        </w:rPr>
        <w:t>, revealing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 the absence of residual imbalance</w:t>
      </w:r>
    </w:p>
    <w:p w14:paraId="4D43AA5D" w14:textId="77777777" w:rsidR="00E8717E" w:rsidRPr="00AE4B4B" w:rsidRDefault="00E8717E" w:rsidP="00E8717E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The propensity score was estimated using a logistic regression model with caloric and/or protein intake as the dependent variable with respect to the following characteristics: gestational age, </w:t>
      </w:r>
      <w:r>
        <w:rPr>
          <w:rFonts w:ascii="Times New Roman" w:eastAsia="Times New Roman" w:hAnsi="Times New Roman" w:cs="Times New Roman"/>
          <w:color w:val="000000"/>
        </w:rPr>
        <w:t>sex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BW Z score, antenatal corticosteroid therapy, PROM over 24 hours, </w:t>
      </w:r>
      <w:r>
        <w:rPr>
          <w:rFonts w:ascii="Times New Roman" w:eastAsia="Times New Roman" w:hAnsi="Times New Roman" w:cs="Times New Roman"/>
          <w:color w:val="000000"/>
        </w:rPr>
        <w:t>preeclampsia</w:t>
      </w:r>
      <w:r>
        <w:rPr>
          <w:rFonts w:ascii="Times New Roman" w:eastAsia="Times New Roman" w:hAnsi="Times New Roman" w:cs="Times New Roman"/>
          <w:color w:val="000000" w:themeColor="text1"/>
        </w:rPr>
        <w:t>, multiparity, chorioamniotitis, mode of birth, 1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and 5-minute APGAR, intubation, </w:t>
      </w:r>
      <w:r>
        <w:rPr>
          <w:rFonts w:ascii="Times New Roman" w:eastAsia="Times New Roman" w:hAnsi="Times New Roman" w:cs="Times New Roman"/>
          <w:color w:val="000000"/>
        </w:rPr>
        <w:t xml:space="preserve">and </w:t>
      </w:r>
      <w:r>
        <w:rPr>
          <w:rFonts w:ascii="Times New Roman" w:eastAsia="Times New Roman" w:hAnsi="Times New Roman" w:cs="Times New Roman"/>
          <w:color w:val="000000" w:themeColor="text1"/>
        </w:rPr>
        <w:t>surfactant instillation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7EB85A1" w14:textId="77777777" w:rsidR="00E8717E" w:rsidRPr="00395532" w:rsidRDefault="00E8717E" w:rsidP="00E8717E">
      <w:pPr>
        <w:spacing w:line="480" w:lineRule="auto"/>
        <w:jc w:val="both"/>
      </w:pPr>
    </w:p>
    <w:p w14:paraId="61725524" w14:textId="77777777" w:rsidR="00E8717E" w:rsidRDefault="00E8717E" w:rsidP="00E8717E">
      <w:pPr>
        <w:spacing w:line="480" w:lineRule="auto"/>
        <w:jc w:val="both"/>
      </w:pPr>
      <w:r>
        <w:rPr>
          <w:noProof/>
          <w:lang w:val="fr-FR" w:eastAsia="fr-FR"/>
        </w:rPr>
        <w:drawing>
          <wp:inline distT="0" distB="0" distL="0" distR="0" wp14:anchorId="16EC7E63" wp14:editId="09B96194">
            <wp:extent cx="5449838" cy="5486352"/>
            <wp:effectExtent l="0" t="0" r="11430" b="635"/>
            <wp:docPr id="1209790995" name="Image 1209790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9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183" cy="551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D091A" w14:textId="77777777" w:rsidR="0061741B" w:rsidRDefault="0061741B"/>
    <w:sectPr w:rsidR="0061741B" w:rsidSect="00E8717E">
      <w:headerReference w:type="default" r:id="rId7"/>
      <w:footerReference w:type="default" r:id="rId8"/>
      <w:footnotePr>
        <w:pos w:val="beneathText"/>
      </w:footnotePr>
      <w:pgSz w:w="11906" w:h="16838"/>
      <w:pgMar w:top="1440" w:right="1077" w:bottom="1440" w:left="1077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651279"/>
      <w:docPartObj>
        <w:docPartGallery w:val="Page Numbers (Bottom of Page)"/>
        <w:docPartUnique/>
      </w:docPartObj>
    </w:sdtPr>
    <w:sdtContent>
      <w:p w14:paraId="3B31864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5F964A6" w14:textId="77777777" w:rsidR="00000000" w:rsidRDefault="00000000" w:rsidP="4A8F2D1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E1678" w14:paraId="22403841" w14:textId="77777777" w:rsidTr="4A8F2D1D">
      <w:trPr>
        <w:trHeight w:val="300"/>
      </w:trPr>
      <w:tc>
        <w:tcPr>
          <w:tcW w:w="3005" w:type="dxa"/>
        </w:tcPr>
        <w:p w14:paraId="27E1146D" w14:textId="77777777" w:rsidR="00000000" w:rsidRDefault="00000000" w:rsidP="4A8F2D1D">
          <w:pPr>
            <w:pStyle w:val="Header"/>
            <w:ind w:left="-115"/>
          </w:pPr>
        </w:p>
      </w:tc>
      <w:tc>
        <w:tcPr>
          <w:tcW w:w="3005" w:type="dxa"/>
        </w:tcPr>
        <w:p w14:paraId="00D97324" w14:textId="77777777" w:rsidR="00000000" w:rsidRDefault="00000000" w:rsidP="4A8F2D1D">
          <w:pPr>
            <w:pStyle w:val="Header"/>
            <w:jc w:val="center"/>
          </w:pPr>
        </w:p>
      </w:tc>
      <w:tc>
        <w:tcPr>
          <w:tcW w:w="3005" w:type="dxa"/>
        </w:tcPr>
        <w:p w14:paraId="3122E1E1" w14:textId="77777777" w:rsidR="00000000" w:rsidRDefault="00000000" w:rsidP="4A8F2D1D">
          <w:pPr>
            <w:pStyle w:val="Header"/>
            <w:ind w:right="-115"/>
            <w:jc w:val="right"/>
          </w:pPr>
        </w:p>
      </w:tc>
    </w:tr>
  </w:tbl>
  <w:p w14:paraId="14BAC77B" w14:textId="77777777" w:rsidR="00000000" w:rsidRDefault="00000000" w:rsidP="4A8F2D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7E"/>
    <w:rsid w:val="0061741B"/>
    <w:rsid w:val="009A3AB1"/>
    <w:rsid w:val="00A84F60"/>
    <w:rsid w:val="00E71E5F"/>
    <w:rsid w:val="00E8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2C4F"/>
  <w15:chartTrackingRefBased/>
  <w15:docId w15:val="{3FAC4993-66AC-40FB-9322-2416907E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17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1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1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1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1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1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1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1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1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1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1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1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17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7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17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7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17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71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1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17E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E8717E"/>
  </w:style>
  <w:style w:type="paragraph" w:styleId="Header">
    <w:name w:val="header"/>
    <w:basedOn w:val="Normal"/>
    <w:link w:val="HeaderChar"/>
    <w:uiPriority w:val="99"/>
    <w:unhideWhenUsed/>
    <w:rsid w:val="00E8717E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E8717E"/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8717E"/>
  </w:style>
  <w:style w:type="paragraph" w:styleId="Footer">
    <w:name w:val="footer"/>
    <w:basedOn w:val="Normal"/>
    <w:link w:val="FooterChar"/>
    <w:uiPriority w:val="99"/>
    <w:unhideWhenUsed/>
    <w:rsid w:val="00E8717E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E8717E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8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2024-10-08T16:10:00Z</dcterms:created>
  <dcterms:modified xsi:type="dcterms:W3CDTF">2024-10-08T16:11:00Z</dcterms:modified>
</cp:coreProperties>
</file>