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AA1F99" w14:textId="791C48FF" w:rsidR="004F51F0" w:rsidRPr="002B7418" w:rsidRDefault="002B7418">
      <w:pPr>
        <w:rPr>
          <w:b/>
          <w:bCs/>
        </w:rPr>
      </w:pPr>
      <w:r w:rsidRPr="002B7418">
        <w:rPr>
          <w:b/>
          <w:bCs/>
        </w:rPr>
        <w:t>SUPPLEMENTARY DATA</w:t>
      </w:r>
    </w:p>
    <w:p w14:paraId="4DEB5CC5" w14:textId="77777777" w:rsidR="002B7418" w:rsidRDefault="002B7418"/>
    <w:p w14:paraId="577A9027" w14:textId="709911D5" w:rsidR="002B7418" w:rsidRDefault="002B7418">
      <w:r w:rsidRPr="008D31E9">
        <w:rPr>
          <w:b/>
          <w:bCs/>
        </w:rPr>
        <w:t>Supplementary Figure 1</w:t>
      </w:r>
      <w:r>
        <w:t xml:space="preserve">. </w:t>
      </w:r>
      <w:r w:rsidRPr="002B7418">
        <w:t>Number of new HF patients in individual calendar years divided by the urgency of admission.</w:t>
      </w:r>
    </w:p>
    <w:p w14:paraId="4BEE2330" w14:textId="77777777" w:rsidR="002B7418" w:rsidRDefault="002B7418"/>
    <w:p w14:paraId="43E0D59E" w14:textId="6E5A8C5F" w:rsidR="002B7418" w:rsidRDefault="002B7418">
      <w:r>
        <w:rPr>
          <w:noProof/>
          <w:lang w:eastAsia="pl-PL"/>
        </w:rPr>
        <w:drawing>
          <wp:inline distT="0" distB="0" distL="0" distR="0" wp14:anchorId="22C808FB" wp14:editId="6F0D5162">
            <wp:extent cx="5727940" cy="2553419"/>
            <wp:effectExtent l="0" t="0" r="12700" b="12065"/>
            <wp:docPr id="71" name="Wykres 7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483FC7C" w14:textId="77777777" w:rsidR="002B7418" w:rsidRDefault="002B7418"/>
    <w:p w14:paraId="2D6D2CBD" w14:textId="7D053B73" w:rsidR="002B7418" w:rsidRDefault="002B7418">
      <w:r>
        <w:t>Abbreviations: HF, heart failure; HFH, heart failure hospitalization. Data showed as a number of patients in each calendar year.</w:t>
      </w:r>
    </w:p>
    <w:p w14:paraId="3B3F319F" w14:textId="77777777" w:rsidR="007D0990" w:rsidRDefault="007D0990"/>
    <w:p w14:paraId="20296313" w14:textId="77777777" w:rsidR="007D0990" w:rsidRDefault="007D0990"/>
    <w:p w14:paraId="33A890BD" w14:textId="77777777" w:rsidR="007D0990" w:rsidRPr="00903746" w:rsidRDefault="007D0990" w:rsidP="007D0990">
      <w:pPr>
        <w:spacing w:line="480" w:lineRule="auto"/>
        <w:rPr>
          <w:rFonts w:cstheme="minorHAnsi"/>
          <w:i/>
          <w:iCs/>
          <w:sz w:val="22"/>
          <w:szCs w:val="22"/>
        </w:rPr>
      </w:pPr>
      <w:r w:rsidRPr="00903746">
        <w:rPr>
          <w:rFonts w:cstheme="minorHAnsi"/>
          <w:i/>
          <w:iCs/>
          <w:sz w:val="22"/>
          <w:szCs w:val="22"/>
        </w:rPr>
        <w:t>Cardiac rehabilitation</w:t>
      </w:r>
    </w:p>
    <w:p w14:paraId="64C581AB" w14:textId="77777777" w:rsidR="007D0990" w:rsidRPr="00903746" w:rsidRDefault="007D0990" w:rsidP="007D0990">
      <w:pPr>
        <w:spacing w:line="480" w:lineRule="auto"/>
        <w:rPr>
          <w:rFonts w:cstheme="minorHAnsi"/>
          <w:sz w:val="22"/>
          <w:szCs w:val="22"/>
        </w:rPr>
      </w:pPr>
      <w:r w:rsidRPr="00903746">
        <w:rPr>
          <w:rFonts w:cstheme="minorHAnsi"/>
          <w:sz w:val="22"/>
          <w:szCs w:val="22"/>
        </w:rPr>
        <w:t>Between 2016-2019, there was an enhancement in service accessibility, marked by an increased number of centers and patients utilizing these services. However, cardiac rehabilitation</w:t>
      </w:r>
      <w:r>
        <w:rPr>
          <w:rFonts w:cstheme="minorHAnsi"/>
          <w:sz w:val="22"/>
          <w:szCs w:val="22"/>
        </w:rPr>
        <w:t xml:space="preserve"> (CR)</w:t>
      </w:r>
      <w:r w:rsidRPr="00903746">
        <w:rPr>
          <w:rFonts w:cstheme="minorHAnsi"/>
          <w:sz w:val="22"/>
          <w:szCs w:val="22"/>
        </w:rPr>
        <w:t xml:space="preserve"> services were accessed by less than 2% of overall </w:t>
      </w:r>
      <w:r>
        <w:rPr>
          <w:rFonts w:cstheme="minorHAnsi"/>
          <w:sz w:val="22"/>
          <w:szCs w:val="22"/>
        </w:rPr>
        <w:t>rehabilitation services</w:t>
      </w:r>
      <w:r w:rsidRPr="00903746">
        <w:rPr>
          <w:rFonts w:cstheme="minorHAnsi"/>
          <w:sz w:val="22"/>
          <w:szCs w:val="22"/>
        </w:rPr>
        <w:t xml:space="preserve"> (2.7 to 3.4 million annually from 2016-2021). The percentage of HF patients among those using </w:t>
      </w:r>
      <w:r>
        <w:rPr>
          <w:rFonts w:cstheme="minorHAnsi"/>
          <w:sz w:val="22"/>
          <w:szCs w:val="22"/>
        </w:rPr>
        <w:t xml:space="preserve">CR </w:t>
      </w:r>
      <w:r w:rsidRPr="00903746">
        <w:rPr>
          <w:rFonts w:cstheme="minorHAnsi"/>
          <w:sz w:val="22"/>
          <w:szCs w:val="22"/>
        </w:rPr>
        <w:t xml:space="preserve">declined from 17% in 2016 to 12% in 2021. In 2019, only 3.51% of HF-hospitalized patients underwent </w:t>
      </w:r>
      <w:r>
        <w:rPr>
          <w:rFonts w:cstheme="minorHAnsi"/>
          <w:sz w:val="22"/>
          <w:szCs w:val="22"/>
        </w:rPr>
        <w:t>CR</w:t>
      </w:r>
      <w:r w:rsidRPr="00903746">
        <w:rPr>
          <w:rFonts w:cstheme="minorHAnsi"/>
          <w:sz w:val="22"/>
          <w:szCs w:val="22"/>
        </w:rPr>
        <w:t xml:space="preserve"> post-hospitalization (1</w:t>
      </w:r>
      <w:r>
        <w:rPr>
          <w:rFonts w:cstheme="minorHAnsi"/>
          <w:sz w:val="22"/>
          <w:szCs w:val="22"/>
        </w:rPr>
        <w:t>/</w:t>
      </w:r>
      <w:r w:rsidRPr="00903746">
        <w:rPr>
          <w:rFonts w:cstheme="minorHAnsi"/>
          <w:sz w:val="22"/>
          <w:szCs w:val="22"/>
        </w:rPr>
        <w:t xml:space="preserve">28 patients). Predominantly, </w:t>
      </w:r>
      <w:r>
        <w:rPr>
          <w:rFonts w:cstheme="minorHAnsi"/>
          <w:sz w:val="22"/>
          <w:szCs w:val="22"/>
        </w:rPr>
        <w:t>CR</w:t>
      </w:r>
      <w:r w:rsidRPr="00903746">
        <w:rPr>
          <w:rFonts w:cstheme="minorHAnsi"/>
          <w:sz w:val="22"/>
          <w:szCs w:val="22"/>
        </w:rPr>
        <w:t xml:space="preserve"> occur</w:t>
      </w:r>
      <w:r>
        <w:rPr>
          <w:rFonts w:cstheme="minorHAnsi"/>
          <w:sz w:val="22"/>
          <w:szCs w:val="22"/>
        </w:rPr>
        <w:t>red</w:t>
      </w:r>
      <w:r w:rsidRPr="00903746">
        <w:rPr>
          <w:rFonts w:cstheme="minorHAnsi"/>
          <w:sz w:val="22"/>
          <w:szCs w:val="22"/>
        </w:rPr>
        <w:t xml:space="preserve"> in inpatient care (19 times more). Presently, only 1 in 180 HF</w:t>
      </w:r>
      <w:r>
        <w:rPr>
          <w:rFonts w:cstheme="minorHAnsi"/>
          <w:sz w:val="22"/>
          <w:szCs w:val="22"/>
        </w:rPr>
        <w:t>-</w:t>
      </w:r>
      <w:r w:rsidRPr="00903746">
        <w:rPr>
          <w:rFonts w:cstheme="minorHAnsi"/>
          <w:sz w:val="22"/>
          <w:szCs w:val="22"/>
        </w:rPr>
        <w:t xml:space="preserve">patients (0.55%) annually utilize any form of </w:t>
      </w:r>
      <w:r>
        <w:rPr>
          <w:rFonts w:cstheme="minorHAnsi"/>
          <w:sz w:val="22"/>
          <w:szCs w:val="22"/>
        </w:rPr>
        <w:t>CR</w:t>
      </w:r>
      <w:r w:rsidRPr="00903746">
        <w:rPr>
          <w:rFonts w:cstheme="minorHAnsi"/>
          <w:sz w:val="22"/>
          <w:szCs w:val="22"/>
        </w:rPr>
        <w:t xml:space="preserve"> financed from public funds.</w:t>
      </w:r>
    </w:p>
    <w:p w14:paraId="080C6341" w14:textId="77777777" w:rsidR="007D0990" w:rsidRPr="00903746" w:rsidRDefault="007D0990" w:rsidP="007D0990">
      <w:pPr>
        <w:spacing w:line="480" w:lineRule="auto"/>
        <w:rPr>
          <w:rFonts w:cstheme="minorHAnsi"/>
          <w:sz w:val="22"/>
          <w:szCs w:val="22"/>
        </w:rPr>
      </w:pPr>
    </w:p>
    <w:p w14:paraId="5E4857D4" w14:textId="77777777" w:rsidR="007D0990" w:rsidRPr="00903746" w:rsidRDefault="007D0990" w:rsidP="007D0990">
      <w:pPr>
        <w:spacing w:line="480" w:lineRule="auto"/>
        <w:rPr>
          <w:rFonts w:cstheme="minorHAnsi"/>
          <w:i/>
          <w:iCs/>
          <w:sz w:val="22"/>
          <w:szCs w:val="22"/>
        </w:rPr>
      </w:pPr>
      <w:r w:rsidRPr="00903746">
        <w:rPr>
          <w:rFonts w:cstheme="minorHAnsi"/>
          <w:i/>
          <w:iCs/>
          <w:sz w:val="22"/>
          <w:szCs w:val="22"/>
        </w:rPr>
        <w:t>Long-term care and palliative HF care</w:t>
      </w:r>
    </w:p>
    <w:p w14:paraId="185E4818" w14:textId="77777777" w:rsidR="007D0990" w:rsidRDefault="007D0990" w:rsidP="007D0990">
      <w:pPr>
        <w:spacing w:line="480" w:lineRule="auto"/>
        <w:rPr>
          <w:rFonts w:cstheme="minorHAnsi"/>
          <w:sz w:val="22"/>
          <w:szCs w:val="22"/>
        </w:rPr>
      </w:pPr>
      <w:r w:rsidRPr="00E77A0D">
        <w:rPr>
          <w:rFonts w:cstheme="minorHAnsi"/>
          <w:sz w:val="22"/>
          <w:szCs w:val="22"/>
        </w:rPr>
        <w:t>In 2021, approximately 113</w:t>
      </w:r>
      <w:r>
        <w:rPr>
          <w:rFonts w:cstheme="minorHAnsi"/>
          <w:sz w:val="22"/>
          <w:szCs w:val="22"/>
        </w:rPr>
        <w:t> </w:t>
      </w:r>
      <w:r w:rsidRPr="00E77A0D">
        <w:rPr>
          <w:rFonts w:cstheme="minorHAnsi"/>
          <w:sz w:val="22"/>
          <w:szCs w:val="22"/>
        </w:rPr>
        <w:t>000 patients received long-term care services, a moderate increase compared to the preceding years (106</w:t>
      </w:r>
      <w:r>
        <w:rPr>
          <w:rFonts w:cstheme="minorHAnsi"/>
          <w:sz w:val="22"/>
          <w:szCs w:val="22"/>
        </w:rPr>
        <w:t> </w:t>
      </w:r>
      <w:r w:rsidRPr="00E77A0D">
        <w:rPr>
          <w:rFonts w:cstheme="minorHAnsi"/>
          <w:sz w:val="22"/>
          <w:szCs w:val="22"/>
        </w:rPr>
        <w:t>000-111</w:t>
      </w:r>
      <w:r>
        <w:rPr>
          <w:rFonts w:cstheme="minorHAnsi"/>
          <w:sz w:val="22"/>
          <w:szCs w:val="22"/>
        </w:rPr>
        <w:t> </w:t>
      </w:r>
      <w:r w:rsidRPr="00E77A0D">
        <w:rPr>
          <w:rFonts w:cstheme="minorHAnsi"/>
          <w:sz w:val="22"/>
          <w:szCs w:val="22"/>
        </w:rPr>
        <w:t xml:space="preserve">000/year from 2016-2020). The largest group had cardiovascular system diseases (43.3%), mental disorders (15.3%), and nervous system diseases </w:t>
      </w:r>
      <w:r w:rsidRPr="00E77A0D">
        <w:rPr>
          <w:rFonts w:cstheme="minorHAnsi"/>
          <w:sz w:val="22"/>
          <w:szCs w:val="22"/>
        </w:rPr>
        <w:lastRenderedPageBreak/>
        <w:t>(14.3%). Home care services for HF were provided to 7</w:t>
      </w:r>
      <w:r>
        <w:rPr>
          <w:rFonts w:cstheme="minorHAnsi"/>
          <w:sz w:val="22"/>
          <w:szCs w:val="22"/>
        </w:rPr>
        <w:t> </w:t>
      </w:r>
      <w:r w:rsidRPr="00E77A0D">
        <w:rPr>
          <w:rFonts w:cstheme="minorHAnsi"/>
          <w:sz w:val="22"/>
          <w:szCs w:val="22"/>
        </w:rPr>
        <w:t>252 patients, mainly under long-term nursing care. Palliative and hospice care served nearly 93</w:t>
      </w:r>
      <w:r>
        <w:rPr>
          <w:rFonts w:cstheme="minorHAnsi"/>
          <w:sz w:val="22"/>
          <w:szCs w:val="22"/>
        </w:rPr>
        <w:t> </w:t>
      </w:r>
      <w:r w:rsidRPr="00E77A0D">
        <w:rPr>
          <w:rFonts w:cstheme="minorHAnsi"/>
          <w:sz w:val="22"/>
          <w:szCs w:val="22"/>
        </w:rPr>
        <w:t>000 people in 2021, with the majority having cancer</w:t>
      </w:r>
      <w:r>
        <w:rPr>
          <w:rFonts w:cstheme="minorHAnsi"/>
          <w:sz w:val="22"/>
          <w:szCs w:val="22"/>
        </w:rPr>
        <w:t>/malignancies</w:t>
      </w:r>
      <w:r w:rsidRPr="00E77A0D">
        <w:rPr>
          <w:rFonts w:cstheme="minorHAnsi"/>
          <w:sz w:val="22"/>
          <w:szCs w:val="22"/>
        </w:rPr>
        <w:t xml:space="preserve"> (86%). Cardiovascular diseases represented less than 2% of cases, </w:t>
      </w:r>
      <w:r>
        <w:rPr>
          <w:rFonts w:cstheme="minorHAnsi"/>
          <w:sz w:val="22"/>
          <w:szCs w:val="22"/>
        </w:rPr>
        <w:t xml:space="preserve">with </w:t>
      </w:r>
      <w:r w:rsidRPr="00E77A0D">
        <w:rPr>
          <w:rFonts w:cstheme="minorHAnsi"/>
          <w:sz w:val="22"/>
          <w:szCs w:val="22"/>
        </w:rPr>
        <w:t xml:space="preserve">cardiomyopathy </w:t>
      </w:r>
      <w:r>
        <w:rPr>
          <w:rFonts w:cstheme="minorHAnsi"/>
          <w:sz w:val="22"/>
          <w:szCs w:val="22"/>
        </w:rPr>
        <w:t xml:space="preserve">as a leading diagnosis </w:t>
      </w:r>
      <w:r w:rsidRPr="00E77A0D">
        <w:rPr>
          <w:rFonts w:cstheme="minorHAnsi"/>
          <w:sz w:val="22"/>
          <w:szCs w:val="22"/>
        </w:rPr>
        <w:t>(</w:t>
      </w:r>
      <w:r>
        <w:rPr>
          <w:rFonts w:cstheme="minorHAnsi"/>
          <w:sz w:val="22"/>
          <w:szCs w:val="22"/>
        </w:rPr>
        <w:t>&gt;</w:t>
      </w:r>
      <w:r w:rsidRPr="00E77A0D">
        <w:rPr>
          <w:rFonts w:cstheme="minorHAnsi"/>
          <w:sz w:val="22"/>
          <w:szCs w:val="22"/>
        </w:rPr>
        <w:t>93%), and HF accounted for only 17 patients</w:t>
      </w:r>
      <w:r>
        <w:rPr>
          <w:rFonts w:cstheme="minorHAnsi"/>
          <w:sz w:val="22"/>
          <w:szCs w:val="22"/>
        </w:rPr>
        <w:t>.</w:t>
      </w:r>
    </w:p>
    <w:p w14:paraId="74007FA8" w14:textId="77777777" w:rsidR="007D0990" w:rsidRPr="00903746" w:rsidRDefault="007D0990" w:rsidP="007D0990">
      <w:pPr>
        <w:spacing w:line="480" w:lineRule="auto"/>
        <w:rPr>
          <w:rFonts w:cstheme="minorHAnsi"/>
          <w:i/>
          <w:iCs/>
          <w:sz w:val="22"/>
          <w:szCs w:val="22"/>
        </w:rPr>
      </w:pPr>
    </w:p>
    <w:p w14:paraId="522E400C" w14:textId="77777777" w:rsidR="007D0990" w:rsidRPr="000953B6" w:rsidRDefault="007D0990" w:rsidP="007D0990">
      <w:pPr>
        <w:spacing w:line="480" w:lineRule="auto"/>
        <w:rPr>
          <w:rFonts w:cstheme="minorHAnsi"/>
          <w:color w:val="000000" w:themeColor="text1"/>
          <w:sz w:val="22"/>
          <w:szCs w:val="22"/>
        </w:rPr>
      </w:pPr>
      <w:r w:rsidRPr="000953B6">
        <w:rPr>
          <w:rFonts w:cstheme="minorHAnsi"/>
          <w:i/>
          <w:iCs/>
          <w:color w:val="000000" w:themeColor="text1"/>
          <w:sz w:val="22"/>
          <w:szCs w:val="22"/>
        </w:rPr>
        <w:t xml:space="preserve">HF treatment costs in Poland </w:t>
      </w:r>
    </w:p>
    <w:p w14:paraId="535BFB7A" w14:textId="11F30CF6" w:rsidR="007D0990" w:rsidRDefault="007D0990" w:rsidP="007D0990">
      <w:pPr>
        <w:spacing w:line="480" w:lineRule="auto"/>
        <w:rPr>
          <w:rFonts w:cstheme="minorHAnsi"/>
          <w:color w:val="000000" w:themeColor="text1"/>
          <w:sz w:val="22"/>
          <w:szCs w:val="22"/>
        </w:rPr>
      </w:pPr>
      <w:r w:rsidRPr="000953B6">
        <w:rPr>
          <w:rFonts w:cstheme="minorHAnsi"/>
          <w:color w:val="000000" w:themeColor="text1"/>
          <w:sz w:val="22"/>
          <w:szCs w:val="22"/>
        </w:rPr>
        <w:t>Between 2014 and 2019, expenses for HF-related health services rose from 775 million PLN (~1</w:t>
      </w:r>
      <w:r w:rsidR="008C76CC">
        <w:rPr>
          <w:rFonts w:cstheme="minorHAnsi"/>
          <w:color w:val="000000" w:themeColor="text1"/>
          <w:sz w:val="22"/>
          <w:szCs w:val="22"/>
        </w:rPr>
        <w:t>75</w:t>
      </w:r>
      <w:r w:rsidRPr="000953B6">
        <w:rPr>
          <w:rFonts w:cstheme="minorHAnsi"/>
          <w:color w:val="000000" w:themeColor="text1"/>
          <w:sz w:val="22"/>
          <w:szCs w:val="22"/>
        </w:rPr>
        <w:t xml:space="preserve"> million EUR) to PLN 1</w:t>
      </w:r>
      <w:r>
        <w:rPr>
          <w:rFonts w:cstheme="minorHAnsi"/>
          <w:sz w:val="22"/>
          <w:szCs w:val="22"/>
        </w:rPr>
        <w:t> </w:t>
      </w:r>
      <w:r w:rsidRPr="000953B6">
        <w:rPr>
          <w:rFonts w:cstheme="minorHAnsi"/>
          <w:color w:val="000000" w:themeColor="text1"/>
          <w:sz w:val="22"/>
          <w:szCs w:val="22"/>
        </w:rPr>
        <w:t>656 million (~3</w:t>
      </w:r>
      <w:r w:rsidR="008C76CC">
        <w:rPr>
          <w:rFonts w:cstheme="minorHAnsi"/>
          <w:color w:val="000000" w:themeColor="text1"/>
          <w:sz w:val="22"/>
          <w:szCs w:val="22"/>
        </w:rPr>
        <w:t>73</w:t>
      </w:r>
      <w:r w:rsidRPr="000953B6">
        <w:rPr>
          <w:rFonts w:cstheme="minorHAnsi"/>
          <w:color w:val="000000" w:themeColor="text1"/>
          <w:sz w:val="22"/>
          <w:szCs w:val="22"/>
        </w:rPr>
        <w:t xml:space="preserve"> million EUR), indicating a 114% increase. Hospital services accounted for around 94% of the total spending on HF patient treatment, while nursing and care services (long-term care) comprised 3 to 5%, and OSC accounted for 1 to 2%.</w:t>
      </w:r>
    </w:p>
    <w:p w14:paraId="4E49B3FF" w14:textId="77777777" w:rsidR="007D0990" w:rsidRDefault="007D0990" w:rsidP="007D0990">
      <w:pPr>
        <w:spacing w:line="480" w:lineRule="auto"/>
        <w:rPr>
          <w:rFonts w:cstheme="minorHAnsi"/>
          <w:color w:val="000000" w:themeColor="text1"/>
          <w:sz w:val="22"/>
          <w:szCs w:val="22"/>
        </w:rPr>
      </w:pPr>
    </w:p>
    <w:p w14:paraId="2725BAEB" w14:textId="48C91873" w:rsidR="007D0990" w:rsidRPr="007D0990" w:rsidRDefault="007D0990" w:rsidP="007D0990">
      <w:pPr>
        <w:spacing w:line="480" w:lineRule="auto"/>
        <w:rPr>
          <w:rFonts w:cstheme="minorHAnsi"/>
          <w:b/>
          <w:bCs/>
          <w:color w:val="000000" w:themeColor="text1"/>
          <w:sz w:val="22"/>
          <w:szCs w:val="22"/>
        </w:rPr>
      </w:pPr>
      <w:r w:rsidRPr="007D0990">
        <w:rPr>
          <w:rFonts w:cstheme="minorHAnsi"/>
          <w:b/>
          <w:bCs/>
          <w:color w:val="000000" w:themeColor="text1"/>
          <w:sz w:val="22"/>
          <w:szCs w:val="22"/>
        </w:rPr>
        <w:t>Figure S2. Expenses for HF-related healthcare services (mln EUR).</w:t>
      </w:r>
    </w:p>
    <w:p w14:paraId="03F79CEB" w14:textId="4C90FE6B" w:rsidR="008C76CC" w:rsidRDefault="008C76CC" w:rsidP="007D0990">
      <w:pPr>
        <w:spacing w:line="480" w:lineRule="auto"/>
        <w:rPr>
          <w:rFonts w:cstheme="minorHAnsi"/>
          <w:strike/>
          <w:color w:val="000000" w:themeColor="text1"/>
          <w:sz w:val="22"/>
          <w:szCs w:val="22"/>
        </w:rPr>
      </w:pPr>
      <w:r>
        <w:rPr>
          <w:noProof/>
        </w:rPr>
        <w:drawing>
          <wp:inline distT="0" distB="0" distL="0" distR="0" wp14:anchorId="717D3A04" wp14:editId="76026FF2">
            <wp:extent cx="5212800" cy="2671200"/>
            <wp:effectExtent l="0" t="0" r="6985" b="15240"/>
            <wp:docPr id="1016788314" name="Wykres 1">
              <a:extLst xmlns:a="http://schemas.openxmlformats.org/drawingml/2006/main">
                <a:ext uri="{FF2B5EF4-FFF2-40B4-BE49-F238E27FC236}">
                  <a16:creationId xmlns:a16="http://schemas.microsoft.com/office/drawing/2014/main" id="{54CE583B-E370-41E1-ACDF-B031558D02E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0185399" w14:textId="77777777" w:rsidR="008C76CC" w:rsidRPr="000953B6" w:rsidRDefault="008C76CC" w:rsidP="007D0990">
      <w:pPr>
        <w:spacing w:line="480" w:lineRule="auto"/>
        <w:rPr>
          <w:rFonts w:cstheme="minorHAnsi"/>
          <w:strike/>
          <w:color w:val="000000" w:themeColor="text1"/>
          <w:sz w:val="22"/>
          <w:szCs w:val="22"/>
        </w:rPr>
      </w:pPr>
    </w:p>
    <w:p w14:paraId="3F3A1E48" w14:textId="77777777" w:rsidR="007D0990" w:rsidRDefault="007D0990"/>
    <w:sectPr w:rsidR="007D09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418"/>
    <w:rsid w:val="00265E38"/>
    <w:rsid w:val="002B7418"/>
    <w:rsid w:val="004734A7"/>
    <w:rsid w:val="004F51F0"/>
    <w:rsid w:val="00563D45"/>
    <w:rsid w:val="005714F4"/>
    <w:rsid w:val="006D0C4F"/>
    <w:rsid w:val="007D0990"/>
    <w:rsid w:val="00883B04"/>
    <w:rsid w:val="008C76CC"/>
    <w:rsid w:val="008D31E9"/>
    <w:rsid w:val="00E73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5A106"/>
  <w15:chartTrackingRefBased/>
  <w15:docId w15:val="{56818992-1665-1E45-836C-3F34AFE97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E731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7316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73161"/>
    <w:rPr>
      <w:sz w:val="20"/>
      <w:szCs w:val="20"/>
      <w:lang w:val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1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161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niesyczynski\Downloads\Dane%20do%20artuku&#322;u%202014-2021%2028%20maj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l-PL" sz="1200"/>
              <a:t>New HF patients in the healthcare system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Arkusz1!$B$1</c:f>
              <c:strCache>
                <c:ptCount val="1"/>
                <c:pt idx="0">
                  <c:v>≥ 1 urgent HFH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Arkusz1!$A$2:$A$9</c:f>
              <c:numCache>
                <c:formatCode>General</c:formatCode>
                <c:ptCount val="8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  <c:pt idx="6">
                  <c:v>2020</c:v>
                </c:pt>
                <c:pt idx="7">
                  <c:v>2021</c:v>
                </c:pt>
              </c:numCache>
            </c:numRef>
          </c:cat>
          <c:val>
            <c:numRef>
              <c:f>Arkusz1!$B$2:$B$9</c:f>
              <c:numCache>
                <c:formatCode>#,##0</c:formatCode>
                <c:ptCount val="8"/>
                <c:pt idx="0">
                  <c:v>36253</c:v>
                </c:pt>
                <c:pt idx="1">
                  <c:v>36655</c:v>
                </c:pt>
                <c:pt idx="2">
                  <c:v>37581</c:v>
                </c:pt>
                <c:pt idx="3">
                  <c:v>41777</c:v>
                </c:pt>
                <c:pt idx="4">
                  <c:v>43719</c:v>
                </c:pt>
                <c:pt idx="5">
                  <c:v>43956</c:v>
                </c:pt>
                <c:pt idx="6">
                  <c:v>30224</c:v>
                </c:pt>
                <c:pt idx="7">
                  <c:v>29603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8C-EF42-882F-276438D93881}"/>
            </c:ext>
          </c:extLst>
        </c:ser>
        <c:ser>
          <c:idx val="1"/>
          <c:order val="1"/>
          <c:tx>
            <c:strRef>
              <c:f>Arkusz1!$C$1</c:f>
              <c:strCache>
                <c:ptCount val="1"/>
                <c:pt idx="0">
                  <c:v>≥ 2 HFH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Arkusz1!$A$2:$A$9</c:f>
              <c:numCache>
                <c:formatCode>General</c:formatCode>
                <c:ptCount val="8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  <c:pt idx="6">
                  <c:v>2020</c:v>
                </c:pt>
                <c:pt idx="7">
                  <c:v>2021</c:v>
                </c:pt>
              </c:numCache>
            </c:numRef>
          </c:cat>
          <c:val>
            <c:numRef>
              <c:f>Arkusz1!$C$2:$C$9</c:f>
              <c:numCache>
                <c:formatCode>#,##0</c:formatCode>
                <c:ptCount val="8"/>
                <c:pt idx="0">
                  <c:v>45048</c:v>
                </c:pt>
                <c:pt idx="1">
                  <c:v>45713</c:v>
                </c:pt>
                <c:pt idx="2">
                  <c:v>45650</c:v>
                </c:pt>
                <c:pt idx="3">
                  <c:v>51027</c:v>
                </c:pt>
                <c:pt idx="4">
                  <c:v>53838</c:v>
                </c:pt>
                <c:pt idx="5">
                  <c:v>54727</c:v>
                </c:pt>
                <c:pt idx="6">
                  <c:v>37765</c:v>
                </c:pt>
                <c:pt idx="7">
                  <c:v>38423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8C-EF42-882F-276438D93881}"/>
            </c:ext>
          </c:extLst>
        </c:ser>
        <c:ser>
          <c:idx val="2"/>
          <c:order val="2"/>
          <c:tx>
            <c:strRef>
              <c:f>Arkusz1!$D$1</c:f>
              <c:strCache>
                <c:ptCount val="1"/>
                <c:pt idx="0">
                  <c:v>≥ 2 HFH., incl. ≥ 1 urgent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numRef>
              <c:f>Arkusz1!$A$2:$A$9</c:f>
              <c:numCache>
                <c:formatCode>General</c:formatCode>
                <c:ptCount val="8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  <c:pt idx="6">
                  <c:v>2020</c:v>
                </c:pt>
                <c:pt idx="7">
                  <c:v>2021</c:v>
                </c:pt>
              </c:numCache>
            </c:numRef>
          </c:cat>
          <c:val>
            <c:numRef>
              <c:f>Arkusz1!$D$2:$D$9</c:f>
              <c:numCache>
                <c:formatCode>#,##0</c:formatCode>
                <c:ptCount val="8"/>
                <c:pt idx="0">
                  <c:v>42432</c:v>
                </c:pt>
                <c:pt idx="1">
                  <c:v>43129</c:v>
                </c:pt>
                <c:pt idx="2">
                  <c:v>42921</c:v>
                </c:pt>
                <c:pt idx="3">
                  <c:v>47908</c:v>
                </c:pt>
                <c:pt idx="4">
                  <c:v>50330</c:v>
                </c:pt>
                <c:pt idx="5">
                  <c:v>51096</c:v>
                </c:pt>
                <c:pt idx="6">
                  <c:v>35568</c:v>
                </c:pt>
                <c:pt idx="7">
                  <c:v>35138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8C-EF42-882F-276438D93881}"/>
            </c:ext>
          </c:extLst>
        </c:ser>
        <c:ser>
          <c:idx val="3"/>
          <c:order val="3"/>
          <c:tx>
            <c:strRef>
              <c:f>Arkusz1!$E$1</c:f>
              <c:strCache>
                <c:ptCount val="1"/>
                <c:pt idx="0">
                  <c:v>≥ 2 urgent HFH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numRef>
              <c:f>Arkusz1!$A$2:$A$9</c:f>
              <c:numCache>
                <c:formatCode>General</c:formatCode>
                <c:ptCount val="8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  <c:pt idx="6">
                  <c:v>2020</c:v>
                </c:pt>
                <c:pt idx="7">
                  <c:v>2021</c:v>
                </c:pt>
              </c:numCache>
            </c:numRef>
          </c:cat>
          <c:val>
            <c:numRef>
              <c:f>Arkusz1!$E$2:$E$9</c:f>
              <c:numCache>
                <c:formatCode>#,##0</c:formatCode>
                <c:ptCount val="8"/>
                <c:pt idx="0">
                  <c:v>33218</c:v>
                </c:pt>
                <c:pt idx="1">
                  <c:v>34050</c:v>
                </c:pt>
                <c:pt idx="2">
                  <c:v>33262</c:v>
                </c:pt>
                <c:pt idx="3">
                  <c:v>37036</c:v>
                </c:pt>
                <c:pt idx="4">
                  <c:v>38742</c:v>
                </c:pt>
                <c:pt idx="5">
                  <c:v>38744</c:v>
                </c:pt>
                <c:pt idx="6">
                  <c:v>26963</c:v>
                </c:pt>
                <c:pt idx="7">
                  <c:v>24726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8C-EF42-882F-276438D938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907561088"/>
        <c:axId val="1907563920"/>
      </c:barChart>
      <c:catAx>
        <c:axId val="19075610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907563920"/>
        <c:crosses val="autoZero"/>
        <c:auto val="1"/>
        <c:lblAlgn val="ctr"/>
        <c:lblOffset val="100"/>
        <c:noMultiLvlLbl val="0"/>
      </c:catAx>
      <c:valAx>
        <c:axId val="19075639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/>
                  <a:t>Number</a:t>
                </a:r>
                <a:r>
                  <a:rPr lang="pl-PL" baseline="0"/>
                  <a:t> of HF patients</a:t>
                </a:r>
                <a:endParaRPr lang="pl-PL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pl-PL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907561088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algn="just"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l-PL" sz="1200"/>
              <a:t>Expenses for HF-related health services [mln EUR]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'Dane z artykułu'!$H$329</c:f>
              <c:strCache>
                <c:ptCount val="1"/>
                <c:pt idx="0">
                  <c:v>pre-covid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trendline>
            <c:spPr>
              <a:ln w="19050" cap="rnd">
                <a:solidFill>
                  <a:srgbClr val="FF8585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3.0582199862334018E-2"/>
                  <c:y val="-6.8870297462817143E-2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pl-PL"/>
                </a:p>
              </c:txPr>
            </c:trendlineLbl>
          </c:trendline>
          <c:cat>
            <c:numRef>
              <c:f>'Dane z artykułu'!$I$324:$P$324</c:f>
              <c:numCache>
                <c:formatCode>General</c:formatCode>
                <c:ptCount val="8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  <c:pt idx="6">
                  <c:v>2020</c:v>
                </c:pt>
                <c:pt idx="7">
                  <c:v>2021</c:v>
                </c:pt>
              </c:numCache>
            </c:numRef>
          </c:cat>
          <c:val>
            <c:numRef>
              <c:f>'Dane z artykułu'!$I$329:$P$329</c:f>
              <c:numCache>
                <c:formatCode>#,##0</c:formatCode>
                <c:ptCount val="8"/>
                <c:pt idx="0">
                  <c:v>174.67937881758965</c:v>
                </c:pt>
                <c:pt idx="1">
                  <c:v>188.20294362927402</c:v>
                </c:pt>
                <c:pt idx="2">
                  <c:v>208.26289809993915</c:v>
                </c:pt>
                <c:pt idx="3">
                  <c:v>292.78517817296637</c:v>
                </c:pt>
                <c:pt idx="4">
                  <c:v>340.56844050758446</c:v>
                </c:pt>
                <c:pt idx="5">
                  <c:v>373.25038880248832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082-41E2-AB09-188A94E8A069}"/>
            </c:ext>
          </c:extLst>
        </c:ser>
        <c:ser>
          <c:idx val="1"/>
          <c:order val="1"/>
          <c:tx>
            <c:strRef>
              <c:f>'Dane z artykułu'!$H$330</c:f>
              <c:strCache>
                <c:ptCount val="1"/>
                <c:pt idx="0">
                  <c:v>covid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numRef>
              <c:f>'Dane z artykułu'!$I$324:$P$324</c:f>
              <c:numCache>
                <c:formatCode>General</c:formatCode>
                <c:ptCount val="8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  <c:pt idx="6">
                  <c:v>2020</c:v>
                </c:pt>
                <c:pt idx="7">
                  <c:v>2021</c:v>
                </c:pt>
              </c:numCache>
            </c:numRef>
          </c:cat>
          <c:val>
            <c:numRef>
              <c:f>'Dane z artykułu'!$I$330:$P$330</c:f>
              <c:numCache>
                <c:formatCode>General</c:formatCode>
                <c:ptCount val="8"/>
                <c:pt idx="6" formatCode="#,##0">
                  <c:v>313.74670363107714</c:v>
                </c:pt>
                <c:pt idx="7" formatCode="#,##0">
                  <c:v>321.41005702436496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082-41E2-AB09-188A94E8A0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9"/>
        <c:overlap val="40"/>
        <c:axId val="1367688400"/>
        <c:axId val="1367692240"/>
      </c:barChart>
      <c:catAx>
        <c:axId val="13676884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367692240"/>
        <c:crosses val="autoZero"/>
        <c:auto val="1"/>
        <c:lblAlgn val="ctr"/>
        <c:lblOffset val="100"/>
        <c:noMultiLvlLbl val="0"/>
      </c:catAx>
      <c:valAx>
        <c:axId val="1367692240"/>
        <c:scaling>
          <c:orientation val="minMax"/>
          <c:max val="6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1367688400"/>
        <c:crosses val="autoZero"/>
        <c:crossBetween val="between"/>
        <c:majorUnit val="200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1817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Siniarski</dc:creator>
  <cp:keywords/>
  <dc:description/>
  <cp:lastModifiedBy>Grzegorz Niesyczyński</cp:lastModifiedBy>
  <cp:revision>2</cp:revision>
  <dcterms:created xsi:type="dcterms:W3CDTF">2024-07-29T12:48:00Z</dcterms:created>
  <dcterms:modified xsi:type="dcterms:W3CDTF">2024-07-29T12:48:00Z</dcterms:modified>
</cp:coreProperties>
</file>