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470F" w:rsidRPr="0057721E" w:rsidRDefault="001C470F" w:rsidP="001C470F">
      <w:pPr>
        <w:rPr>
          <w:rFonts w:ascii="Times New Roman" w:hAnsi="Times New Roman" w:cs="Times New Roman"/>
          <w:color w:val="0000FF"/>
          <w:sz w:val="32"/>
          <w:szCs w:val="32"/>
        </w:rPr>
      </w:pPr>
      <w:r w:rsidRPr="0057721E">
        <w:rPr>
          <w:rFonts w:ascii="Times New Roman" w:hAnsi="Times New Roman" w:cs="Times New Roman"/>
          <w:color w:val="0000FF"/>
          <w:sz w:val="32"/>
          <w:szCs w:val="32"/>
        </w:rPr>
        <w:t>Appendix</w:t>
      </w:r>
      <w:r w:rsidR="00626BD7">
        <w:rPr>
          <w:rFonts w:ascii="Times New Roman" w:hAnsi="Times New Roman" w:cs="Times New Roman"/>
          <w:color w:val="0000FF"/>
          <w:sz w:val="32"/>
          <w:szCs w:val="32"/>
        </w:rPr>
        <w:t xml:space="preserve"> 1</w:t>
      </w:r>
      <w:r w:rsidRPr="0057721E">
        <w:rPr>
          <w:rFonts w:ascii="Times New Roman" w:hAnsi="Times New Roman" w:cs="Times New Roman"/>
          <w:color w:val="0000FF"/>
          <w:sz w:val="32"/>
          <w:szCs w:val="32"/>
        </w:rPr>
        <w:t>:</w:t>
      </w:r>
    </w:p>
    <w:p w:rsidR="001C470F" w:rsidRPr="0057721E" w:rsidRDefault="001C470F" w:rsidP="001C470F">
      <w:pPr>
        <w:jc w:val="both"/>
        <w:rPr>
          <w:rFonts w:ascii="Times New Roman" w:hAnsi="Times New Roman" w:cs="Times New Roman"/>
          <w:color w:val="000000" w:themeColor="text1"/>
        </w:rPr>
      </w:pPr>
      <w:r w:rsidRPr="0057721E">
        <w:rPr>
          <w:rFonts w:ascii="Times New Roman" w:hAnsi="Times New Roman" w:cs="Times New Roman"/>
          <w:b/>
          <w:color w:val="000000" w:themeColor="text1"/>
        </w:rPr>
        <w:t>Propensity score estimation through the ZIP model</w:t>
      </w:r>
    </w:p>
    <w:p w:rsidR="001C470F" w:rsidRPr="0057721E" w:rsidRDefault="001C470F" w:rsidP="001C470F">
      <w:pPr>
        <w:jc w:val="both"/>
        <w:rPr>
          <w:rFonts w:ascii="Times New Roman" w:hAnsi="Times New Roman" w:cs="Times New Roman"/>
          <w:color w:val="000000" w:themeColor="text1"/>
        </w:rPr>
      </w:pPr>
      <w:r w:rsidRPr="0057721E">
        <w:rPr>
          <w:rFonts w:ascii="Times New Roman" w:hAnsi="Times New Roman" w:cs="Times New Roman"/>
          <w:color w:val="000000" w:themeColor="text1"/>
        </w:rPr>
        <w:t xml:space="preserve">There are a set of partition </w:t>
      </w:r>
      <w:r w:rsidRPr="0057721E">
        <w:rPr>
          <w:rFonts w:ascii="Times New Roman" w:eastAsia="MS PGothic" w:hAnsi="Times New Roman" w:cs="Times New Roman"/>
          <w:color w:val="000000" w:themeColor="text1"/>
        </w:rPr>
        <w:t>{g</w:t>
      </w:r>
      <w:r w:rsidRPr="0057721E">
        <w:rPr>
          <w:rFonts w:ascii="Times New Roman" w:eastAsia="MS PGothic" w:hAnsi="Times New Roman" w:cs="Times New Roman"/>
          <w:color w:val="000000" w:themeColor="text1"/>
          <w:vertAlign w:val="subscript"/>
        </w:rPr>
        <w:t>1</w:t>
      </w:r>
      <w:r w:rsidRPr="0057721E">
        <w:rPr>
          <w:rFonts w:ascii="Times New Roman" w:eastAsia="MS PGothic" w:hAnsi="Times New Roman" w:cs="Times New Roman"/>
          <w:color w:val="000000" w:themeColor="text1"/>
        </w:rPr>
        <w:t>,g</w:t>
      </w:r>
      <w:r w:rsidRPr="0057721E">
        <w:rPr>
          <w:rFonts w:ascii="Times New Roman" w:eastAsia="MS PGothic" w:hAnsi="Times New Roman" w:cs="Times New Roman"/>
          <w:color w:val="000000" w:themeColor="text1"/>
          <w:vertAlign w:val="subscript"/>
        </w:rPr>
        <w:t>2</w:t>
      </w:r>
      <w:r w:rsidRPr="0057721E">
        <w:rPr>
          <w:rFonts w:ascii="Times New Roman" w:eastAsia="MS PGothic" w:hAnsi="Times New Roman" w:cs="Times New Roman"/>
          <w:color w:val="000000" w:themeColor="text1"/>
        </w:rPr>
        <w:t>,…,g</w:t>
      </w:r>
      <w:r w:rsidRPr="0057721E">
        <w:rPr>
          <w:rFonts w:ascii="Times New Roman" w:eastAsia="MS PGothic" w:hAnsi="Times New Roman" w:cs="Times New Roman"/>
          <w:color w:val="000000" w:themeColor="text1"/>
          <w:vertAlign w:val="subscript"/>
        </w:rPr>
        <w:t>Q</w:t>
      </w:r>
      <w:r w:rsidRPr="0057721E">
        <w:rPr>
          <w:rFonts w:ascii="Times New Roman" w:eastAsia="MS PGothic" w:hAnsi="Times New Roman" w:cs="Times New Roman"/>
          <w:color w:val="000000" w:themeColor="text1"/>
        </w:rPr>
        <w:t>}</w:t>
      </w:r>
      <w:r w:rsidRPr="0057721E">
        <w:rPr>
          <w:rFonts w:ascii="Times New Roman" w:hAnsi="Times New Roman" w:cs="Times New Roman"/>
          <w:color w:val="000000" w:themeColor="text1"/>
        </w:rPr>
        <w:t xml:space="preserve"> on the study “area”</w:t>
      </w:r>
      <w:r w:rsidRPr="0057721E">
        <w:rPr>
          <w:rFonts w:ascii="Times New Roman" w:hAnsi="Times New Roman" w:cs="Times New Roman" w:hint="eastAsia"/>
          <w:color w:val="000000" w:themeColor="text1"/>
        </w:rPr>
        <w:t xml:space="preserve"> (Ta</w:t>
      </w:r>
      <w:r w:rsidRPr="0057721E">
        <w:rPr>
          <w:rFonts w:ascii="Times New Roman" w:hAnsi="Times New Roman" w:cs="Times New Roman"/>
          <w:color w:val="000000" w:themeColor="text1"/>
        </w:rPr>
        <w:t>iwan)</w:t>
      </w:r>
      <w:r w:rsidRPr="0057721E">
        <w:rPr>
          <w:rFonts w:ascii="Times New Roman" w:eastAsia="MS PGothic" w:hAnsi="Times New Roman" w:cs="Times New Roman"/>
          <w:color w:val="000000" w:themeColor="text1"/>
        </w:rPr>
        <w:t>.</w:t>
      </w:r>
      <w:r w:rsidRPr="0057721E">
        <w:rPr>
          <w:rFonts w:ascii="Times New Roman" w:hAnsi="Times New Roman" w:cs="Times New Roman"/>
          <w:color w:val="000000" w:themeColor="text1"/>
        </w:rPr>
        <w:t xml:space="preserve"> The presence-absence status of bird species k in the grid </w:t>
      </w:r>
      <w:r w:rsidRPr="0057721E">
        <w:rPr>
          <w:rFonts w:ascii="Times New Roman" w:eastAsia="MS PGothic" w:hAnsi="Times New Roman" w:cs="Times New Roman"/>
          <w:color w:val="000000" w:themeColor="text1"/>
        </w:rPr>
        <w:t>g</w:t>
      </w:r>
      <w:r w:rsidRPr="0057721E">
        <w:rPr>
          <w:rFonts w:ascii="Times New Roman" w:eastAsia="MS PGothic" w:hAnsi="Times New Roman" w:cs="Times New Roman"/>
          <w:color w:val="000000" w:themeColor="text1"/>
          <w:vertAlign w:val="subscript"/>
        </w:rPr>
        <w:t xml:space="preserve">i </w:t>
      </w:r>
      <w:r w:rsidRPr="0057721E">
        <w:rPr>
          <w:rFonts w:ascii="Times New Roman" w:hAnsi="Times New Roman" w:cs="Times New Roman"/>
          <w:color w:val="000000" w:themeColor="text1"/>
        </w:rPr>
        <w:t>is denoted by W</w:t>
      </w:r>
      <w:r w:rsidRPr="0057721E">
        <w:rPr>
          <w:rFonts w:ascii="Times New Roman" w:hAnsi="Times New Roman" w:cs="Times New Roman"/>
          <w:color w:val="000000" w:themeColor="text1"/>
          <w:vertAlign w:val="subscript"/>
        </w:rPr>
        <w:t>i,k</w:t>
      </w:r>
      <w:r w:rsidRPr="0057721E">
        <w:rPr>
          <w:rFonts w:ascii="Times New Roman" w:hAnsi="Times New Roman" w:cs="Times New Roman"/>
          <w:color w:val="000000" w:themeColor="text1"/>
        </w:rPr>
        <w:t>. For W</w:t>
      </w:r>
      <w:r w:rsidRPr="0057721E">
        <w:rPr>
          <w:rFonts w:ascii="Times New Roman" w:hAnsi="Times New Roman" w:cs="Times New Roman"/>
          <w:color w:val="000000" w:themeColor="text1"/>
          <w:vertAlign w:val="subscript"/>
        </w:rPr>
        <w:t>i,k</w:t>
      </w:r>
      <w:r w:rsidRPr="0057721E">
        <w:rPr>
          <w:rFonts w:ascii="Times New Roman" w:hAnsi="Times New Roman" w:cs="Times New Roman"/>
          <w:color w:val="000000" w:themeColor="text1"/>
        </w:rPr>
        <w:t xml:space="preserve">=0, we assume that it can be attributed to a </w:t>
      </w:r>
      <w:r w:rsidRPr="002B5F60">
        <w:rPr>
          <w:rFonts w:ascii="Times New Roman" w:hAnsi="Times New Roman" w:cs="Times New Roman"/>
          <w:i/>
          <w:color w:val="000000" w:themeColor="text1"/>
        </w:rPr>
        <w:t>structural zero</w:t>
      </w:r>
      <w:r w:rsidRPr="0057721E">
        <w:rPr>
          <w:rFonts w:ascii="Times New Roman" w:hAnsi="Times New Roman" w:cs="Times New Roman"/>
          <w:color w:val="000000" w:themeColor="text1"/>
        </w:rPr>
        <w:t xml:space="preserve"> stated in the autoregressive logistic model (</w:t>
      </w:r>
      <w:r w:rsidR="009E7BA7">
        <w:rPr>
          <w:rFonts w:ascii="Times New Roman" w:hAnsi="Times New Roman" w:cs="Times New Roman" w:hint="eastAsia"/>
          <w:color w:val="000000" w:themeColor="text1"/>
        </w:rPr>
        <w:t>A</w:t>
      </w:r>
      <w:r w:rsidRPr="0057721E">
        <w:rPr>
          <w:rFonts w:ascii="Times New Roman" w:hAnsi="Times New Roman" w:cs="Times New Roman"/>
          <w:color w:val="000000" w:themeColor="text1"/>
        </w:rPr>
        <w:t xml:space="preserve">1), or to a </w:t>
      </w:r>
      <w:r w:rsidRPr="002B5F60">
        <w:rPr>
          <w:rFonts w:ascii="Times New Roman" w:hAnsi="Times New Roman" w:cs="Times New Roman"/>
          <w:i/>
          <w:color w:val="000000" w:themeColor="text1"/>
        </w:rPr>
        <w:t>random zero</w:t>
      </w:r>
      <w:r w:rsidRPr="0057721E">
        <w:rPr>
          <w:rFonts w:ascii="Times New Roman" w:hAnsi="Times New Roman" w:cs="Times New Roman"/>
          <w:color w:val="000000" w:themeColor="text1"/>
        </w:rPr>
        <w:t xml:space="preserve"> </w:t>
      </w:r>
      <w:r w:rsidR="009E7BA7">
        <w:rPr>
          <w:rFonts w:ascii="Times New Roman" w:hAnsi="Times New Roman" w:cs="Times New Roman" w:hint="eastAsia"/>
          <w:color w:val="000000" w:themeColor="text1"/>
        </w:rPr>
        <w:t>(c</w:t>
      </w:r>
      <w:r w:rsidR="009E7BA7">
        <w:rPr>
          <w:rFonts w:ascii="Times New Roman" w:hAnsi="Times New Roman" w:cs="Times New Roman"/>
          <w:color w:val="000000" w:themeColor="text1"/>
        </w:rPr>
        <w:t>ontained in (A2)</w:t>
      </w:r>
      <w:r w:rsidR="009E7BA7">
        <w:rPr>
          <w:rFonts w:ascii="Times New Roman" w:hAnsi="Times New Roman" w:cs="Times New Roman" w:hint="eastAsia"/>
          <w:color w:val="000000" w:themeColor="text1"/>
        </w:rPr>
        <w:t xml:space="preserve">) </w:t>
      </w:r>
      <w:r w:rsidRPr="0057721E">
        <w:rPr>
          <w:rFonts w:ascii="Times New Roman" w:hAnsi="Times New Roman" w:cs="Times New Roman"/>
          <w:color w:val="000000" w:themeColor="text1"/>
        </w:rPr>
        <w:t>which is a realization of a Poisson variate U</w:t>
      </w:r>
      <w:r w:rsidRPr="0057721E">
        <w:rPr>
          <w:rFonts w:ascii="Times New Roman" w:hAnsi="Times New Roman" w:cs="Times New Roman"/>
          <w:color w:val="000000" w:themeColor="text1"/>
          <w:vertAlign w:val="subscript"/>
        </w:rPr>
        <w:t>i,k</w:t>
      </w:r>
      <w:r w:rsidRPr="0057721E">
        <w:rPr>
          <w:rFonts w:ascii="Times New Roman" w:hAnsi="Times New Roman" w:cs="Times New Roman"/>
          <w:color w:val="000000" w:themeColor="text1"/>
        </w:rPr>
        <w:t xml:space="preserve"> (i=1,…,Q) with mean </w:t>
      </w:r>
      <w:r w:rsidRPr="0057721E">
        <w:rPr>
          <w:rFonts w:ascii="Times New Roman" w:hAnsi="Times New Roman" w:cs="Times New Roman"/>
          <w:i/>
          <w:color w:val="000000" w:themeColor="text1"/>
        </w:rPr>
        <w:t>rate</w:t>
      </w:r>
      <w:r w:rsidRPr="0057721E">
        <w:rPr>
          <w:rFonts w:ascii="Times New Roman" w:hAnsi="Times New Roman" w:cs="Times New Roman"/>
          <w:color w:val="000000" w:themeColor="text1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τ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i,k</m:t>
            </m:r>
          </m:sub>
        </m:sSub>
      </m:oMath>
      <w:r w:rsidRPr="0057721E">
        <w:rPr>
          <w:rFonts w:ascii="Times New Roman" w:hAnsi="Times New Roman" w:cs="Times New Roman"/>
          <w:color w:val="000000" w:themeColor="text1"/>
        </w:rPr>
        <w:t>. By this definition, we mean: the probability that the event {W</w:t>
      </w:r>
      <w:r w:rsidRPr="0057721E">
        <w:rPr>
          <w:rFonts w:ascii="Times New Roman" w:hAnsi="Times New Roman" w:cs="Times New Roman"/>
          <w:color w:val="000000" w:themeColor="text1"/>
          <w:vertAlign w:val="subscript"/>
        </w:rPr>
        <w:t>i,k</w:t>
      </w:r>
      <w:r w:rsidRPr="0057721E">
        <w:rPr>
          <w:rFonts w:ascii="Times New Roman" w:hAnsi="Times New Roman" w:cs="Times New Roman"/>
          <w:color w:val="000000" w:themeColor="text1"/>
        </w:rPr>
        <w:t>=1} equals to {U</w:t>
      </w:r>
      <w:r w:rsidRPr="0057721E">
        <w:rPr>
          <w:rFonts w:ascii="Times New Roman" w:hAnsi="Times New Roman" w:cs="Times New Roman"/>
          <w:color w:val="000000" w:themeColor="text1"/>
          <w:vertAlign w:val="subscript"/>
        </w:rPr>
        <w:t>i,k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vertAlign w:val="subscript"/>
          </w:rPr>
          <m:t>≥</m:t>
        </m:r>
        <m:r>
          <m:rPr>
            <m:sty m:val="p"/>
          </m:rPr>
          <w:rPr>
            <w:rFonts w:ascii="Cambria Math" w:hAnsi="Cambria Math" w:cs="Times New Roman" w:hint="eastAsia"/>
            <w:color w:val="000000" w:themeColor="text1"/>
            <w:vertAlign w:val="subscript"/>
          </w:rPr>
          <m:t>1</m:t>
        </m:r>
      </m:oMath>
      <w:r w:rsidRPr="0057721E">
        <w:rPr>
          <w:rFonts w:ascii="Times New Roman" w:hAnsi="Times New Roman" w:cs="Times New Roman"/>
          <w:color w:val="000000" w:themeColor="text1"/>
        </w:rPr>
        <w:t>}.</w:t>
      </w:r>
    </w:p>
    <w:p w:rsidR="001C470F" w:rsidRPr="0057721E" w:rsidRDefault="001C470F" w:rsidP="001C470F">
      <w:pPr>
        <w:tabs>
          <w:tab w:val="left" w:pos="6046"/>
        </w:tabs>
        <w:rPr>
          <w:rFonts w:ascii="Times New Roman" w:hAnsi="Times New Roman" w:cs="Times New Roman"/>
          <w:color w:val="000000" w:themeColor="text1"/>
        </w:rPr>
      </w:pPr>
      <w:r w:rsidRPr="0057721E">
        <w:rPr>
          <w:rFonts w:ascii="Times New Roman" w:hAnsi="Times New Roman" w:cs="Times New Roman"/>
          <w:color w:val="000000" w:themeColor="text1"/>
        </w:rPr>
        <w:tab/>
      </w:r>
    </w:p>
    <w:p w:rsidR="001C470F" w:rsidRPr="0057721E" w:rsidRDefault="001C470F" w:rsidP="001C470F">
      <w:pPr>
        <w:jc w:val="both"/>
        <w:rPr>
          <w:rFonts w:ascii="Times New Roman" w:hAnsi="Times New Roman" w:cs="Times New Roman"/>
          <w:color w:val="000000" w:themeColor="text1"/>
        </w:rPr>
      </w:pPr>
      <w:r w:rsidRPr="0057721E">
        <w:rPr>
          <w:rFonts w:ascii="Times New Roman" w:hAnsi="Times New Roman" w:cs="Times New Roman"/>
          <w:color w:val="000000" w:themeColor="text1"/>
        </w:rPr>
        <w:t xml:space="preserve">The zero-inflated Poisson (ZIP) model comprises two parts; the </w:t>
      </w:r>
      <w:r w:rsidRPr="0057721E">
        <w:rPr>
          <w:rFonts w:ascii="Times New Roman" w:hAnsi="Times New Roman" w:cs="Times New Roman"/>
          <w:i/>
          <w:color w:val="000000" w:themeColor="text1"/>
        </w:rPr>
        <w:t>conditional autoregressive logistic</w:t>
      </w:r>
      <w:r w:rsidRPr="0057721E">
        <w:rPr>
          <w:rFonts w:ascii="Times New Roman" w:hAnsi="Times New Roman" w:cs="Times New Roman"/>
          <w:color w:val="000000" w:themeColor="text1"/>
        </w:rPr>
        <w:t xml:space="preserve"> model (</w:t>
      </w:r>
      <w:r>
        <w:rPr>
          <w:rFonts w:ascii="Times New Roman" w:hAnsi="Times New Roman" w:cs="Times New Roman"/>
          <w:color w:val="000000" w:themeColor="text1"/>
        </w:rPr>
        <w:t>A</w:t>
      </w:r>
      <w:r w:rsidRPr="0057721E">
        <w:rPr>
          <w:rFonts w:ascii="Times New Roman" w:hAnsi="Times New Roman" w:cs="Times New Roman"/>
          <w:color w:val="000000" w:themeColor="text1"/>
        </w:rPr>
        <w:t xml:space="preserve">1) and the </w:t>
      </w:r>
      <w:r w:rsidRPr="0057721E">
        <w:rPr>
          <w:rFonts w:ascii="Times New Roman" w:hAnsi="Times New Roman" w:cs="Times New Roman"/>
          <w:i/>
          <w:color w:val="000000" w:themeColor="text1"/>
        </w:rPr>
        <w:t>Poisson</w:t>
      </w:r>
      <w:r w:rsidRPr="0057721E">
        <w:rPr>
          <w:rFonts w:ascii="Times New Roman" w:hAnsi="Times New Roman" w:cs="Times New Roman"/>
          <w:color w:val="000000" w:themeColor="text1"/>
        </w:rPr>
        <w:t xml:space="preserve"> model (</w:t>
      </w:r>
      <w:r>
        <w:rPr>
          <w:rFonts w:ascii="Times New Roman" w:hAnsi="Times New Roman" w:cs="Times New Roman"/>
          <w:color w:val="000000" w:themeColor="text1"/>
        </w:rPr>
        <w:t>A</w:t>
      </w:r>
      <w:r w:rsidRPr="0057721E">
        <w:rPr>
          <w:rFonts w:ascii="Times New Roman" w:hAnsi="Times New Roman" w:cs="Times New Roman"/>
          <w:color w:val="000000" w:themeColor="text1"/>
        </w:rPr>
        <w:t>2):</w:t>
      </w:r>
    </w:p>
    <w:p w:rsidR="001C470F" w:rsidRPr="0057721E" w:rsidRDefault="001C470F" w:rsidP="001C470F">
      <w:pPr>
        <w:jc w:val="both"/>
        <w:rPr>
          <w:rFonts w:ascii="Times New Roman" w:hAnsi="Times New Roman" w:cs="Times New Roman"/>
          <w:color w:val="000000" w:themeColor="text1"/>
        </w:rPr>
      </w:pPr>
    </w:p>
    <w:p w:rsidR="001C470F" w:rsidRPr="0057721E" w:rsidRDefault="001C470F" w:rsidP="001C470F">
      <w:pPr>
        <w:jc w:val="center"/>
        <w:rPr>
          <w:rFonts w:ascii="Times New Roman" w:hAnsi="Times New Roman" w:cs="Times New Roman"/>
          <w:color w:val="000000" w:themeColor="text1"/>
        </w:rPr>
      </w:pP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logit</m:t>
        </m:r>
        <m:d>
          <m:dPr>
            <m:ctrlPr>
              <w:rPr>
                <w:rFonts w:ascii="Cambria Math" w:hAnsi="Cambria Math" w:cs="Times New Roman"/>
                <w:color w:val="000000" w:themeColor="text1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color w:val="000000" w:themeColor="text1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</w:rPr>
                  <m:t>α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</w:rPr>
                  <m:t>i,k</m:t>
                </m:r>
              </m:sub>
            </m:sSub>
          </m:e>
        </m:d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=</m:t>
        </m:r>
        <m:sSub>
          <m:sSubPr>
            <m:ctrlPr>
              <w:rPr>
                <w:rFonts w:ascii="Cambria Math" w:hAnsi="Cambria Math" w:cs="Times New Roman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Cambria Math" w:cs="Times New Roman" w:hint="eastAsia"/>
                <w:color w:val="000000" w:themeColor="text1"/>
              </w:rPr>
              <m:t>0</m:t>
            </m:r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,k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+</m:t>
        </m:r>
        <m:sSub>
          <m:sSubPr>
            <m:ctrlPr>
              <w:rPr>
                <w:rFonts w:ascii="Cambria Math" w:hAnsi="Cambria Math" w:cs="Times New Roman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k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'</m:t>
        </m:r>
        <m:sSub>
          <m:sSubPr>
            <m:ctrlPr>
              <w:rPr>
                <w:rFonts w:ascii="Cambria Math" w:hAnsi="Cambria Math" w:cs="Times New Roman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 w:hint="eastAsia"/>
                <w:color w:val="000000" w:themeColor="text1"/>
              </w:rPr>
              <m:t>W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i, -k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+γ'</m:t>
        </m:r>
        <m:sSub>
          <m:sSubPr>
            <m:ctrlPr>
              <w:rPr>
                <w:rFonts w:ascii="Cambria Math" w:hAnsi="Cambria Math" w:cs="Times New Roman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 xml:space="preserve">i 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+φ</m:t>
        </m:r>
        <m:sSub>
          <m:sSubPr>
            <m:ctrlPr>
              <w:rPr>
                <w:rFonts w:ascii="Cambria Math" w:hAnsi="Cambria Math" w:cs="Times New Roman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 w:hint="eastAsia"/>
                <w:color w:val="000000" w:themeColor="text1"/>
              </w:rPr>
              <m:t>W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-i, k</m:t>
            </m:r>
          </m:sub>
        </m:sSub>
      </m:oMath>
      <w:r w:rsidRPr="0057721E">
        <w:rPr>
          <w:rFonts w:ascii="Times New Roman" w:hAnsi="Times New Roman" w:cs="Times New Roman" w:hint="eastAsia"/>
          <w:color w:val="000000" w:themeColor="text1"/>
        </w:rPr>
        <w:t>,</w:t>
      </w:r>
      <w:r w:rsidRPr="0057721E">
        <w:rPr>
          <w:rFonts w:ascii="Times New Roman" w:hAnsi="Times New Roman" w:cs="Times New Roman"/>
          <w:color w:val="000000" w:themeColor="text1"/>
        </w:rPr>
        <w:t xml:space="preserve">  </w:t>
      </w:r>
      <w:r w:rsidR="00022D7F">
        <w:rPr>
          <w:rFonts w:ascii="Times New Roman" w:hAnsi="Times New Roman" w:cs="Times New Roman"/>
          <w:color w:val="000000" w:themeColor="text1"/>
        </w:rPr>
        <w:t xml:space="preserve">   </w:t>
      </w:r>
      <w:r w:rsidRPr="0057721E">
        <w:rPr>
          <w:rFonts w:ascii="Times New Roman" w:hAnsi="Times New Roman" w:cs="Times New Roman"/>
          <w:color w:val="000000" w:themeColor="text1"/>
        </w:rPr>
        <w:t>(</w:t>
      </w:r>
      <w:r>
        <w:rPr>
          <w:rFonts w:ascii="Times New Roman" w:hAnsi="Times New Roman" w:cs="Times New Roman"/>
          <w:color w:val="000000" w:themeColor="text1"/>
        </w:rPr>
        <w:t>A</w:t>
      </w:r>
      <w:r w:rsidRPr="0057721E">
        <w:rPr>
          <w:rFonts w:ascii="Times New Roman" w:hAnsi="Times New Roman" w:cs="Times New Roman"/>
          <w:color w:val="000000" w:themeColor="text1"/>
        </w:rPr>
        <w:t>1)</w:t>
      </w:r>
    </w:p>
    <w:p w:rsidR="001C470F" w:rsidRPr="0057721E" w:rsidRDefault="001C470F" w:rsidP="001C470F">
      <w:pPr>
        <w:jc w:val="center"/>
        <w:rPr>
          <w:rFonts w:ascii="Times New Roman" w:hAnsi="Times New Roman" w:cs="Times New Roman"/>
          <w:color w:val="000000" w:themeColor="text1"/>
        </w:rPr>
      </w:pP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log(</m:t>
        </m:r>
        <m:sSub>
          <m:sSubPr>
            <m:ctrlPr>
              <w:rPr>
                <w:rFonts w:ascii="Cambria Math" w:hAnsi="Cambria Math" w:cs="Times New Roman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τ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i,k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)=</m:t>
        </m:r>
        <m:sSub>
          <m:sSubPr>
            <m:ctrlPr>
              <w:rPr>
                <w:rFonts w:ascii="Cambria Math" w:hAnsi="Cambria Math" w:cs="Times New Roman"/>
                <w:color w:val="000000" w:themeColor="text1"/>
              </w:rPr>
            </m:ctrlPr>
          </m:sSubPr>
          <m:e>
            <m:acc>
              <m:accPr>
                <m:chr m:val="̆"/>
                <m:ctrlPr>
                  <w:rPr>
                    <w:rFonts w:ascii="Cambria Math" w:hAnsi="Cambria Math" w:cs="Times New Roman"/>
                    <w:color w:val="000000" w:themeColor="text1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</w:rPr>
                  <m:t>β</m:t>
                </m:r>
              </m:e>
            </m:acc>
          </m:e>
          <m:sub>
            <m:r>
              <m:rPr>
                <m:sty m:val="p"/>
              </m:rPr>
              <w:rPr>
                <w:rFonts w:ascii="Cambria Math" w:hAnsi="Cambria Math" w:cs="Times New Roman" w:hint="eastAsia"/>
                <w:color w:val="000000" w:themeColor="text1"/>
              </w:rPr>
              <m:t>0</m:t>
            </m:r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,k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+</m:t>
        </m:r>
        <m:sSub>
          <m:sSubPr>
            <m:ctrlPr>
              <w:rPr>
                <w:rFonts w:ascii="Cambria Math" w:hAnsi="Cambria Math" w:cs="Times New Roman"/>
                <w:color w:val="000000" w:themeColor="text1"/>
              </w:rPr>
            </m:ctrlPr>
          </m:sSubPr>
          <m:e>
            <m:acc>
              <m:accPr>
                <m:chr m:val="̆"/>
                <m:ctrlPr>
                  <w:rPr>
                    <w:rFonts w:ascii="Cambria Math" w:hAnsi="Cambria Math" w:cs="Times New Roman"/>
                    <w:color w:val="000000" w:themeColor="text1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</w:rPr>
                  <m:t>β</m:t>
                </m:r>
              </m:e>
            </m:acc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k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'</m:t>
        </m:r>
        <m:sSub>
          <m:sSubPr>
            <m:ctrlPr>
              <w:rPr>
                <w:rFonts w:ascii="Cambria Math" w:hAnsi="Cambria Math" w:cs="Times New Roman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 w:hint="eastAsia"/>
                <w:color w:val="000000" w:themeColor="text1"/>
              </w:rPr>
              <m:t>W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i, -k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+</m:t>
        </m:r>
        <m:acc>
          <m:accPr>
            <m:chr m:val="̆"/>
            <m:ctrlPr>
              <w:rPr>
                <w:rFonts w:ascii="Cambria Math" w:hAnsi="Cambria Math" w:cs="Times New Roman"/>
                <w:color w:val="000000" w:themeColor="text1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γ</m:t>
            </m:r>
          </m:e>
        </m:acc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'</m:t>
        </m:r>
        <m:sSub>
          <m:sSubPr>
            <m:ctrlPr>
              <w:rPr>
                <w:rFonts w:ascii="Cambria Math" w:hAnsi="Cambria Math" w:cs="Times New Roman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 xml:space="preserve">i 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+</m:t>
        </m:r>
        <m:acc>
          <m:accPr>
            <m:chr m:val="̆"/>
            <m:ctrlPr>
              <w:rPr>
                <w:rFonts w:ascii="Cambria Math" w:hAnsi="Cambria Math" w:cs="Times New Roman"/>
                <w:color w:val="000000" w:themeColor="text1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φ</m:t>
            </m:r>
          </m:e>
        </m:acc>
        <m:sSub>
          <m:sSubPr>
            <m:ctrlPr>
              <w:rPr>
                <w:rFonts w:ascii="Cambria Math" w:hAnsi="Cambria Math" w:cs="Times New Roman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 w:hint="eastAsia"/>
                <w:color w:val="000000" w:themeColor="text1"/>
              </w:rPr>
              <m:t>W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-i, k</m:t>
            </m:r>
          </m:sub>
        </m:sSub>
      </m:oMath>
      <w:r w:rsidRPr="0057721E">
        <w:rPr>
          <w:rFonts w:ascii="Times New Roman" w:hAnsi="Times New Roman" w:cs="Times New Roman" w:hint="eastAsia"/>
          <w:color w:val="000000" w:themeColor="text1"/>
        </w:rPr>
        <w:t>,</w:t>
      </w:r>
      <w:r w:rsidRPr="0057721E">
        <w:rPr>
          <w:rFonts w:ascii="Times New Roman" w:hAnsi="Times New Roman" w:cs="Times New Roman"/>
          <w:color w:val="000000" w:themeColor="text1"/>
        </w:rPr>
        <w:t xml:space="preserve">  </w:t>
      </w:r>
      <w:r w:rsidR="00022D7F">
        <w:rPr>
          <w:rFonts w:ascii="Times New Roman" w:hAnsi="Times New Roman" w:cs="Times New Roman"/>
          <w:color w:val="000000" w:themeColor="text1"/>
        </w:rPr>
        <w:t xml:space="preserve">   </w:t>
      </w:r>
      <w:r w:rsidRPr="0057721E">
        <w:rPr>
          <w:rFonts w:ascii="Times New Roman" w:hAnsi="Times New Roman" w:cs="Times New Roman"/>
          <w:color w:val="000000" w:themeColor="text1"/>
        </w:rPr>
        <w:t xml:space="preserve"> (</w:t>
      </w:r>
      <w:r>
        <w:rPr>
          <w:rFonts w:ascii="Times New Roman" w:hAnsi="Times New Roman" w:cs="Times New Roman"/>
          <w:color w:val="000000" w:themeColor="text1"/>
        </w:rPr>
        <w:t>A</w:t>
      </w:r>
      <w:r w:rsidRPr="0057721E">
        <w:rPr>
          <w:rFonts w:ascii="Times New Roman" w:hAnsi="Times New Roman" w:cs="Times New Roman"/>
          <w:color w:val="000000" w:themeColor="text1"/>
        </w:rPr>
        <w:t>2)</w:t>
      </w:r>
    </w:p>
    <w:p w:rsidR="001C470F" w:rsidRPr="0057721E" w:rsidRDefault="001C470F" w:rsidP="001C470F">
      <w:pPr>
        <w:jc w:val="both"/>
        <w:rPr>
          <w:rFonts w:ascii="Times New Roman" w:hAnsi="Times New Roman" w:cs="Times New Roman"/>
          <w:color w:val="000000" w:themeColor="text1"/>
        </w:rPr>
      </w:pPr>
    </w:p>
    <w:p w:rsidR="001C470F" w:rsidRPr="0057721E" w:rsidRDefault="001C470F" w:rsidP="001C470F">
      <w:pPr>
        <w:jc w:val="both"/>
        <w:rPr>
          <w:rFonts w:ascii="Times New Roman" w:hAnsi="Times New Roman" w:cs="Times New Roman"/>
          <w:color w:val="000000" w:themeColor="text1"/>
        </w:rPr>
      </w:pPr>
      <w:r w:rsidRPr="0057721E">
        <w:rPr>
          <w:rFonts w:ascii="Times New Roman" w:hAnsi="Times New Roman" w:cs="Times New Roman" w:hint="eastAsia"/>
          <w:color w:val="000000" w:themeColor="text1"/>
        </w:rPr>
        <w:t>w</w:t>
      </w:r>
      <w:r w:rsidRPr="0057721E">
        <w:rPr>
          <w:rFonts w:ascii="Times New Roman" w:hAnsi="Times New Roman" w:cs="Times New Roman"/>
          <w:color w:val="000000" w:themeColor="text1"/>
        </w:rPr>
        <w:t xml:space="preserve">here </w:t>
      </w:r>
      <m:oMath>
        <m:sSub>
          <m:sSubPr>
            <m:ctrlPr>
              <w:rPr>
                <w:rFonts w:ascii="Cambria Math" w:hAnsi="Cambria Math" w:cs="Times New Roman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i,k</m:t>
            </m:r>
          </m:sub>
        </m:sSub>
      </m:oMath>
      <w:r w:rsidRPr="0057721E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57721E">
        <w:rPr>
          <w:rFonts w:ascii="Times New Roman" w:hAnsi="Times New Roman" w:cs="Times New Roman"/>
          <w:color w:val="000000" w:themeColor="text1"/>
        </w:rPr>
        <w:t>equals to the probability that W</w:t>
      </w:r>
      <w:r w:rsidRPr="0057721E">
        <w:rPr>
          <w:rFonts w:ascii="Times New Roman" w:hAnsi="Times New Roman" w:cs="Times New Roman"/>
          <w:color w:val="000000" w:themeColor="text1"/>
          <w:vertAlign w:val="subscript"/>
        </w:rPr>
        <w:t>i,k</w:t>
      </w:r>
      <w:r w:rsidRPr="0057721E">
        <w:rPr>
          <w:rFonts w:ascii="Times New Roman" w:hAnsi="Times New Roman" w:cs="Times New Roman"/>
          <w:color w:val="000000" w:themeColor="text1"/>
        </w:rPr>
        <w:t xml:space="preserve"> is a Poisson random variable</w:t>
      </w:r>
      <w:r w:rsidRPr="0057721E">
        <w:rPr>
          <w:rFonts w:ascii="Times New Roman" w:hAnsi="Times New Roman" w:cs="Times New Roman" w:hint="eastAsia"/>
          <w:color w:val="000000" w:themeColor="text1"/>
        </w:rPr>
        <w:t>,</w:t>
      </w:r>
      <w:r w:rsidRPr="0057721E">
        <w:rPr>
          <w:rFonts w:ascii="Times New Roman" w:hAnsi="Times New Roman" w:cs="Times New Roman"/>
          <w:color w:val="000000" w:themeColor="text1"/>
        </w:rPr>
        <w:t xml:space="preserve"> and 1-</w:t>
      </w:r>
      <m:oMath>
        <m:sSub>
          <m:sSubPr>
            <m:ctrlPr>
              <w:rPr>
                <w:rFonts w:ascii="Cambria Math" w:hAnsi="Cambria Math" w:cs="Times New Roman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i,k</m:t>
            </m:r>
          </m:sub>
        </m:sSub>
      </m:oMath>
      <w:r w:rsidRPr="0057721E">
        <w:rPr>
          <w:rFonts w:ascii="Times New Roman" w:hAnsi="Times New Roman" w:cs="Times New Roman"/>
          <w:color w:val="000000" w:themeColor="text1"/>
        </w:rPr>
        <w:t xml:space="preserve"> is the probability of structural zero. Furthermore, </w:t>
      </w:r>
      <m:oMath>
        <m:sSub>
          <m:sSubPr>
            <m:ctrlPr>
              <w:rPr>
                <w:rFonts w:ascii="Cambria Math" w:hAnsi="Cambria Math" w:cs="Times New Roman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W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i, -k</m:t>
            </m:r>
          </m:sub>
        </m:sSub>
      </m:oMath>
      <w:r w:rsidRPr="0057721E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57721E">
        <w:rPr>
          <w:rFonts w:ascii="Times New Roman" w:hAnsi="Times New Roman" w:cs="Times New Roman"/>
          <w:color w:val="000000" w:themeColor="text1"/>
        </w:rPr>
        <w:t xml:space="preserve">is the vector denoting the presence of all other species than the k-th species, </w:t>
      </w:r>
      <m:oMath>
        <m:sSub>
          <m:sSubPr>
            <m:ctrlPr>
              <w:rPr>
                <w:rFonts w:ascii="Cambria Math" w:hAnsi="Cambria Math" w:cs="Times New Roman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i,k</m:t>
            </m:r>
          </m:sub>
        </m:sSub>
      </m:oMath>
      <w:r w:rsidRPr="0057721E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57721E">
        <w:rPr>
          <w:rFonts w:ascii="Times New Roman" w:hAnsi="Times New Roman" w:cs="Times New Roman"/>
          <w:color w:val="000000" w:themeColor="text1"/>
        </w:rPr>
        <w:t xml:space="preserve">is the environmental factor vector, and </w:t>
      </w:r>
      <m:oMath>
        <m:sSub>
          <m:sSubPr>
            <m:ctrlPr>
              <w:rPr>
                <w:rFonts w:ascii="Cambria Math" w:hAnsi="Cambria Math" w:cs="Times New Roman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W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-i, k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=1(</m:t>
        </m:r>
        <m:d>
          <m:dPr>
            <m:begChr m:val="{"/>
            <m:endChr m:val="}"/>
            <m:ctrlPr>
              <w:rPr>
                <w:rFonts w:ascii="Cambria Math" w:hAnsi="Cambria Math" w:cs="Times New Roman"/>
                <w:color w:val="000000" w:themeColor="text1"/>
              </w:rPr>
            </m:ctrlPr>
          </m:dPr>
          <m:e>
            <m:nary>
              <m:naryPr>
                <m:chr m:val="∑"/>
                <m:limLoc m:val="subSup"/>
                <m:supHide m:val="1"/>
                <m:ctrlPr>
                  <w:rPr>
                    <w:rFonts w:ascii="Cambria Math" w:hAnsi="Cambria Math" w:cs="Times New Roman"/>
                    <w:color w:val="000000" w:themeColor="text1"/>
                  </w:rPr>
                </m:ctrlPr>
              </m:naryPr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</w:rPr>
                  <m:t>s≠i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color w:val="000000" w:themeColor="text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W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s,k</m:t>
                    </m:r>
                  </m:sub>
                </m:sSub>
              </m:e>
            </m:nary>
          </m:e>
        </m:d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≥1)</m:t>
        </m:r>
      </m:oMath>
      <w:r w:rsidRPr="0057721E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57721E">
        <w:rPr>
          <w:rFonts w:ascii="Times New Roman" w:hAnsi="Times New Roman" w:cs="Times New Roman"/>
          <w:color w:val="000000" w:themeColor="text1"/>
        </w:rPr>
        <w:t xml:space="preserve">with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1(A)</m:t>
        </m:r>
      </m:oMath>
      <w:r w:rsidRPr="0057721E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57721E">
        <w:rPr>
          <w:rFonts w:ascii="Times New Roman" w:hAnsi="Times New Roman" w:cs="Times New Roman"/>
          <w:color w:val="000000" w:themeColor="text1"/>
        </w:rPr>
        <w:t>being t</w:t>
      </w:r>
      <w:r w:rsidR="009E7BA7">
        <w:rPr>
          <w:rFonts w:ascii="Times New Roman" w:hAnsi="Times New Roman" w:cs="Times New Roman"/>
          <w:color w:val="000000" w:themeColor="text1"/>
        </w:rPr>
        <w:t>he indicator of the event A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≡</m:t>
        </m:r>
        <m:d>
          <m:dPr>
            <m:begChr m:val="{"/>
            <m:endChr m:val="}"/>
            <m:ctrlPr>
              <w:rPr>
                <w:rFonts w:ascii="Cambria Math" w:hAnsi="Cambria Math" w:cs="Times New Roman"/>
                <w:color w:val="000000" w:themeColor="text1"/>
              </w:rPr>
            </m:ctrlPr>
          </m:dPr>
          <m:e>
            <m:nary>
              <m:naryPr>
                <m:chr m:val="∑"/>
                <m:limLoc m:val="subSup"/>
                <m:supHide m:val="1"/>
                <m:ctrlPr>
                  <w:rPr>
                    <w:rFonts w:ascii="Cambria Math" w:hAnsi="Cambria Math" w:cs="Times New Roman"/>
                    <w:color w:val="000000" w:themeColor="text1"/>
                  </w:rPr>
                </m:ctrlPr>
              </m:naryPr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</w:rPr>
                  <m:t>s≠i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color w:val="000000" w:themeColor="text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W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</w:rPr>
                      <m:t>s,k</m:t>
                    </m:r>
                  </m:sub>
                </m:sSub>
              </m:e>
            </m:nary>
          </m:e>
        </m:d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≥1</m:t>
        </m:r>
      </m:oMath>
      <w:r w:rsidR="009E7BA7">
        <w:rPr>
          <w:rFonts w:ascii="Times New Roman" w:hAnsi="Times New Roman" w:cs="Times New Roman" w:hint="eastAsia"/>
          <w:color w:val="000000" w:themeColor="text1"/>
        </w:rPr>
        <w:t>,</w:t>
      </w:r>
      <w:r w:rsidRPr="0057721E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57721E">
        <w:rPr>
          <w:rFonts w:ascii="Times New Roman" w:hAnsi="Times New Roman" w:cs="Times New Roman"/>
          <w:color w:val="000000" w:themeColor="text1"/>
        </w:rPr>
        <w:t>denoting the sightimg record of the</w:t>
      </w:r>
      <w:r w:rsidRPr="00261F16">
        <w:rPr>
          <w:rFonts w:ascii="Times New Roman" w:hAnsi="Times New Roman" w:cs="Times New Roman"/>
          <w:i/>
          <w:color w:val="000000" w:themeColor="text1"/>
        </w:rPr>
        <w:t xml:space="preserve"> Queen’s contiguity-based</w:t>
      </w:r>
      <w:r w:rsidRPr="0057721E">
        <w:rPr>
          <w:rFonts w:ascii="Times New Roman" w:hAnsi="Times New Roman" w:cs="Times New Roman"/>
          <w:color w:val="000000" w:themeColor="text1"/>
        </w:rPr>
        <w:t xml:space="preserve"> surrounding neighbors.</w:t>
      </w:r>
    </w:p>
    <w:p w:rsidR="001C470F" w:rsidRPr="0057721E" w:rsidRDefault="001C470F" w:rsidP="001C470F">
      <w:pPr>
        <w:ind w:firstLineChars="100" w:firstLine="240"/>
        <w:jc w:val="both"/>
        <w:rPr>
          <w:rFonts w:ascii="Times New Roman" w:hAnsi="Times New Roman" w:cs="Times New Roman"/>
          <w:color w:val="000000" w:themeColor="text1"/>
        </w:rPr>
      </w:pPr>
      <w:r w:rsidRPr="0057721E">
        <w:rPr>
          <w:rFonts w:ascii="Times New Roman" w:hAnsi="Times New Roman" w:cs="Times New Roman"/>
          <w:color w:val="000000" w:themeColor="text1"/>
        </w:rPr>
        <w:t xml:space="preserve"> These conditions imply that the probability of </w:t>
      </w:r>
      <w:r w:rsidRPr="0057721E">
        <w:rPr>
          <w:rFonts w:ascii="Times New Roman" w:hAnsi="Times New Roman" w:cs="Times New Roman"/>
          <w:i/>
          <w:color w:val="000000" w:themeColor="text1"/>
        </w:rPr>
        <w:t>random zero</w:t>
      </w:r>
      <w:r w:rsidRPr="0057721E">
        <w:rPr>
          <w:rFonts w:ascii="Times New Roman" w:hAnsi="Times New Roman" w:cs="Times New Roman"/>
          <w:color w:val="000000" w:themeColor="text1"/>
        </w:rPr>
        <w:t xml:space="preserve"> is exp(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-</m:t>
        </m:r>
        <m:sSub>
          <m:sSubPr>
            <m:ctrlPr>
              <w:rPr>
                <w:rFonts w:ascii="Cambria Math" w:hAnsi="Cambria Math" w:cs="Times New Roman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τ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i,k</m:t>
            </m:r>
          </m:sub>
        </m:sSub>
      </m:oMath>
      <w:r w:rsidRPr="0057721E">
        <w:rPr>
          <w:rFonts w:ascii="Times New Roman" w:hAnsi="Times New Roman" w:cs="Times New Roman"/>
          <w:color w:val="000000" w:themeColor="text1"/>
        </w:rPr>
        <w:t>). Borrowing the terminology in Rosenbaum and Rubin (1983) [</w:t>
      </w:r>
      <w:r w:rsidRPr="00261F16">
        <w:rPr>
          <w:rFonts w:ascii="Times New Roman" w:hAnsi="Times New Roman" w:cs="Times New Roman"/>
          <w:color w:val="0000FF"/>
        </w:rPr>
        <w:t>1</w:t>
      </w:r>
      <w:r w:rsidRPr="0057721E">
        <w:rPr>
          <w:rFonts w:ascii="Times New Roman" w:hAnsi="Times New Roman" w:cs="Times New Roman"/>
          <w:color w:val="000000" w:themeColor="text1"/>
        </w:rPr>
        <w:t xml:space="preserve">], we define the </w:t>
      </w:r>
      <w:r w:rsidRPr="0057721E">
        <w:rPr>
          <w:rFonts w:ascii="Times New Roman" w:hAnsi="Times New Roman" w:cs="Times New Roman"/>
          <w:i/>
          <w:color w:val="000000" w:themeColor="text1"/>
        </w:rPr>
        <w:t>propensity score</w:t>
      </w:r>
      <w:r w:rsidRPr="0057721E">
        <w:rPr>
          <w:rFonts w:ascii="Times New Roman" w:hAnsi="Times New Roman" w:cs="Times New Roman"/>
          <w:color w:val="000000" w:themeColor="text1"/>
        </w:rPr>
        <w:t xml:space="preserve"> (W, used for a later</w:t>
      </w:r>
      <w:r w:rsidRPr="0057721E">
        <w:rPr>
          <w:rFonts w:ascii="Times New Roman" w:hAnsi="Times New Roman" w:cs="Times New Roman"/>
          <w:i/>
          <w:color w:val="000000" w:themeColor="text1"/>
        </w:rPr>
        <w:t xml:space="preserve"> matching</w:t>
      </w:r>
      <w:r w:rsidRPr="0057721E">
        <w:rPr>
          <w:rFonts w:ascii="Times New Roman" w:hAnsi="Times New Roman" w:cs="Times New Roman"/>
          <w:color w:val="000000" w:themeColor="text1"/>
        </w:rPr>
        <w:t xml:space="preserve">) used for matching as </w:t>
      </w:r>
    </w:p>
    <w:p w:rsidR="001C470F" w:rsidRPr="0057721E" w:rsidRDefault="00AA722D" w:rsidP="001C470F">
      <w:pPr>
        <w:ind w:firstLineChars="100" w:firstLine="240"/>
        <w:jc w:val="center"/>
        <w:rPr>
          <w:rFonts w:ascii="Times New Roman" w:hAnsi="Times New Roman" w:cs="Times New Roman"/>
          <w:color w:val="000000" w:themeColor="text1"/>
        </w:rPr>
      </w:pPr>
      <m:oMath>
        <m:sSub>
          <m:sSubPr>
            <m:ctrlPr>
              <w:rPr>
                <w:rFonts w:ascii="Cambria Math" w:hAnsi="Cambria Math" w:cs="Times New Roman"/>
                <w:color w:val="000000" w:themeColor="text1"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 w:cs="Times New Roman"/>
                    <w:color w:val="000000" w:themeColor="text1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</w:rPr>
                  <m:t>W</m:t>
                </m:r>
              </m:e>
            </m:acc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i,k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=</m:t>
        </m:r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1-</m:t>
        </m:r>
        <m:sSub>
          <m:sSubPr>
            <m:ctrlPr>
              <w:rPr>
                <w:rFonts w:ascii="Cambria Math" w:hAnsi="Cambria Math" w:cs="Times New Roman"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α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i,k</m:t>
            </m:r>
          </m:sub>
        </m:sSub>
        <m:r>
          <w:rPr>
            <w:rFonts w:ascii="Cambria Math" w:hAnsi="Cambria Math" w:cs="Times New Roman"/>
            <w:color w:val="000000" w:themeColor="text1"/>
          </w:rPr>
          <m:t>+</m:t>
        </m:r>
        <m:sSub>
          <m:sSubPr>
            <m:ctrlPr>
              <w:rPr>
                <w:rFonts w:ascii="Cambria Math" w:hAnsi="Cambria Math" w:cs="Times New Roman"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α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i,k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exp(-</m:t>
        </m:r>
        <m:sSub>
          <m:sSubPr>
            <m:ctrlPr>
              <w:rPr>
                <w:rFonts w:ascii="Cambria Math" w:hAnsi="Cambria Math" w:cs="Times New Roman"/>
                <w:color w:val="000000" w:themeColor="text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</w:rPr>
              <m:t>τ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i,k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</w:rPr>
          <m:t>)</m:t>
        </m:r>
      </m:oMath>
      <w:r w:rsidR="001C470F" w:rsidRPr="0057721E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022D7F">
        <w:rPr>
          <w:rFonts w:ascii="Times New Roman" w:hAnsi="Times New Roman" w:cs="Times New Roman"/>
          <w:color w:val="000000" w:themeColor="text1"/>
        </w:rPr>
        <w:t xml:space="preserve">        </w:t>
      </w:r>
      <w:r w:rsidR="001C470F" w:rsidRPr="0057721E">
        <w:rPr>
          <w:rFonts w:ascii="Times New Roman" w:hAnsi="Times New Roman" w:cs="Times New Roman"/>
          <w:color w:val="000000" w:themeColor="text1"/>
        </w:rPr>
        <w:t>(</w:t>
      </w:r>
      <w:r w:rsidR="001C470F">
        <w:rPr>
          <w:rFonts w:ascii="Times New Roman" w:hAnsi="Times New Roman" w:cs="Times New Roman"/>
          <w:color w:val="000000" w:themeColor="text1"/>
        </w:rPr>
        <w:t>A</w:t>
      </w:r>
      <w:r w:rsidR="001C470F" w:rsidRPr="0057721E">
        <w:rPr>
          <w:rFonts w:ascii="Times New Roman" w:hAnsi="Times New Roman" w:cs="Times New Roman"/>
          <w:color w:val="000000" w:themeColor="text1"/>
        </w:rPr>
        <w:t>3)</w:t>
      </w:r>
    </w:p>
    <w:p w:rsidR="001C470F" w:rsidRDefault="001C470F" w:rsidP="001C470F">
      <w:pPr>
        <w:rPr>
          <w:rFonts w:ascii="Times New Roman" w:hAnsi="Times New Roman" w:cs="Times New Roman"/>
          <w:color w:val="000000" w:themeColor="text1"/>
        </w:rPr>
      </w:pPr>
      <w:r w:rsidRPr="0057721E">
        <w:rPr>
          <w:rFonts w:ascii="Times New Roman" w:hAnsi="Times New Roman" w:cs="Times New Roman"/>
          <w:color w:val="000000" w:themeColor="text1"/>
        </w:rPr>
        <w:t xml:space="preserve">In order to estimate the “association” between the AIV outbreaks and the presence of each bird species, we introduced in a previous study the method of propensity score matching and employed a bootstrap resampling to produce repeated realizations of McNemar </w:t>
      </w:r>
      <m:oMath>
        <m:sSubSup>
          <m:sSubSupPr>
            <m:ctrlPr>
              <w:rPr>
                <w:rFonts w:ascii="Cambria Math" w:hAnsi="Cambria Math" w:cs="Times New Roman"/>
                <w:color w:val="000000" w:themeColor="text1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</w:rPr>
              <m:t>χ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1</m:t>
            </m:r>
          </m:sub>
          <m:sup>
            <m:r>
              <w:rPr>
                <w:rFonts w:ascii="Cambria Math" w:hAnsi="Cambria Math" w:cs="Times New Roman"/>
                <w:color w:val="000000" w:themeColor="text1"/>
              </w:rPr>
              <m:t>2</m:t>
            </m:r>
          </m:sup>
        </m:sSubSup>
      </m:oMath>
      <w:r w:rsidRPr="0057721E">
        <w:rPr>
          <w:rFonts w:ascii="Times New Roman" w:hAnsi="Times New Roman" w:cs="Times New Roman"/>
          <w:color w:val="000000" w:themeColor="text1"/>
        </w:rPr>
        <w:t xml:space="preserve"> values</w:t>
      </w:r>
      <w:r w:rsidR="002F3B0B">
        <w:rPr>
          <w:rFonts w:ascii="Times New Roman" w:hAnsi="Times New Roman" w:cs="Times New Roman"/>
          <w:color w:val="000000" w:themeColor="text1"/>
        </w:rPr>
        <w:t xml:space="preserve"> [</w:t>
      </w:r>
      <w:r w:rsidR="002F3B0B" w:rsidRPr="002F3B0B">
        <w:rPr>
          <w:rFonts w:ascii="Times New Roman" w:hAnsi="Times New Roman" w:cs="Times New Roman"/>
          <w:color w:val="0000FF"/>
        </w:rPr>
        <w:t>2</w:t>
      </w:r>
      <w:r w:rsidR="002F3B0B">
        <w:rPr>
          <w:rFonts w:ascii="Times New Roman" w:hAnsi="Times New Roman" w:cs="Times New Roman"/>
          <w:color w:val="000000" w:themeColor="text1"/>
        </w:rPr>
        <w:t>]</w:t>
      </w:r>
      <w:r w:rsidRPr="0057721E">
        <w:rPr>
          <w:rFonts w:ascii="Times New Roman" w:hAnsi="Times New Roman" w:cs="Times New Roman"/>
          <w:color w:val="000000" w:themeColor="text1"/>
        </w:rPr>
        <w:t xml:space="preserve">. For the purpose of comparison, we use </w:t>
      </w:r>
      <w:r w:rsidRPr="0057721E">
        <w:rPr>
          <w:rFonts w:ascii="Times New Roman" w:hAnsi="Times New Roman" w:cs="Times New Roman"/>
          <w:i/>
          <w:color w:val="000000" w:themeColor="text1"/>
        </w:rPr>
        <w:t>conditional likelihood</w:t>
      </w:r>
      <w:r w:rsidRPr="0057721E">
        <w:rPr>
          <w:rFonts w:ascii="Times New Roman" w:hAnsi="Times New Roman" w:cs="Times New Roman"/>
          <w:color w:val="000000" w:themeColor="text1"/>
        </w:rPr>
        <w:t xml:space="preserve"> based on the set-up of ordinary matching or </w:t>
      </w:r>
      <w:r w:rsidRPr="0057721E">
        <w:rPr>
          <w:rFonts w:ascii="Times New Roman" w:hAnsi="Times New Roman" w:cs="Times New Roman"/>
          <w:i/>
          <w:color w:val="000000" w:themeColor="text1"/>
        </w:rPr>
        <w:t>counter-matching</w:t>
      </w:r>
      <w:r w:rsidRPr="0057721E">
        <w:rPr>
          <w:rFonts w:ascii="Times New Roman" w:hAnsi="Times New Roman" w:cs="Times New Roman"/>
          <w:color w:val="000000" w:themeColor="text1"/>
        </w:rPr>
        <w:t xml:space="preserve"> to produce effect estimates of individual bird species.</w:t>
      </w:r>
      <w:r w:rsidRPr="0057721E">
        <w:rPr>
          <w:rFonts w:ascii="Times New Roman" w:hAnsi="Times New Roman" w:cs="Times New Roman" w:hint="eastAsia"/>
          <w:color w:val="000000" w:themeColor="text1"/>
        </w:rPr>
        <w:t>[</w:t>
      </w:r>
      <w:r w:rsidR="002F3B0B" w:rsidRPr="002F3B0B">
        <w:rPr>
          <w:rFonts w:ascii="Times New Roman" w:hAnsi="Times New Roman" w:cs="Times New Roman"/>
          <w:color w:val="0000FF"/>
        </w:rPr>
        <w:t>3</w:t>
      </w:r>
      <w:r w:rsidRPr="002F3B0B">
        <w:rPr>
          <w:rFonts w:ascii="Times New Roman" w:hAnsi="Times New Roman" w:cs="Times New Roman"/>
          <w:color w:val="0000FF"/>
        </w:rPr>
        <w:t>~</w:t>
      </w:r>
      <w:r w:rsidR="002F3B0B" w:rsidRPr="002F3B0B">
        <w:rPr>
          <w:rFonts w:ascii="Times New Roman" w:hAnsi="Times New Roman" w:cs="Times New Roman"/>
          <w:color w:val="0000FF"/>
        </w:rPr>
        <w:t>5</w:t>
      </w:r>
      <w:r w:rsidRPr="0057721E">
        <w:rPr>
          <w:rFonts w:ascii="Times New Roman" w:hAnsi="Times New Roman" w:cs="Times New Roman"/>
          <w:color w:val="000000" w:themeColor="text1"/>
        </w:rPr>
        <w:t>]</w:t>
      </w:r>
    </w:p>
    <w:p w:rsidR="00626BD7" w:rsidRDefault="00626BD7" w:rsidP="001C470F">
      <w:pPr>
        <w:rPr>
          <w:rFonts w:ascii="Times New Roman" w:hAnsi="Times New Roman" w:cs="Times New Roman"/>
          <w:color w:val="000000" w:themeColor="text1"/>
        </w:rPr>
      </w:pPr>
    </w:p>
    <w:p w:rsidR="00626BD7" w:rsidRPr="001221E3" w:rsidRDefault="00626BD7" w:rsidP="00626BD7">
      <w:pPr>
        <w:jc w:val="both"/>
        <w:rPr>
          <w:rFonts w:ascii="Times New Roman" w:hAnsi="Times New Roman" w:cs="Times New Roman"/>
          <w:b/>
        </w:rPr>
      </w:pPr>
      <w:r w:rsidRPr="001221E3">
        <w:rPr>
          <w:rFonts w:ascii="Times New Roman" w:hAnsi="Times New Roman" w:cs="Times New Roman"/>
          <w:b/>
        </w:rPr>
        <w:t>A global risk score for predicting outbreaks: an algorithm</w:t>
      </w:r>
    </w:p>
    <w:p w:rsidR="00626BD7" w:rsidRPr="001221E3" w:rsidRDefault="00562EDB" w:rsidP="00626BD7">
      <w:pPr>
        <w:jc w:val="both"/>
        <w:rPr>
          <w:rFonts w:ascii="Times New Roman" w:hAnsi="Times New Roman" w:cs="Times New Roman"/>
        </w:rPr>
      </w:pPr>
      <w:r w:rsidRPr="001221E3">
        <w:rPr>
          <w:rFonts w:ascii="Times New Roman" w:hAnsi="Times New Roman" w:cs="Times New Roman" w:hint="eastAsia"/>
        </w:rPr>
        <w:t>(i</w:t>
      </w:r>
      <w:r w:rsidRPr="001221E3">
        <w:rPr>
          <w:rFonts w:ascii="Times New Roman" w:hAnsi="Times New Roman" w:cs="Times New Roman"/>
        </w:rPr>
        <w:t>)</w:t>
      </w:r>
      <w:r w:rsidR="00626BD7" w:rsidRPr="001221E3">
        <w:rPr>
          <w:rFonts w:ascii="Times New Roman" w:hAnsi="Times New Roman" w:cs="Times New Roman"/>
        </w:rPr>
        <w:t xml:space="preserve"> Using 68 bird species, along with their respective p-values derived from conditional likelihood inference via models (A1) to (A3), we extracted a subset denoted as </w:t>
      </w:r>
      <m:oMath>
        <m:d>
          <m:dPr>
            <m:begChr m:val="{"/>
            <m:endChr m:val="}"/>
            <m:ctrlPr>
              <w:rPr>
                <w:rFonts w:ascii="Cambria Math" w:hAnsi="Cambria Math" w:cs="Times New Roman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</w:rPr>
              <m:t>,…,</m:t>
            </m:r>
            <m:sSub>
              <m:sSubPr>
                <m:ctrlPr>
                  <w:rPr>
                    <w:rFonts w:ascii="Cambria Math" w:hAnsi="Cambria Math" w:cs="Times New Roman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68</m:t>
                </m:r>
              </m:sub>
            </m:sSub>
          </m:e>
        </m:d>
        <m:r>
          <m:rPr>
            <m:sty m:val="p"/>
          </m:rPr>
          <w:rPr>
            <w:rFonts w:ascii="Cambria Math" w:hAnsi="Cambria Math" w:cs="Times New Roman"/>
          </w:rPr>
          <m:t>≡</m:t>
        </m:r>
        <m:d>
          <m:dPr>
            <m:begChr m:val="{"/>
            <m:endChr m:val="}"/>
            <m:ctrlPr>
              <w:rPr>
                <w:rFonts w:ascii="Cambria Math" w:hAnsi="Cambria Math" w:cs="Times New Roman"/>
              </w:rPr>
            </m:ctrlPr>
          </m:dPr>
          <m:e>
            <m:r>
              <m:rPr>
                <m:sty m:val="b"/>
              </m:rPr>
              <w:rPr>
                <w:rFonts w:ascii="Cambria Math" w:hAnsi="Cambria Math" w:cs="Times New Roman"/>
              </w:rPr>
              <m:t>X</m:t>
            </m:r>
          </m:e>
        </m:d>
      </m:oMath>
      <w:r w:rsidR="00626BD7" w:rsidRPr="001221E3">
        <w:rPr>
          <w:rFonts w:ascii="Times New Roman" w:hAnsi="Times New Roman" w:cs="Times New Roman"/>
        </w:rPr>
        <w:t xml:space="preserve">, following the determination of individual bird species' p-values. This subset was obtained using various potential thresholds for p-values ranging from </w:t>
      </w:r>
      <w:r w:rsidR="001235BC" w:rsidRPr="001221E3">
        <w:rPr>
          <w:rFonts w:ascii="Times New Roman" w:hAnsi="Times New Roman" w:cs="Times New Roman" w:hint="eastAsia"/>
        </w:rPr>
        <w:lastRenderedPageBreak/>
        <w:t>0.05,</w:t>
      </w:r>
      <w:r w:rsidR="001235BC" w:rsidRPr="001221E3">
        <w:rPr>
          <w:rFonts w:ascii="Times New Roman" w:hAnsi="Times New Roman" w:cs="Times New Roman"/>
        </w:rPr>
        <w:t xml:space="preserve"> </w:t>
      </w:r>
      <w:r w:rsidR="00626BD7" w:rsidRPr="001221E3">
        <w:rPr>
          <w:rFonts w:ascii="Times New Roman" w:hAnsi="Times New Roman" w:cs="Times New Roman"/>
        </w:rPr>
        <w:t>0.1</w:t>
      </w:r>
      <w:r w:rsidR="001235BC" w:rsidRPr="001221E3">
        <w:rPr>
          <w:rFonts w:ascii="Times New Roman" w:hAnsi="Times New Roman" w:cs="Times New Roman"/>
        </w:rPr>
        <w:t>0</w:t>
      </w:r>
      <w:r w:rsidR="00626BD7" w:rsidRPr="001221E3">
        <w:rPr>
          <w:rFonts w:ascii="Times New Roman" w:hAnsi="Times New Roman" w:cs="Times New Roman"/>
        </w:rPr>
        <w:t>,</w:t>
      </w:r>
      <w:r w:rsidR="001235BC" w:rsidRPr="001221E3">
        <w:rPr>
          <w:rFonts w:ascii="Times New Roman" w:hAnsi="Times New Roman" w:cs="Times New Roman"/>
        </w:rPr>
        <w:t xml:space="preserve"> 0.15,</w:t>
      </w:r>
      <w:r w:rsidR="00626BD7" w:rsidRPr="001221E3">
        <w:rPr>
          <w:rFonts w:ascii="Times New Roman" w:hAnsi="Times New Roman" w:cs="Times New Roman"/>
        </w:rPr>
        <w:t xml:space="preserve"> 0.2</w:t>
      </w:r>
      <w:r w:rsidR="001235BC" w:rsidRPr="001221E3">
        <w:rPr>
          <w:rFonts w:ascii="Times New Roman" w:hAnsi="Times New Roman" w:cs="Times New Roman"/>
        </w:rPr>
        <w:t>0</w:t>
      </w:r>
      <w:r w:rsidR="00626BD7" w:rsidRPr="001221E3">
        <w:rPr>
          <w:rFonts w:ascii="Times New Roman" w:hAnsi="Times New Roman" w:cs="Times New Roman"/>
        </w:rPr>
        <w:t>,...to 0.9</w:t>
      </w:r>
      <w:r w:rsidR="001235BC" w:rsidRPr="001221E3">
        <w:rPr>
          <w:rFonts w:ascii="Times New Roman" w:hAnsi="Times New Roman" w:cs="Times New Roman"/>
        </w:rPr>
        <w:t>0</w:t>
      </w:r>
      <w:r w:rsidR="00626BD7" w:rsidRPr="001221E3">
        <w:rPr>
          <w:rFonts w:ascii="Times New Roman" w:hAnsi="Times New Roman" w:cs="Times New Roman"/>
        </w:rPr>
        <w:t>.</w:t>
      </w:r>
      <w:r w:rsidR="001235BC" w:rsidRPr="001221E3">
        <w:rPr>
          <w:rFonts w:ascii="Times New Roman" w:hAnsi="Times New Roman" w:cs="Times New Roman"/>
        </w:rPr>
        <w:t xml:space="preserve"> (See Figure 2.</w:t>
      </w:r>
      <w:r w:rsidR="001235BC" w:rsidRPr="001221E3">
        <w:rPr>
          <w:rFonts w:ascii="Times New Roman" w:hAnsi="Times New Roman" w:cs="Times New Roman" w:hint="eastAsia"/>
        </w:rPr>
        <w:t>)</w:t>
      </w:r>
      <w:r w:rsidR="00626BD7" w:rsidRPr="001221E3">
        <w:rPr>
          <w:rFonts w:ascii="Times New Roman" w:hAnsi="Times New Roman" w:cs="Times New Roman"/>
        </w:rPr>
        <w:t xml:space="preserve"> If the selected threshold p-value is represented as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j</m:t>
            </m:r>
          </m:sub>
        </m:sSub>
      </m:oMath>
      <w:r w:rsidR="00626BD7" w:rsidRPr="001221E3">
        <w:rPr>
          <w:rFonts w:ascii="Times New Roman" w:hAnsi="Times New Roman" w:cs="Times New Roman"/>
        </w:rPr>
        <w:t xml:space="preserve">, then we denote the resulting subset of </w:t>
      </w:r>
      <m:oMath>
        <m:d>
          <m:dPr>
            <m:begChr m:val="{"/>
            <m:endChr m:val="}"/>
            <m:ctrlPr>
              <w:rPr>
                <w:rFonts w:ascii="Cambria Math" w:hAnsi="Cambria Math" w:cs="Times New Roman"/>
              </w:rPr>
            </m:ctrlPr>
          </m:dPr>
          <m:e>
            <m:r>
              <m:rPr>
                <m:sty m:val="b"/>
              </m:rPr>
              <w:rPr>
                <w:rFonts w:ascii="Cambria Math" w:hAnsi="Cambria Math" w:cs="Times New Roman"/>
              </w:rPr>
              <m:t>X</m:t>
            </m:r>
          </m:e>
        </m:d>
      </m:oMath>
      <w:r w:rsidR="00626BD7" w:rsidRPr="001221E3">
        <w:rPr>
          <w:rFonts w:ascii="Times New Roman" w:hAnsi="Times New Roman" w:cs="Times New Roman"/>
        </w:rPr>
        <w:t xml:space="preserve"> as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d>
              <m:dPr>
                <m:begChr m:val="{"/>
                <m:endChr m:val="}"/>
                <m:ctrlPr>
                  <w:rPr>
                    <w:rFonts w:ascii="Cambria Math" w:hAnsi="Cambria Math" w:cs="Times New Roman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 w:cs="Times New Roman"/>
                  </w:rPr>
                  <m:t>X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j</m:t>
            </m:r>
          </m:sub>
        </m:sSub>
      </m:oMath>
      <w:r w:rsidR="00626BD7" w:rsidRPr="001221E3">
        <w:rPr>
          <w:rFonts w:ascii="Times New Roman" w:hAnsi="Times New Roman" w:cs="Times New Roman"/>
        </w:rPr>
        <w:t xml:space="preserve">. Obviously,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d>
              <m:dPr>
                <m:begChr m:val="{"/>
                <m:endChr m:val="}"/>
                <m:ctrlPr>
                  <w:rPr>
                    <w:rFonts w:ascii="Cambria Math" w:hAnsi="Cambria Math" w:cs="Times New Roman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 w:cs="Times New Roman"/>
                  </w:rPr>
                  <m:t>X</m:t>
                </m:r>
              </m:e>
            </m:d>
          </m:e>
          <m:sub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k</m:t>
                </m:r>
              </m:e>
              <m:sup>
                <m:r>
                  <w:rPr>
                    <w:rFonts w:ascii="Cambria Math" w:hAnsi="Cambria Math" w:cs="Times New Roman"/>
                  </w:rPr>
                  <m:t>*</m:t>
                </m:r>
              </m:sup>
            </m:sSup>
          </m:sub>
        </m:sSub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 xml:space="preserve">is a subset of </m:t>
            </m:r>
          </m:fName>
          <m:e>
            <m:sSub>
              <m:sSubPr>
                <m:ctrlPr>
                  <w:rPr>
                    <w:rFonts w:ascii="Cambria Math" w:hAnsi="Cambria Math" w:cs="Times New Roman"/>
                  </w:rPr>
                </m:ctrlPr>
              </m:sSubPr>
              <m:e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Times New Roman"/>
                      </w:rPr>
                    </m:ctrlPr>
                  </m:d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</w:rPr>
                      <m:t>X</m:t>
                    </m:r>
                  </m:e>
                </m:d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k</m:t>
                </m:r>
              </m:sub>
            </m:sSub>
          </m:e>
        </m:func>
      </m:oMath>
      <w:r w:rsidR="00626BD7" w:rsidRPr="001221E3">
        <w:rPr>
          <w:rFonts w:ascii="Times New Roman" w:hAnsi="Times New Roman" w:cs="Times New Roman"/>
        </w:rPr>
        <w:t xml:space="preserve"> whenever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p</m:t>
            </m:r>
          </m:e>
          <m:sub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k</m:t>
                </m:r>
              </m:e>
              <m:sup>
                <m:r>
                  <w:rPr>
                    <w:rFonts w:ascii="Cambria Math" w:hAnsi="Cambria Math" w:cs="Times New Roman"/>
                  </w:rPr>
                  <m:t>*</m:t>
                </m:r>
              </m:sup>
            </m:sSup>
          </m:sub>
        </m:sSub>
        <m:r>
          <m:rPr>
            <m:sty m:val="p"/>
          </m:rPr>
          <w:rPr>
            <w:rFonts w:ascii="Cambria Math" w:hAnsi="Cambria Math" w:cs="Times New Roman"/>
          </w:rPr>
          <m:t>&lt;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k</m:t>
            </m:r>
          </m:sub>
        </m:sSub>
      </m:oMath>
      <w:r w:rsidR="00626BD7" w:rsidRPr="001221E3">
        <w:rPr>
          <w:rFonts w:ascii="Times New Roman" w:hAnsi="Times New Roman" w:cs="Times New Roman"/>
        </w:rPr>
        <w:t xml:space="preserve">. In essence, the higher the chosen p-value threshold, the smaller the number of variables filtered out, resulting in a larger subset; furthermore,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d>
              <m:dPr>
                <m:begChr m:val="{"/>
                <m:endChr m:val="}"/>
                <m:ctrlPr>
                  <w:rPr>
                    <w:rFonts w:ascii="Cambria Math" w:hAnsi="Cambria Math" w:cs="Times New Roman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 w:cs="Times New Roman"/>
                  </w:rPr>
                  <m:t>X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j</m:t>
            </m:r>
          </m:sub>
        </m:sSub>
      </m:oMath>
      <w:r w:rsidR="00626BD7" w:rsidRPr="001221E3">
        <w:rPr>
          <w:rFonts w:ascii="Times New Roman" w:hAnsi="Times New Roman" w:cs="Times New Roman"/>
        </w:rPr>
        <w:t xml:space="preserve"> exhibits a nested property. For the sake of symbolic clarity, we continue to designate the chosen covariables corresponding to the p-value threshold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j</m:t>
            </m:r>
          </m:sub>
        </m:sSub>
      </m:oMath>
      <w:r w:rsidR="00626BD7" w:rsidRPr="001221E3">
        <w:rPr>
          <w:rFonts w:ascii="Times New Roman" w:hAnsi="Times New Roman" w:cs="Times New Roman"/>
        </w:rPr>
        <w:t xml:space="preserve"> as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imes New Roman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j</m:t>
            </m:r>
          </m:sub>
        </m:sSub>
      </m:oMath>
      <w:r w:rsidR="00626BD7" w:rsidRPr="001221E3">
        <w:rPr>
          <w:rFonts w:ascii="Times New Roman" w:hAnsi="Times New Roman" w:cs="Times New Roman"/>
        </w:rPr>
        <w:t>.</w:t>
      </w:r>
    </w:p>
    <w:p w:rsidR="00626BD7" w:rsidRPr="001221E3" w:rsidRDefault="00626BD7" w:rsidP="00626BD7">
      <w:pPr>
        <w:jc w:val="both"/>
        <w:rPr>
          <w:rFonts w:ascii="Times New Roman" w:hAnsi="Times New Roman" w:cs="Times New Roman"/>
        </w:rPr>
      </w:pPr>
    </w:p>
    <w:p w:rsidR="00626BD7" w:rsidRPr="001221E3" w:rsidRDefault="00562EDB" w:rsidP="00626BD7">
      <w:pPr>
        <w:jc w:val="both"/>
        <w:rPr>
          <w:rFonts w:ascii="Times New Roman" w:hAnsi="Times New Roman" w:cs="Times New Roman"/>
        </w:rPr>
      </w:pPr>
      <w:r w:rsidRPr="001221E3">
        <w:rPr>
          <w:rFonts w:ascii="Times New Roman" w:hAnsi="Times New Roman" w:cs="Times New Roman"/>
        </w:rPr>
        <w:t>(ii)</w:t>
      </w:r>
      <w:r w:rsidR="00626BD7" w:rsidRPr="001221E3">
        <w:rPr>
          <w:rFonts w:ascii="Times New Roman" w:hAnsi="Times New Roman" w:cs="Times New Roman"/>
        </w:rPr>
        <w:t xml:space="preserve"> By employing ordinary logistic regression, disregarding the matching design, all bird species encompassed in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imes New Roman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j</m:t>
            </m:r>
          </m:sub>
        </m:sSub>
      </m:oMath>
      <w:r w:rsidR="00626BD7" w:rsidRPr="001221E3">
        <w:rPr>
          <w:rFonts w:ascii="Times New Roman" w:hAnsi="Times New Roman" w:cs="Times New Roman"/>
        </w:rPr>
        <w:t xml:space="preserve"> are utilized to compute the comprehensive risk score:</w:t>
      </w:r>
    </w:p>
    <w:p w:rsidR="00626BD7" w:rsidRPr="001221E3" w:rsidRDefault="00AA722D" w:rsidP="00626BD7">
      <w:pPr>
        <w:jc w:val="center"/>
        <w:rPr>
          <w:rFonts w:ascii="Times New Roman" w:hAnsi="Times New Roman" w:cs="Times New Roman"/>
        </w:rPr>
      </w:pP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 w:cs="Times New Roman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U</m:t>
                </m:r>
              </m:e>
            </m:acc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ij</m:t>
            </m:r>
          </m:sub>
        </m:sSub>
        <m:r>
          <m:rPr>
            <m:sty m:val="p"/>
          </m:rPr>
          <w:rPr>
            <w:rFonts w:ascii="Cambria Math" w:hAnsi="Cambria Math" w:cs="Times New Roman"/>
          </w:rPr>
          <m:t>=</m:t>
        </m:r>
        <m:f>
          <m:fPr>
            <m:type m:val="lin"/>
            <m:ctrlPr>
              <w:rPr>
                <w:rFonts w:ascii="Cambria Math" w:hAnsi="Cambria Math" w:cs="Times New Roman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e</m:t>
                </m:r>
              </m:e>
              <m:sup>
                <m:sSup>
                  <m:sSupPr>
                    <m:ctrlPr>
                      <w:rPr>
                        <w:rFonts w:ascii="Cambria Math" w:hAnsi="Cambria Math" w:cs="Times New Roman"/>
                      </w:rPr>
                    </m:ctrlPr>
                  </m:sSupPr>
                  <m:e>
                    <m:acc>
                      <m:accPr>
                        <m:ctrlPr>
                          <w:rPr>
                            <w:rFonts w:ascii="Cambria Math" w:hAnsi="Cambria Math" w:cs="Times New Roman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β</m:t>
                        </m:r>
                      </m:e>
                    </m:acc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'</m:t>
                    </m:r>
                  </m:sup>
                </m:sSup>
                <m:sSub>
                  <m:sSubPr>
                    <m:ctrlPr>
                      <w:rPr>
                        <w:rFonts w:ascii="Cambria Math" w:hAnsi="Cambria Math" w:cs="Times New Roma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X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ij</m:t>
                    </m:r>
                  </m:sub>
                </m:sSub>
              </m:sup>
            </m:sSup>
          </m:num>
          <m:den>
            <m:r>
              <m:rPr>
                <m:sty m:val="p"/>
              </m:rPr>
              <w:rPr>
                <w:rFonts w:ascii="Cambria Math" w:hAnsi="Cambria Math" w:cs="Times New Roman"/>
              </w:rPr>
              <m:t>{1+</m:t>
            </m:r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e</m:t>
                </m:r>
              </m:e>
              <m:sup>
                <m:sSup>
                  <m:sSupPr>
                    <m:ctrlPr>
                      <w:rPr>
                        <w:rFonts w:ascii="Cambria Math" w:hAnsi="Cambria Math" w:cs="Times New Roman"/>
                      </w:rPr>
                    </m:ctrlPr>
                  </m:sSupPr>
                  <m:e>
                    <m:acc>
                      <m:accPr>
                        <m:ctrlPr>
                          <w:rPr>
                            <w:rFonts w:ascii="Cambria Math" w:hAnsi="Cambria Math" w:cs="Times New Roman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β</m:t>
                        </m:r>
                      </m:e>
                    </m:acc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'</m:t>
                    </m:r>
                  </m:sup>
                </m:sSup>
                <m:sSub>
                  <m:sSubPr>
                    <m:ctrlPr>
                      <w:rPr>
                        <w:rFonts w:ascii="Cambria Math" w:hAnsi="Cambria Math" w:cs="Times New Roma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X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ij</m:t>
                    </m:r>
                  </m:sub>
                </m:sSub>
              </m:sup>
            </m:sSup>
          </m:den>
        </m:f>
        <m:r>
          <w:rPr>
            <w:rFonts w:ascii="Cambria Math" w:hAnsi="Cambria Math" w:cs="Times New Roman"/>
          </w:rPr>
          <m:t>}</m:t>
        </m:r>
      </m:oMath>
      <w:r w:rsidR="00626BD7" w:rsidRPr="001221E3">
        <w:rPr>
          <w:rFonts w:ascii="Times New Roman" w:hAnsi="Times New Roman" w:cs="Times New Roman"/>
        </w:rPr>
        <w:t xml:space="preserve">,         </w:t>
      </w:r>
      <w:r w:rsidR="00022D7F" w:rsidRPr="001221E3">
        <w:rPr>
          <w:rFonts w:ascii="Times New Roman" w:hAnsi="Times New Roman" w:cs="Times New Roman"/>
        </w:rPr>
        <w:t xml:space="preserve">  </w:t>
      </w:r>
      <w:r w:rsidR="00626BD7" w:rsidRPr="001221E3">
        <w:rPr>
          <w:rFonts w:ascii="Times New Roman" w:hAnsi="Times New Roman" w:cs="Times New Roman"/>
        </w:rPr>
        <w:t xml:space="preserve"> (</w:t>
      </w:r>
      <w:r w:rsidR="00626BD7" w:rsidRPr="001221E3">
        <w:rPr>
          <w:rFonts w:ascii="Times New Roman" w:hAnsi="Times New Roman" w:cs="Times New Roman" w:hint="eastAsia"/>
        </w:rPr>
        <w:t>A4</w:t>
      </w:r>
      <w:r w:rsidR="00626BD7" w:rsidRPr="001221E3">
        <w:rPr>
          <w:rFonts w:ascii="Times New Roman" w:hAnsi="Times New Roman" w:cs="Times New Roman"/>
        </w:rPr>
        <w:t>)</w:t>
      </w:r>
    </w:p>
    <w:p w:rsidR="00626BD7" w:rsidRPr="001221E3" w:rsidRDefault="00626BD7" w:rsidP="00626BD7">
      <w:pPr>
        <w:jc w:val="both"/>
        <w:rPr>
          <w:rFonts w:ascii="Times New Roman" w:hAnsi="Times New Roman" w:cs="Times New Roman"/>
        </w:rPr>
      </w:pPr>
      <w:r w:rsidRPr="001221E3">
        <w:rPr>
          <w:rFonts w:ascii="Times New Roman" w:hAnsi="Times New Roman" w:cs="Times New Roman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ij</m:t>
            </m:r>
          </m:sub>
        </m:sSub>
      </m:oMath>
      <w:r w:rsidRPr="001221E3">
        <w:rPr>
          <w:rFonts w:ascii="Times New Roman" w:hAnsi="Times New Roman" w:cs="Times New Roman"/>
        </w:rPr>
        <w:t xml:space="preserve"> is the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imes New Roman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j</m:t>
            </m:r>
          </m:sub>
        </m:sSub>
      </m:oMath>
      <w:r w:rsidRPr="001221E3">
        <w:rPr>
          <w:rFonts w:ascii="Times New Roman" w:hAnsi="Times New Roman" w:cs="Times New Roman"/>
        </w:rPr>
        <w:t xml:space="preserve">-vector of the i-th grid, possibly with adjustment for environmental/terrestrial factors, and </w:t>
      </w:r>
      <m:oMath>
        <m:acc>
          <m:accPr>
            <m:ctrlPr>
              <w:rPr>
                <w:rFonts w:ascii="Cambria Math" w:hAnsi="Cambria Math" w:cs="Times New Roman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/>
              </w:rPr>
              <m:t>β</m:t>
            </m:r>
          </m:e>
        </m:acc>
      </m:oMath>
      <w:r w:rsidRPr="001221E3">
        <w:rPr>
          <w:rFonts w:ascii="Times New Roman" w:hAnsi="Times New Roman" w:cs="Times New Roman"/>
        </w:rPr>
        <w:t xml:space="preserve"> is the coefficient estimate of this ordinary logistic regression. We choose to exclusively employ (A4) for calculating the risk score because the selection of bird species within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imes New Roman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j</m:t>
            </m:r>
          </m:sub>
        </m:sSub>
      </m:oMath>
      <w:r w:rsidRPr="001221E3">
        <w:rPr>
          <w:rFonts w:ascii="Times New Roman" w:hAnsi="Times New Roman" w:cs="Times New Roman"/>
        </w:rPr>
        <w:t xml:space="preserve"> relies on the outcomes of conditional likelihood inference. However, the estimation of each bird species' risk parameter is conducted in</w:t>
      </w:r>
      <w:bookmarkStart w:id="0" w:name="_GoBack"/>
      <w:bookmarkEnd w:id="0"/>
      <w:r w:rsidRPr="001221E3">
        <w:rPr>
          <w:rFonts w:ascii="Times New Roman" w:hAnsi="Times New Roman" w:cs="Times New Roman"/>
        </w:rPr>
        <w:t xml:space="preserve">dependently through propensity score matching. Consequently, neither conditional likelihood nor conditional logistic regression can offer a comprehensive score estimate of this kind. </w:t>
      </w:r>
    </w:p>
    <w:p w:rsidR="00626BD7" w:rsidRPr="001221E3" w:rsidRDefault="00626BD7" w:rsidP="00626BD7">
      <w:pPr>
        <w:jc w:val="both"/>
        <w:rPr>
          <w:rFonts w:ascii="Times New Roman" w:hAnsi="Times New Roman" w:cs="Times New Roman"/>
        </w:rPr>
      </w:pPr>
    </w:p>
    <w:p w:rsidR="00626BD7" w:rsidRPr="001221E3" w:rsidRDefault="00562EDB" w:rsidP="00626BD7">
      <w:pPr>
        <w:jc w:val="both"/>
        <w:rPr>
          <w:rFonts w:ascii="Times New Roman" w:hAnsi="Times New Roman" w:cs="Times New Roman"/>
          <w:vertAlign w:val="subscript"/>
        </w:rPr>
      </w:pPr>
      <w:r w:rsidRPr="001221E3">
        <w:rPr>
          <w:rFonts w:ascii="Times New Roman" w:hAnsi="Times New Roman" w:cs="Times New Roman"/>
        </w:rPr>
        <w:t>(iii)</w:t>
      </w:r>
      <w:r w:rsidR="00626BD7" w:rsidRPr="001221E3">
        <w:rPr>
          <w:rFonts w:ascii="Times New Roman" w:hAnsi="Times New Roman" w:cs="Times New Roman"/>
        </w:rPr>
        <w:t xml:space="preserve"> We link the risk scores </w:t>
      </w:r>
      <m:oMath>
        <m:r>
          <m:rPr>
            <m:sty m:val="p"/>
          </m:rPr>
          <w:rPr>
            <w:rFonts w:ascii="Cambria Math" w:hAnsi="Cambria Math" w:cs="Times New Roman"/>
          </w:rPr>
          <m:t>{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 w:cs="Times New Roman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U</m:t>
                </m:r>
              </m:e>
            </m:acc>
          </m:e>
          <m:sub>
            <m:r>
              <w:rPr>
                <w:rFonts w:ascii="Cambria Math" w:hAnsi="Cambria Math" w:cs="Times New Roman"/>
              </w:rPr>
              <m:t>1j</m:t>
            </m:r>
          </m:sub>
        </m:sSub>
        <m:r>
          <m:rPr>
            <m:sty m:val="p"/>
          </m:rPr>
          <w:rPr>
            <w:rFonts w:ascii="Cambria Math" w:hAnsi="Cambria Math" w:cs="Times New Roman"/>
          </w:rPr>
          <m:t>,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 w:cs="Times New Roman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U</m:t>
                </m:r>
              </m:e>
            </m:acc>
          </m:e>
          <m:sub>
            <m:r>
              <w:rPr>
                <w:rFonts w:ascii="Cambria Math" w:hAnsi="Cambria Math" w:cs="Times New Roman"/>
              </w:rPr>
              <m:t>2j</m:t>
            </m:r>
          </m:sub>
        </m:sSub>
        <m:r>
          <m:rPr>
            <m:sty m:val="p"/>
          </m:rPr>
          <w:rPr>
            <w:rFonts w:ascii="Cambria Math" w:hAnsi="Cambria Math" w:cs="Times New Roman"/>
          </w:rPr>
          <m:t>,…,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acc>
              <m:accPr>
                <m:chr m:val="̃"/>
                <m:ctrlPr>
                  <w:rPr>
                    <w:rFonts w:ascii="Cambria Math" w:hAnsi="Cambria Math" w:cs="Times New Roman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U</m:t>
                </m:r>
              </m:e>
            </m:acc>
          </m:e>
          <m:sub>
            <m:r>
              <w:rPr>
                <w:rFonts w:ascii="Cambria Math" w:hAnsi="Cambria Math" w:cs="Times New Roman"/>
              </w:rPr>
              <m:t>Qj</m:t>
            </m:r>
          </m:sub>
        </m:sSub>
        <m:r>
          <m:rPr>
            <m:sty m:val="p"/>
          </m:rPr>
          <w:rPr>
            <w:rFonts w:ascii="Cambria Math" w:hAnsi="Cambria Math" w:cs="Times New Roman"/>
          </w:rPr>
          <m:t>}</m:t>
        </m:r>
      </m:oMath>
      <w:r w:rsidR="00626BD7" w:rsidRPr="001221E3">
        <w:rPr>
          <w:rFonts w:ascii="Times New Roman" w:hAnsi="Times New Roman" w:cs="Times New Roman"/>
        </w:rPr>
        <w:t xml:space="preserve"> with either a case grid or a control grid to generate the ROC curve.</w:t>
      </w:r>
    </w:p>
    <w:p w:rsidR="00626BD7" w:rsidRPr="00626BD7" w:rsidRDefault="00626BD7" w:rsidP="001C470F">
      <w:pPr>
        <w:rPr>
          <w:rFonts w:ascii="Times New Roman" w:hAnsi="Times New Roman" w:cs="Times New Roman"/>
          <w:color w:val="000000" w:themeColor="text1"/>
        </w:rPr>
      </w:pPr>
    </w:p>
    <w:p w:rsidR="001C470F" w:rsidRDefault="001C470F" w:rsidP="001C470F"/>
    <w:p w:rsidR="001C470F" w:rsidRPr="00626BD7" w:rsidRDefault="001C470F" w:rsidP="001C470F">
      <w:pPr>
        <w:rPr>
          <w:rFonts w:ascii="Times New Roman" w:hAnsi="Times New Roman" w:cs="Times New Roman"/>
        </w:rPr>
      </w:pPr>
      <w:r w:rsidRPr="00626BD7">
        <w:rPr>
          <w:rFonts w:ascii="Times New Roman" w:hAnsi="Times New Roman" w:cs="Times New Roman"/>
        </w:rPr>
        <w:t>References</w:t>
      </w:r>
    </w:p>
    <w:p w:rsidR="001C470F" w:rsidRDefault="001C470F" w:rsidP="001C470F">
      <w:pPr>
        <w:rPr>
          <w:rFonts w:ascii="Times New Roman" w:hAnsi="Times New Roman" w:cs="Times New Roman"/>
        </w:rPr>
      </w:pPr>
      <w:r w:rsidRPr="00626BD7">
        <w:rPr>
          <w:rFonts w:ascii="Times New Roman" w:hAnsi="Times New Roman" w:cs="Times New Roman"/>
        </w:rPr>
        <w:t>[</w:t>
      </w:r>
      <w:r w:rsidRPr="00626BD7">
        <w:rPr>
          <w:rFonts w:ascii="Times New Roman" w:hAnsi="Times New Roman" w:cs="Times New Roman"/>
          <w:color w:val="0000FF"/>
        </w:rPr>
        <w:t>1</w:t>
      </w:r>
      <w:r w:rsidRPr="00626BD7">
        <w:rPr>
          <w:rFonts w:ascii="Times New Roman" w:hAnsi="Times New Roman" w:cs="Times New Roman"/>
        </w:rPr>
        <w:t xml:space="preserve">] Rosenbaum PR, Rubin DB (1983). The central role of the propensity score in observational studies for causal effects. </w:t>
      </w:r>
      <w:r w:rsidRPr="00626BD7">
        <w:rPr>
          <w:rFonts w:ascii="Times New Roman" w:hAnsi="Times New Roman" w:cs="Times New Roman"/>
          <w:i/>
        </w:rPr>
        <w:t>Biometrika</w:t>
      </w:r>
      <w:r w:rsidRPr="00626BD7">
        <w:rPr>
          <w:rFonts w:ascii="Times New Roman" w:hAnsi="Times New Roman" w:cs="Times New Roman"/>
        </w:rPr>
        <w:t xml:space="preserve"> </w:t>
      </w:r>
      <w:r w:rsidRPr="00626BD7">
        <w:rPr>
          <w:rFonts w:ascii="Times New Roman" w:hAnsi="Times New Roman" w:cs="Times New Roman"/>
          <w:b/>
        </w:rPr>
        <w:t>70</w:t>
      </w:r>
      <w:r w:rsidRPr="00626BD7">
        <w:rPr>
          <w:rFonts w:ascii="Times New Roman" w:hAnsi="Times New Roman" w:cs="Times New Roman"/>
        </w:rPr>
        <w:t>, 41-55.</w:t>
      </w:r>
    </w:p>
    <w:p w:rsidR="002F3B0B" w:rsidRPr="00626BD7" w:rsidRDefault="002F3B0B" w:rsidP="001C470F">
      <w:pPr>
        <w:rPr>
          <w:rFonts w:ascii="Times New Roman" w:hAnsi="Times New Roman" w:cs="Times New Roman"/>
        </w:rPr>
      </w:pPr>
      <w:r w:rsidRPr="00626BD7">
        <w:rPr>
          <w:rStyle w:val="al-author-name-more"/>
          <w:rFonts w:ascii="Times New Roman" w:hAnsi="Times New Roman" w:cs="Times New Roman"/>
          <w:color w:val="000000" w:themeColor="text1"/>
          <w:bdr w:val="none" w:sz="0" w:space="0" w:color="auto" w:frame="1"/>
          <w:shd w:val="clear" w:color="auto" w:fill="FFFFFF"/>
        </w:rPr>
        <w:t>[</w:t>
      </w:r>
      <w:r w:rsidRPr="00626BD7">
        <w:rPr>
          <w:rStyle w:val="al-author-name-more"/>
          <w:rFonts w:ascii="Times New Roman" w:hAnsi="Times New Roman" w:cs="Times New Roman"/>
          <w:color w:val="0000FF"/>
          <w:bdr w:val="none" w:sz="0" w:space="0" w:color="auto" w:frame="1"/>
          <w:shd w:val="clear" w:color="auto" w:fill="FFFFFF"/>
        </w:rPr>
        <w:t>2</w:t>
      </w:r>
      <w:r w:rsidRPr="00626BD7">
        <w:rPr>
          <w:rStyle w:val="al-author-name-more"/>
          <w:rFonts w:ascii="Times New Roman" w:hAnsi="Times New Roman" w:cs="Times New Roman"/>
          <w:color w:val="000000" w:themeColor="text1"/>
          <w:bdr w:val="none" w:sz="0" w:space="0" w:color="auto" w:frame="1"/>
          <w:shd w:val="clear" w:color="auto" w:fill="FFFFFF"/>
        </w:rPr>
        <w:t>]</w:t>
      </w:r>
      <w:r>
        <w:rPr>
          <w:rStyle w:val="al-author-name-more"/>
          <w:rFonts w:ascii="Times New Roman" w:hAnsi="Times New Roman" w:cs="Times New Roman"/>
          <w:color w:val="000000" w:themeColor="text1"/>
          <w:bdr w:val="none" w:sz="0" w:space="0" w:color="auto" w:frame="1"/>
          <w:shd w:val="clear" w:color="auto" w:fill="FFFFFF"/>
        </w:rPr>
        <w:t xml:space="preserve"> </w:t>
      </w:r>
      <w:r w:rsidRPr="005A7B87">
        <w:t xml:space="preserve">Wu H, Lin R, Hwang W, Huang M, Chen B, Yen T, Chao D: </w:t>
      </w:r>
      <w:r w:rsidRPr="005A7B87">
        <w:rPr>
          <w:b/>
        </w:rPr>
        <w:t>Integrating Citizen Scientist Data into the Surveillance System for Avian Influenza Virus, Taiwan</w:t>
      </w:r>
      <w:r w:rsidRPr="005A7B87">
        <w:t xml:space="preserve">. </w:t>
      </w:r>
      <w:r w:rsidRPr="005A7B87">
        <w:rPr>
          <w:i/>
        </w:rPr>
        <w:t xml:space="preserve">Emerg Infect Dis </w:t>
      </w:r>
      <w:r w:rsidRPr="005A7B87">
        <w:t xml:space="preserve">2023, </w:t>
      </w:r>
      <w:r w:rsidRPr="005A7B87">
        <w:rPr>
          <w:b/>
        </w:rPr>
        <w:t>29</w:t>
      </w:r>
      <w:r w:rsidRPr="005A7B87">
        <w:t>(1):45-53.</w:t>
      </w:r>
    </w:p>
    <w:p w:rsidR="001C470F" w:rsidRPr="00626BD7" w:rsidRDefault="001C470F" w:rsidP="001C470F">
      <w:pPr>
        <w:rPr>
          <w:rFonts w:ascii="Times New Roman" w:hAnsi="Times New Roman" w:cs="Times New Roman"/>
          <w:color w:val="000000" w:themeColor="text1"/>
        </w:rPr>
      </w:pPr>
      <w:r w:rsidRPr="00626BD7">
        <w:rPr>
          <w:rStyle w:val="al-author-name-more"/>
          <w:rFonts w:ascii="Times New Roman" w:hAnsi="Times New Roman" w:cs="Times New Roman"/>
          <w:color w:val="000000" w:themeColor="text1"/>
          <w:bdr w:val="none" w:sz="0" w:space="0" w:color="auto" w:frame="1"/>
          <w:shd w:val="clear" w:color="auto" w:fill="FFFFFF"/>
        </w:rPr>
        <w:t>[</w:t>
      </w:r>
      <w:r w:rsidR="002F3B0B" w:rsidRPr="002F3B0B">
        <w:rPr>
          <w:rStyle w:val="al-author-name-more"/>
          <w:rFonts w:ascii="Times New Roman" w:hAnsi="Times New Roman" w:cs="Times New Roman"/>
          <w:color w:val="0000FF"/>
          <w:bdr w:val="none" w:sz="0" w:space="0" w:color="auto" w:frame="1"/>
          <w:shd w:val="clear" w:color="auto" w:fill="FFFFFF"/>
        </w:rPr>
        <w:t>3</w:t>
      </w:r>
      <w:r w:rsidRPr="00626BD7">
        <w:rPr>
          <w:rStyle w:val="al-author-name-more"/>
          <w:rFonts w:ascii="Times New Roman" w:hAnsi="Times New Roman" w:cs="Times New Roman"/>
          <w:color w:val="000000" w:themeColor="text1"/>
          <w:bdr w:val="none" w:sz="0" w:space="0" w:color="auto" w:frame="1"/>
          <w:shd w:val="clear" w:color="auto" w:fill="FFFFFF"/>
        </w:rPr>
        <w:t>] Langholz B and</w:t>
      </w:r>
      <w:r w:rsidRPr="00626BD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Borgan Ø (1995). </w:t>
      </w:r>
      <w:r w:rsidRPr="00626BD7">
        <w:rPr>
          <w:rFonts w:ascii="Times New Roman" w:hAnsi="Times New Roman" w:cs="Times New Roman"/>
          <w:bCs/>
          <w:color w:val="2A2A2A"/>
          <w:shd w:val="clear" w:color="auto" w:fill="FFFFFF"/>
        </w:rPr>
        <w:t>Counter-matching: A stratified nested case-control sampling method.</w:t>
      </w:r>
      <w:r w:rsidRPr="00626BD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Pr="00626BD7">
        <w:rPr>
          <w:rFonts w:ascii="Times New Roman" w:hAnsi="Times New Roman" w:cs="Times New Roman"/>
          <w:i/>
          <w:color w:val="000000" w:themeColor="text1"/>
          <w:shd w:val="clear" w:color="auto" w:fill="FFFFFF"/>
        </w:rPr>
        <w:t>Biometrika</w:t>
      </w:r>
      <w:r w:rsidRPr="00626BD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Pr="00626BD7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82</w:t>
      </w:r>
      <w:r w:rsidRPr="00626BD7">
        <w:rPr>
          <w:rFonts w:ascii="Times New Roman" w:hAnsi="Times New Roman" w:cs="Times New Roman"/>
          <w:color w:val="000000" w:themeColor="text1"/>
          <w:shd w:val="clear" w:color="auto" w:fill="FFFFFF"/>
        </w:rPr>
        <w:t>(1):69-79</w:t>
      </w:r>
      <w:r w:rsidRPr="00626BD7">
        <w:rPr>
          <w:rFonts w:ascii="Times New Roman" w:hAnsi="Times New Roman" w:cs="Times New Roman"/>
          <w:color w:val="000000" w:themeColor="text1"/>
        </w:rPr>
        <w:t>.</w:t>
      </w:r>
    </w:p>
    <w:p w:rsidR="001C470F" w:rsidRPr="00626BD7" w:rsidRDefault="001C470F" w:rsidP="001C470F">
      <w:pPr>
        <w:jc w:val="both"/>
        <w:rPr>
          <w:rFonts w:ascii="Times New Roman" w:hAnsi="Times New Roman" w:cs="Times New Roman"/>
          <w:color w:val="000000" w:themeColor="text1"/>
          <w:spacing w:val="-5"/>
        </w:rPr>
      </w:pPr>
      <w:r w:rsidRPr="002F3B0B">
        <w:rPr>
          <w:rStyle w:val="al-author-name-more"/>
          <w:rFonts w:ascii="Times New Roman" w:hAnsi="Times New Roman" w:cs="Times New Roman"/>
          <w:color w:val="0000FF"/>
          <w:bdr w:val="none" w:sz="0" w:space="0" w:color="auto" w:frame="1"/>
          <w:shd w:val="clear" w:color="auto" w:fill="FFFFFF"/>
        </w:rPr>
        <w:t>[</w:t>
      </w:r>
      <w:r w:rsidR="002F3B0B" w:rsidRPr="002F3B0B">
        <w:rPr>
          <w:rStyle w:val="al-author-name-more"/>
          <w:rFonts w:ascii="Times New Roman" w:hAnsi="Times New Roman" w:cs="Times New Roman"/>
          <w:color w:val="0000FF"/>
          <w:bdr w:val="none" w:sz="0" w:space="0" w:color="auto" w:frame="1"/>
          <w:shd w:val="clear" w:color="auto" w:fill="FFFFFF"/>
        </w:rPr>
        <w:t>4</w:t>
      </w:r>
      <w:r w:rsidRPr="002F3B0B">
        <w:rPr>
          <w:rStyle w:val="al-author-name-more"/>
          <w:rFonts w:ascii="Times New Roman" w:hAnsi="Times New Roman" w:cs="Times New Roman"/>
          <w:color w:val="0000FF"/>
          <w:bdr w:val="none" w:sz="0" w:space="0" w:color="auto" w:frame="1"/>
          <w:shd w:val="clear" w:color="auto" w:fill="FFFFFF"/>
        </w:rPr>
        <w:t>]</w:t>
      </w:r>
      <w:r w:rsidRPr="00626BD7">
        <w:rPr>
          <w:rStyle w:val="al-author-name-more"/>
          <w:rFonts w:ascii="Times New Roman" w:hAnsi="Times New Roman" w:cs="Times New Roman"/>
          <w:color w:val="000000" w:themeColor="text1"/>
          <w:bdr w:val="none" w:sz="0" w:space="0" w:color="auto" w:frame="1"/>
          <w:shd w:val="clear" w:color="auto" w:fill="FFFFFF"/>
        </w:rPr>
        <w:t xml:space="preserve"> Thomas DC (1977). Addendum to “Methods of cohort analysis </w:t>
      </w:r>
      <w:r w:rsidRPr="00626BD7">
        <w:rPr>
          <w:rFonts w:ascii="Times New Roman" w:hAnsi="Times New Roman" w:cs="Times New Roman"/>
          <w:color w:val="000000"/>
          <w:spacing w:val="-4"/>
        </w:rPr>
        <w:t xml:space="preserve">Methods of </w:t>
      </w:r>
      <w:r w:rsidRPr="00626BD7">
        <w:rPr>
          <w:rFonts w:ascii="Times New Roman" w:hAnsi="Times New Roman" w:cs="Times New Roman"/>
          <w:color w:val="000000" w:themeColor="text1"/>
          <w:spacing w:val="-4"/>
        </w:rPr>
        <w:t xml:space="preserve">Cohort Analysis: Appraisal by Application to Asbestos Mining” by </w:t>
      </w:r>
      <w:r w:rsidRPr="00626BD7">
        <w:rPr>
          <w:rFonts w:ascii="Times New Roman" w:hAnsi="Times New Roman" w:cs="Times New Roman"/>
          <w:color w:val="000000" w:themeColor="text1"/>
          <w:spacing w:val="-5"/>
        </w:rPr>
        <w:t xml:space="preserve">F. D. K. Liddell, J. C. McDonald, D. C. Thomas and Stella V. Cunliffe </w:t>
      </w:r>
      <w:r w:rsidRPr="00626BD7">
        <w:rPr>
          <w:rFonts w:ascii="Times New Roman" w:hAnsi="Times New Roman" w:cs="Times New Roman"/>
          <w:i/>
          <w:iCs/>
          <w:color w:val="000000" w:themeColor="text1"/>
          <w:spacing w:val="-5"/>
        </w:rPr>
        <w:t xml:space="preserve">ournal of the Royal Statistical Society. Series A </w:t>
      </w:r>
      <w:r w:rsidRPr="00626BD7">
        <w:rPr>
          <w:rFonts w:ascii="Times New Roman" w:hAnsi="Times New Roman" w:cs="Times New Roman"/>
          <w:b/>
          <w:color w:val="000000" w:themeColor="text1"/>
          <w:spacing w:val="-5"/>
        </w:rPr>
        <w:t>140</w:t>
      </w:r>
      <w:r w:rsidRPr="00626BD7">
        <w:rPr>
          <w:rFonts w:ascii="Times New Roman" w:hAnsi="Times New Roman" w:cs="Times New Roman"/>
          <w:color w:val="000000" w:themeColor="text1"/>
          <w:spacing w:val="-5"/>
        </w:rPr>
        <w:t>(4): 469-491</w:t>
      </w:r>
    </w:p>
    <w:p w:rsidR="001C470F" w:rsidRPr="00626BD7" w:rsidRDefault="001C470F" w:rsidP="001C470F">
      <w:pPr>
        <w:rPr>
          <w:rFonts w:ascii="Times New Roman" w:hAnsi="Times New Roman" w:cs="Times New Roman"/>
        </w:rPr>
      </w:pPr>
      <w:r w:rsidRPr="00626BD7">
        <w:rPr>
          <w:rFonts w:ascii="Times New Roman" w:hAnsi="Times New Roman" w:cs="Times New Roman"/>
        </w:rPr>
        <w:t>[</w:t>
      </w:r>
      <w:r w:rsidR="002F3B0B" w:rsidRPr="002F3B0B">
        <w:rPr>
          <w:rFonts w:ascii="Times New Roman" w:hAnsi="Times New Roman" w:cs="Times New Roman"/>
          <w:color w:val="0000FF"/>
        </w:rPr>
        <w:t>5</w:t>
      </w:r>
      <w:r w:rsidRPr="00626BD7">
        <w:rPr>
          <w:rFonts w:ascii="Times New Roman" w:hAnsi="Times New Roman" w:cs="Times New Roman"/>
        </w:rPr>
        <w:t xml:space="preserve">] </w:t>
      </w:r>
      <w:r w:rsidRPr="00626BD7">
        <w:rPr>
          <w:rFonts w:ascii="Times New Roman" w:hAnsi="Times New Roman" w:cs="Times New Roman"/>
          <w:color w:val="333333"/>
          <w:shd w:val="clear" w:color="auto" w:fill="FCFCFC"/>
        </w:rPr>
        <w:t xml:space="preserve">Breslow NE and Day NE (1980). </w:t>
      </w:r>
      <w:r w:rsidRPr="00626BD7">
        <w:rPr>
          <w:rFonts w:ascii="Times New Roman" w:hAnsi="Times New Roman" w:cs="Times New Roman"/>
          <w:i/>
          <w:color w:val="333333"/>
          <w:shd w:val="clear" w:color="auto" w:fill="FCFCFC"/>
        </w:rPr>
        <w:t xml:space="preserve">Statistical Methods in Cancer Research I: The </w:t>
      </w:r>
      <w:r w:rsidRPr="00626BD7">
        <w:rPr>
          <w:rFonts w:ascii="Times New Roman" w:hAnsi="Times New Roman" w:cs="Times New Roman"/>
          <w:i/>
          <w:color w:val="333333"/>
          <w:shd w:val="clear" w:color="auto" w:fill="FCFCFC"/>
        </w:rPr>
        <w:lastRenderedPageBreak/>
        <w:t>Analysis of Case-Control Studies</w:t>
      </w:r>
      <w:r w:rsidRPr="00626BD7">
        <w:rPr>
          <w:rFonts w:ascii="Times New Roman" w:hAnsi="Times New Roman" w:cs="Times New Roman"/>
          <w:color w:val="333333"/>
          <w:shd w:val="clear" w:color="auto" w:fill="FCFCFC"/>
        </w:rPr>
        <w:t>. Lyon: IARC.</w:t>
      </w:r>
    </w:p>
    <w:sectPr w:rsidR="001C470F" w:rsidRPr="00626BD7" w:rsidSect="00ED0F92">
      <w:pgSz w:w="11900" w:h="16840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722D" w:rsidRDefault="00AA722D" w:rsidP="002B5F60">
      <w:r>
        <w:separator/>
      </w:r>
    </w:p>
  </w:endnote>
  <w:endnote w:type="continuationSeparator" w:id="0">
    <w:p w:rsidR="00AA722D" w:rsidRDefault="00AA722D" w:rsidP="002B5F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722D" w:rsidRDefault="00AA722D" w:rsidP="002B5F60">
      <w:r>
        <w:separator/>
      </w:r>
    </w:p>
  </w:footnote>
  <w:footnote w:type="continuationSeparator" w:id="0">
    <w:p w:rsidR="00AA722D" w:rsidRDefault="00AA722D" w:rsidP="002B5F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70F"/>
    <w:rsid w:val="00000F67"/>
    <w:rsid w:val="00022D7F"/>
    <w:rsid w:val="00023CF2"/>
    <w:rsid w:val="000251BE"/>
    <w:rsid w:val="0003059C"/>
    <w:rsid w:val="00036AD0"/>
    <w:rsid w:val="00046561"/>
    <w:rsid w:val="0005011C"/>
    <w:rsid w:val="0005194A"/>
    <w:rsid w:val="000574B7"/>
    <w:rsid w:val="00057935"/>
    <w:rsid w:val="00060725"/>
    <w:rsid w:val="000615D0"/>
    <w:rsid w:val="00081A31"/>
    <w:rsid w:val="000821F1"/>
    <w:rsid w:val="000910B9"/>
    <w:rsid w:val="00092025"/>
    <w:rsid w:val="000A2827"/>
    <w:rsid w:val="000B4960"/>
    <w:rsid w:val="000B4A0D"/>
    <w:rsid w:val="000B79FC"/>
    <w:rsid w:val="000D22F5"/>
    <w:rsid w:val="000D4A39"/>
    <w:rsid w:val="000E49A9"/>
    <w:rsid w:val="000E6E32"/>
    <w:rsid w:val="000F5614"/>
    <w:rsid w:val="001000F8"/>
    <w:rsid w:val="00112491"/>
    <w:rsid w:val="00112942"/>
    <w:rsid w:val="00114762"/>
    <w:rsid w:val="00114D98"/>
    <w:rsid w:val="001221E3"/>
    <w:rsid w:val="00122A03"/>
    <w:rsid w:val="001235BC"/>
    <w:rsid w:val="00127AA1"/>
    <w:rsid w:val="00130B85"/>
    <w:rsid w:val="001311B2"/>
    <w:rsid w:val="0013180D"/>
    <w:rsid w:val="00132898"/>
    <w:rsid w:val="001426C2"/>
    <w:rsid w:val="0014464B"/>
    <w:rsid w:val="001532BA"/>
    <w:rsid w:val="00156907"/>
    <w:rsid w:val="001574AF"/>
    <w:rsid w:val="00162B06"/>
    <w:rsid w:val="00176A95"/>
    <w:rsid w:val="001968CE"/>
    <w:rsid w:val="00197455"/>
    <w:rsid w:val="001A35A7"/>
    <w:rsid w:val="001A575A"/>
    <w:rsid w:val="001A7FAF"/>
    <w:rsid w:val="001B3C73"/>
    <w:rsid w:val="001C0F52"/>
    <w:rsid w:val="001C2ED2"/>
    <w:rsid w:val="001C470F"/>
    <w:rsid w:val="001C7AB0"/>
    <w:rsid w:val="001D3618"/>
    <w:rsid w:val="001D4D87"/>
    <w:rsid w:val="001D7F15"/>
    <w:rsid w:val="001E7F43"/>
    <w:rsid w:val="001F0ACB"/>
    <w:rsid w:val="001F3DEC"/>
    <w:rsid w:val="001F5AD5"/>
    <w:rsid w:val="002033DF"/>
    <w:rsid w:val="0020460E"/>
    <w:rsid w:val="00212FA5"/>
    <w:rsid w:val="00221069"/>
    <w:rsid w:val="002318DE"/>
    <w:rsid w:val="00235126"/>
    <w:rsid w:val="002529A9"/>
    <w:rsid w:val="0025388E"/>
    <w:rsid w:val="0025730F"/>
    <w:rsid w:val="00262694"/>
    <w:rsid w:val="00264803"/>
    <w:rsid w:val="00266793"/>
    <w:rsid w:val="00266A48"/>
    <w:rsid w:val="00267F51"/>
    <w:rsid w:val="00272E03"/>
    <w:rsid w:val="0027415B"/>
    <w:rsid w:val="00277965"/>
    <w:rsid w:val="002833E4"/>
    <w:rsid w:val="002903F7"/>
    <w:rsid w:val="002A4B8F"/>
    <w:rsid w:val="002A57ED"/>
    <w:rsid w:val="002B49EB"/>
    <w:rsid w:val="002B5F60"/>
    <w:rsid w:val="002B6566"/>
    <w:rsid w:val="002C2E77"/>
    <w:rsid w:val="002C408C"/>
    <w:rsid w:val="002C468B"/>
    <w:rsid w:val="002D150F"/>
    <w:rsid w:val="002D17B4"/>
    <w:rsid w:val="002D2544"/>
    <w:rsid w:val="002E2E4E"/>
    <w:rsid w:val="002E46C1"/>
    <w:rsid w:val="002F3B0B"/>
    <w:rsid w:val="002F7C92"/>
    <w:rsid w:val="00301509"/>
    <w:rsid w:val="00306358"/>
    <w:rsid w:val="0032378E"/>
    <w:rsid w:val="00340840"/>
    <w:rsid w:val="00345392"/>
    <w:rsid w:val="00350451"/>
    <w:rsid w:val="003524F6"/>
    <w:rsid w:val="00352C63"/>
    <w:rsid w:val="0038574E"/>
    <w:rsid w:val="00387123"/>
    <w:rsid w:val="003876A9"/>
    <w:rsid w:val="00392D38"/>
    <w:rsid w:val="003A07E3"/>
    <w:rsid w:val="003A2170"/>
    <w:rsid w:val="003A24F0"/>
    <w:rsid w:val="003B4C3A"/>
    <w:rsid w:val="003B5644"/>
    <w:rsid w:val="003B781A"/>
    <w:rsid w:val="003C693C"/>
    <w:rsid w:val="003C7F4B"/>
    <w:rsid w:val="003D5623"/>
    <w:rsid w:val="003E0D0C"/>
    <w:rsid w:val="003E4EF2"/>
    <w:rsid w:val="003F50CE"/>
    <w:rsid w:val="00402ACA"/>
    <w:rsid w:val="004047A8"/>
    <w:rsid w:val="00404EAE"/>
    <w:rsid w:val="00407133"/>
    <w:rsid w:val="00422D05"/>
    <w:rsid w:val="004267E7"/>
    <w:rsid w:val="0043003E"/>
    <w:rsid w:val="00433062"/>
    <w:rsid w:val="00440690"/>
    <w:rsid w:val="004423FC"/>
    <w:rsid w:val="004515D2"/>
    <w:rsid w:val="00457D56"/>
    <w:rsid w:val="0046484D"/>
    <w:rsid w:val="00472D8A"/>
    <w:rsid w:val="00477FEF"/>
    <w:rsid w:val="00484D0C"/>
    <w:rsid w:val="00485389"/>
    <w:rsid w:val="00493416"/>
    <w:rsid w:val="004A1E77"/>
    <w:rsid w:val="004C1AA2"/>
    <w:rsid w:val="004C1CC3"/>
    <w:rsid w:val="004C31D7"/>
    <w:rsid w:val="004C747A"/>
    <w:rsid w:val="004F1A54"/>
    <w:rsid w:val="00503432"/>
    <w:rsid w:val="005053C2"/>
    <w:rsid w:val="00521D5F"/>
    <w:rsid w:val="00524A37"/>
    <w:rsid w:val="00531024"/>
    <w:rsid w:val="00531223"/>
    <w:rsid w:val="00540479"/>
    <w:rsid w:val="005412D0"/>
    <w:rsid w:val="005439B5"/>
    <w:rsid w:val="005532A1"/>
    <w:rsid w:val="005628F3"/>
    <w:rsid w:val="00562EDB"/>
    <w:rsid w:val="0056351A"/>
    <w:rsid w:val="005665CD"/>
    <w:rsid w:val="005705A2"/>
    <w:rsid w:val="00573418"/>
    <w:rsid w:val="00583CC0"/>
    <w:rsid w:val="00594343"/>
    <w:rsid w:val="005945A7"/>
    <w:rsid w:val="00595AB4"/>
    <w:rsid w:val="00597B11"/>
    <w:rsid w:val="005B6EDF"/>
    <w:rsid w:val="005C6EBA"/>
    <w:rsid w:val="005D0693"/>
    <w:rsid w:val="005D2601"/>
    <w:rsid w:val="005D5013"/>
    <w:rsid w:val="005E0FBE"/>
    <w:rsid w:val="005E3B8A"/>
    <w:rsid w:val="005E71A0"/>
    <w:rsid w:val="005F2AAD"/>
    <w:rsid w:val="005F5705"/>
    <w:rsid w:val="005F68E2"/>
    <w:rsid w:val="005F6FBE"/>
    <w:rsid w:val="00600F43"/>
    <w:rsid w:val="006028E4"/>
    <w:rsid w:val="00606D2E"/>
    <w:rsid w:val="00611F26"/>
    <w:rsid w:val="00621CA9"/>
    <w:rsid w:val="00622092"/>
    <w:rsid w:val="00623AFB"/>
    <w:rsid w:val="00625057"/>
    <w:rsid w:val="00626BD7"/>
    <w:rsid w:val="00634419"/>
    <w:rsid w:val="00637B2E"/>
    <w:rsid w:val="006441B5"/>
    <w:rsid w:val="00661072"/>
    <w:rsid w:val="0066319D"/>
    <w:rsid w:val="00667E87"/>
    <w:rsid w:val="0067370D"/>
    <w:rsid w:val="0068689A"/>
    <w:rsid w:val="00690445"/>
    <w:rsid w:val="006A45B4"/>
    <w:rsid w:val="006A69B5"/>
    <w:rsid w:val="006B6089"/>
    <w:rsid w:val="006B704F"/>
    <w:rsid w:val="006C5534"/>
    <w:rsid w:val="006D020A"/>
    <w:rsid w:val="006D3890"/>
    <w:rsid w:val="006E2937"/>
    <w:rsid w:val="006E471E"/>
    <w:rsid w:val="00706F71"/>
    <w:rsid w:val="00707804"/>
    <w:rsid w:val="00725C83"/>
    <w:rsid w:val="00727799"/>
    <w:rsid w:val="00734CFB"/>
    <w:rsid w:val="00740559"/>
    <w:rsid w:val="0074142F"/>
    <w:rsid w:val="00741D3C"/>
    <w:rsid w:val="00743259"/>
    <w:rsid w:val="00754237"/>
    <w:rsid w:val="0075757B"/>
    <w:rsid w:val="007576B6"/>
    <w:rsid w:val="00757BBE"/>
    <w:rsid w:val="00763728"/>
    <w:rsid w:val="00764A14"/>
    <w:rsid w:val="0079107A"/>
    <w:rsid w:val="00791496"/>
    <w:rsid w:val="007A2A1E"/>
    <w:rsid w:val="007B3803"/>
    <w:rsid w:val="007B6560"/>
    <w:rsid w:val="007C338D"/>
    <w:rsid w:val="007C4ECC"/>
    <w:rsid w:val="007D3E4B"/>
    <w:rsid w:val="007D5E13"/>
    <w:rsid w:val="007F0A85"/>
    <w:rsid w:val="0080269D"/>
    <w:rsid w:val="008108F1"/>
    <w:rsid w:val="008142FE"/>
    <w:rsid w:val="008144CB"/>
    <w:rsid w:val="00815EA8"/>
    <w:rsid w:val="00816B52"/>
    <w:rsid w:val="008174F7"/>
    <w:rsid w:val="008220B2"/>
    <w:rsid w:val="00823289"/>
    <w:rsid w:val="00835B8F"/>
    <w:rsid w:val="00846955"/>
    <w:rsid w:val="00846AB9"/>
    <w:rsid w:val="008500BA"/>
    <w:rsid w:val="00873DC2"/>
    <w:rsid w:val="00875A8E"/>
    <w:rsid w:val="008868AF"/>
    <w:rsid w:val="008967BC"/>
    <w:rsid w:val="008A07C7"/>
    <w:rsid w:val="008A0C68"/>
    <w:rsid w:val="008B060C"/>
    <w:rsid w:val="008B6850"/>
    <w:rsid w:val="008B77A3"/>
    <w:rsid w:val="008C29F0"/>
    <w:rsid w:val="008D21AB"/>
    <w:rsid w:val="008D5E48"/>
    <w:rsid w:val="008D6B85"/>
    <w:rsid w:val="008D72DF"/>
    <w:rsid w:val="008E7BF9"/>
    <w:rsid w:val="008F4E39"/>
    <w:rsid w:val="0090031D"/>
    <w:rsid w:val="00900347"/>
    <w:rsid w:val="00905923"/>
    <w:rsid w:val="009142C0"/>
    <w:rsid w:val="0091614C"/>
    <w:rsid w:val="009218FD"/>
    <w:rsid w:val="00927E54"/>
    <w:rsid w:val="00934C18"/>
    <w:rsid w:val="00942AFB"/>
    <w:rsid w:val="009525DC"/>
    <w:rsid w:val="0095280C"/>
    <w:rsid w:val="009622BD"/>
    <w:rsid w:val="009654FF"/>
    <w:rsid w:val="0097216E"/>
    <w:rsid w:val="00976B55"/>
    <w:rsid w:val="00982EA6"/>
    <w:rsid w:val="009847F9"/>
    <w:rsid w:val="00985D18"/>
    <w:rsid w:val="00985FC2"/>
    <w:rsid w:val="00993EED"/>
    <w:rsid w:val="00995174"/>
    <w:rsid w:val="009A0542"/>
    <w:rsid w:val="009B05A0"/>
    <w:rsid w:val="009B4BC8"/>
    <w:rsid w:val="009B7052"/>
    <w:rsid w:val="009B7596"/>
    <w:rsid w:val="009C284A"/>
    <w:rsid w:val="009C736D"/>
    <w:rsid w:val="009C7F65"/>
    <w:rsid w:val="009D008B"/>
    <w:rsid w:val="009D1289"/>
    <w:rsid w:val="009D174F"/>
    <w:rsid w:val="009D31D3"/>
    <w:rsid w:val="009E7BA7"/>
    <w:rsid w:val="009F25A9"/>
    <w:rsid w:val="009F2932"/>
    <w:rsid w:val="009F2F07"/>
    <w:rsid w:val="009F3478"/>
    <w:rsid w:val="009F4557"/>
    <w:rsid w:val="00A10870"/>
    <w:rsid w:val="00A17A40"/>
    <w:rsid w:val="00A218EB"/>
    <w:rsid w:val="00A244F8"/>
    <w:rsid w:val="00A248E0"/>
    <w:rsid w:val="00A2627A"/>
    <w:rsid w:val="00A309BE"/>
    <w:rsid w:val="00A32C5D"/>
    <w:rsid w:val="00A35761"/>
    <w:rsid w:val="00A50674"/>
    <w:rsid w:val="00A52E68"/>
    <w:rsid w:val="00A53D88"/>
    <w:rsid w:val="00A54B5A"/>
    <w:rsid w:val="00A54E8D"/>
    <w:rsid w:val="00A62CA2"/>
    <w:rsid w:val="00A649CC"/>
    <w:rsid w:val="00A7796E"/>
    <w:rsid w:val="00A80BE9"/>
    <w:rsid w:val="00A82927"/>
    <w:rsid w:val="00A82DF1"/>
    <w:rsid w:val="00A903C9"/>
    <w:rsid w:val="00A93C71"/>
    <w:rsid w:val="00A94332"/>
    <w:rsid w:val="00AA722D"/>
    <w:rsid w:val="00AB2F48"/>
    <w:rsid w:val="00AB7A8F"/>
    <w:rsid w:val="00AC6980"/>
    <w:rsid w:val="00AD0FB9"/>
    <w:rsid w:val="00AD301A"/>
    <w:rsid w:val="00AD4565"/>
    <w:rsid w:val="00AD6B97"/>
    <w:rsid w:val="00AE1E45"/>
    <w:rsid w:val="00AF014E"/>
    <w:rsid w:val="00AF38CC"/>
    <w:rsid w:val="00B01405"/>
    <w:rsid w:val="00B05FB1"/>
    <w:rsid w:val="00B22506"/>
    <w:rsid w:val="00B318A1"/>
    <w:rsid w:val="00B34C98"/>
    <w:rsid w:val="00B34E21"/>
    <w:rsid w:val="00B36A25"/>
    <w:rsid w:val="00B4375D"/>
    <w:rsid w:val="00B45669"/>
    <w:rsid w:val="00B500A6"/>
    <w:rsid w:val="00B50A31"/>
    <w:rsid w:val="00B51C0E"/>
    <w:rsid w:val="00B52BC1"/>
    <w:rsid w:val="00B5567F"/>
    <w:rsid w:val="00B61F2A"/>
    <w:rsid w:val="00B63608"/>
    <w:rsid w:val="00B80C72"/>
    <w:rsid w:val="00B81256"/>
    <w:rsid w:val="00B84BD6"/>
    <w:rsid w:val="00B967DA"/>
    <w:rsid w:val="00BA2D3C"/>
    <w:rsid w:val="00BC2D1F"/>
    <w:rsid w:val="00BD6185"/>
    <w:rsid w:val="00BE6A51"/>
    <w:rsid w:val="00BF5F0C"/>
    <w:rsid w:val="00C03797"/>
    <w:rsid w:val="00C16C59"/>
    <w:rsid w:val="00C20DC0"/>
    <w:rsid w:val="00C26E46"/>
    <w:rsid w:val="00C27FA2"/>
    <w:rsid w:val="00C31A52"/>
    <w:rsid w:val="00C44D5E"/>
    <w:rsid w:val="00C65880"/>
    <w:rsid w:val="00C7506A"/>
    <w:rsid w:val="00C752F1"/>
    <w:rsid w:val="00C815FE"/>
    <w:rsid w:val="00C8224F"/>
    <w:rsid w:val="00C853EF"/>
    <w:rsid w:val="00C925A5"/>
    <w:rsid w:val="00C94220"/>
    <w:rsid w:val="00CA217A"/>
    <w:rsid w:val="00CA39A5"/>
    <w:rsid w:val="00CB4B8E"/>
    <w:rsid w:val="00CC64C1"/>
    <w:rsid w:val="00CD2B09"/>
    <w:rsid w:val="00CD3C6E"/>
    <w:rsid w:val="00CD3F1A"/>
    <w:rsid w:val="00CE2D6E"/>
    <w:rsid w:val="00CE4026"/>
    <w:rsid w:val="00D04D19"/>
    <w:rsid w:val="00D11221"/>
    <w:rsid w:val="00D16734"/>
    <w:rsid w:val="00D20D20"/>
    <w:rsid w:val="00D23E09"/>
    <w:rsid w:val="00D272E2"/>
    <w:rsid w:val="00D326CA"/>
    <w:rsid w:val="00D632F0"/>
    <w:rsid w:val="00D67BF0"/>
    <w:rsid w:val="00D74B9A"/>
    <w:rsid w:val="00D85FBD"/>
    <w:rsid w:val="00D95EF4"/>
    <w:rsid w:val="00DA14B3"/>
    <w:rsid w:val="00DA1C32"/>
    <w:rsid w:val="00DA4B60"/>
    <w:rsid w:val="00DA52AD"/>
    <w:rsid w:val="00DA67BB"/>
    <w:rsid w:val="00DB2F2E"/>
    <w:rsid w:val="00DC2FFA"/>
    <w:rsid w:val="00DD05C3"/>
    <w:rsid w:val="00DE4FD6"/>
    <w:rsid w:val="00DF1FEE"/>
    <w:rsid w:val="00DF47AE"/>
    <w:rsid w:val="00DF53FF"/>
    <w:rsid w:val="00DF6BB9"/>
    <w:rsid w:val="00E06674"/>
    <w:rsid w:val="00E070C4"/>
    <w:rsid w:val="00E20531"/>
    <w:rsid w:val="00E26E7D"/>
    <w:rsid w:val="00E27249"/>
    <w:rsid w:val="00E338D6"/>
    <w:rsid w:val="00E339E9"/>
    <w:rsid w:val="00E433CB"/>
    <w:rsid w:val="00E4407E"/>
    <w:rsid w:val="00E54DEC"/>
    <w:rsid w:val="00E55DE2"/>
    <w:rsid w:val="00E568F0"/>
    <w:rsid w:val="00E7062B"/>
    <w:rsid w:val="00E74113"/>
    <w:rsid w:val="00E74880"/>
    <w:rsid w:val="00E76EE2"/>
    <w:rsid w:val="00E8339C"/>
    <w:rsid w:val="00E9051C"/>
    <w:rsid w:val="00E91053"/>
    <w:rsid w:val="00E92EC8"/>
    <w:rsid w:val="00E92F2C"/>
    <w:rsid w:val="00E9784F"/>
    <w:rsid w:val="00E97CB8"/>
    <w:rsid w:val="00EA31E6"/>
    <w:rsid w:val="00EA34A5"/>
    <w:rsid w:val="00EA532C"/>
    <w:rsid w:val="00EA61A4"/>
    <w:rsid w:val="00EA6B4D"/>
    <w:rsid w:val="00EB7419"/>
    <w:rsid w:val="00EB7BEF"/>
    <w:rsid w:val="00EC0C87"/>
    <w:rsid w:val="00EC64B7"/>
    <w:rsid w:val="00EC6E54"/>
    <w:rsid w:val="00ED015B"/>
    <w:rsid w:val="00ED0F92"/>
    <w:rsid w:val="00ED44E8"/>
    <w:rsid w:val="00EF0493"/>
    <w:rsid w:val="00EF0F4B"/>
    <w:rsid w:val="00F1067E"/>
    <w:rsid w:val="00F12733"/>
    <w:rsid w:val="00F145A4"/>
    <w:rsid w:val="00F2227B"/>
    <w:rsid w:val="00F23B8C"/>
    <w:rsid w:val="00F320F7"/>
    <w:rsid w:val="00F34F9B"/>
    <w:rsid w:val="00F37DDF"/>
    <w:rsid w:val="00F4108A"/>
    <w:rsid w:val="00F45AB6"/>
    <w:rsid w:val="00F471F5"/>
    <w:rsid w:val="00F5039A"/>
    <w:rsid w:val="00F51ECB"/>
    <w:rsid w:val="00F5556E"/>
    <w:rsid w:val="00F62409"/>
    <w:rsid w:val="00F67B09"/>
    <w:rsid w:val="00F725B1"/>
    <w:rsid w:val="00F73CB0"/>
    <w:rsid w:val="00F7616B"/>
    <w:rsid w:val="00F808BD"/>
    <w:rsid w:val="00F81B59"/>
    <w:rsid w:val="00FA3C63"/>
    <w:rsid w:val="00FB0161"/>
    <w:rsid w:val="00FB5DD8"/>
    <w:rsid w:val="00FC1DCF"/>
    <w:rsid w:val="00FC57D5"/>
    <w:rsid w:val="00FD3460"/>
    <w:rsid w:val="00FE239A"/>
    <w:rsid w:val="00FE2CE4"/>
    <w:rsid w:val="00FE4157"/>
    <w:rsid w:val="00FE6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FBA0E6"/>
  <w15:chartTrackingRefBased/>
  <w15:docId w15:val="{2407347B-1B6C-3140-87F5-C79748AA1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015B"/>
    <w:rPr>
      <w:rFonts w:ascii="新細明體" w:eastAsia="新細明體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ED015B"/>
    <w:rPr>
      <w:rFonts w:ascii="新細明體" w:eastAsia="新細明體"/>
      <w:sz w:val="18"/>
      <w:szCs w:val="18"/>
    </w:rPr>
  </w:style>
  <w:style w:type="character" w:customStyle="1" w:styleId="al-author-name-more">
    <w:name w:val="al-author-name-more"/>
    <w:basedOn w:val="a0"/>
    <w:rsid w:val="001C470F"/>
  </w:style>
  <w:style w:type="paragraph" w:styleId="a5">
    <w:name w:val="header"/>
    <w:basedOn w:val="a"/>
    <w:link w:val="a6"/>
    <w:uiPriority w:val="99"/>
    <w:unhideWhenUsed/>
    <w:rsid w:val="002B5F6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2B5F60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2B5F6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2B5F6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細明體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新細明體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732</Words>
  <Characters>4174</Characters>
  <Application>Microsoft Office Word</Application>
  <DocSecurity>0</DocSecurity>
  <Lines>34</Lines>
  <Paragraphs>9</Paragraphs>
  <ScaleCrop>false</ScaleCrop>
  <Company/>
  <LinksUpToDate>false</LinksUpToDate>
  <CharactersWithSpaces>4897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使用者</dc:creator>
  <cp:keywords/>
  <dc:description/>
  <cp:lastModifiedBy>admin</cp:lastModifiedBy>
  <cp:revision>9</cp:revision>
  <dcterms:created xsi:type="dcterms:W3CDTF">2024-05-27T14:55:00Z</dcterms:created>
  <dcterms:modified xsi:type="dcterms:W3CDTF">2024-06-12T11:29:00Z</dcterms:modified>
</cp:coreProperties>
</file>