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4ED3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outlineLvl w:val="0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Impact of Diagnosis-Related Groups Reform on Inpatient Service Capacity, Costs, and Efficiency in the Neurology Department: An Interrupted Time Series Analysis from Yunnan, China</w:t>
      </w:r>
    </w:p>
    <w:p w14:paraId="02EF405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outlineLvl w:val="0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Supplementary Materials</w:t>
      </w:r>
    </w:p>
    <w:p w14:paraId="4BEE169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outlineLvl w:val="0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tbl>
      <w:tblPr>
        <w:tblStyle w:val="2"/>
        <w:tblW w:w="69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5019"/>
      </w:tblGrid>
      <w:tr w14:paraId="1AD88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9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0D2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CHS-DRG Core Disease Diagnosis Related Group (ADRG) in Neurology</w:t>
            </w:r>
          </w:p>
        </w:tc>
      </w:tr>
      <w:tr w14:paraId="4B75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4C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ADRG encoding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8C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ADRG name</w:t>
            </w:r>
          </w:p>
        </w:tc>
      </w:tr>
      <w:tr w14:paraId="70C64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5E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BL1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5B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Thrombolytic therapy for cerebrovascular disease</w:t>
            </w:r>
          </w:p>
        </w:tc>
      </w:tr>
      <w:tr w14:paraId="47F20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9E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D6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Intracranial hemorrhagic disorder</w:t>
            </w:r>
          </w:p>
        </w:tc>
      </w:tr>
      <w:tr w14:paraId="537BD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41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B1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Cerebral ischemic disease</w:t>
            </w:r>
          </w:p>
        </w:tc>
      </w:tr>
      <w:tr w14:paraId="68F0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C8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BS1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F4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Non-traumatic disorder of consciousness</w:t>
            </w:r>
          </w:p>
        </w:tc>
      </w:tr>
      <w:tr w14:paraId="08F85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E6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BT1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93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Viral brain, spinal cord and meningitis</w:t>
            </w:r>
          </w:p>
        </w:tc>
      </w:tr>
      <w:tr w14:paraId="7A72A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E4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BT2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3B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 infections of the nervous system</w:t>
            </w:r>
          </w:p>
        </w:tc>
      </w:tr>
      <w:tr w14:paraId="701D0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22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7CE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Nervous system tumor</w:t>
            </w:r>
          </w:p>
        </w:tc>
      </w:tr>
      <w:tr w14:paraId="6AA3F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10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3E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Degenerative disorders of the nervous system</w:t>
            </w:r>
          </w:p>
        </w:tc>
      </w:tr>
      <w:tr w14:paraId="1C411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ED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11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Demyelinating disease and cerebellar ataxia</w:t>
            </w:r>
          </w:p>
        </w:tc>
      </w:tr>
      <w:tr w14:paraId="2159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02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3D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Epilepsy</w:t>
            </w:r>
          </w:p>
        </w:tc>
      </w:tr>
      <w:tr w14:paraId="7C351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C5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45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Neurogenic myopathy</w:t>
            </w:r>
          </w:p>
        </w:tc>
      </w:tr>
      <w:tr w14:paraId="6EB1F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F4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BV3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D2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Headache</w:t>
            </w:r>
          </w:p>
        </w:tc>
      </w:tr>
      <w:tr w14:paraId="7FAD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44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BW1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68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Congenital disorder of the nervous system</w:t>
            </w:r>
          </w:p>
        </w:tc>
      </w:tr>
      <w:tr w14:paraId="7178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CA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BW2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62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Cerebral palsy</w:t>
            </w:r>
          </w:p>
        </w:tc>
      </w:tr>
      <w:tr w14:paraId="56FFE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C7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29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Brain dysfunction</w:t>
            </w:r>
          </w:p>
        </w:tc>
      </w:tr>
      <w:tr w14:paraId="79F63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89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BX2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7D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Cranial/peripheral nerve disorders</w:t>
            </w:r>
          </w:p>
        </w:tc>
      </w:tr>
      <w:tr w14:paraId="50A27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3E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BZ1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CE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Other disorders of the nervous system</w:t>
            </w:r>
          </w:p>
        </w:tc>
      </w:tr>
      <w:tr w14:paraId="0D3CD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9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D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Note ADRG codeing is from </w:t>
            </w: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shd w:val="clear" w:fill="FFFFFF"/>
              </w:rPr>
              <w:t>China Healthcare Security Diagnosis Related Groups, known as CHS-DRG,introduced by the National Medical Insurance Administration in 2019.</w:t>
            </w:r>
          </w:p>
        </w:tc>
      </w:tr>
    </w:tbl>
    <w:p w14:paraId="24368F6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outlineLvl w:val="0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  <w:bookmarkStart w:id="0" w:name="_GoBack"/>
      <w:bookmarkEnd w:id="0"/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587"/>
        <w:gridCol w:w="1273"/>
        <w:gridCol w:w="5705"/>
      </w:tblGrid>
      <w:tr w14:paraId="0F1AF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7AAD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outlineLvl w:val="1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Table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S2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Evaluation dimensions and outcome variables</w:t>
            </w:r>
          </w:p>
        </w:tc>
      </w:tr>
      <w:tr w14:paraId="0E4ED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5FE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Evaluation dimensions</w:t>
            </w:r>
          </w:p>
        </w:tc>
        <w:tc>
          <w:tcPr>
            <w:tcW w:w="33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DC7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No</w:t>
            </w:r>
          </w:p>
        </w:tc>
        <w:tc>
          <w:tcPr>
            <w:tcW w:w="719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196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Outcome variables</w:t>
            </w:r>
          </w:p>
        </w:tc>
        <w:tc>
          <w:tcPr>
            <w:tcW w:w="3220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F4E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"/>
              </w:rPr>
              <w:t>Calculation formula or definition</w:t>
            </w:r>
          </w:p>
        </w:tc>
      </w:tr>
      <w:tr w14:paraId="6E7F3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0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Inpatient service capacity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C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Y1</w:t>
            </w:r>
          </w:p>
        </w:tc>
        <w:tc>
          <w:tcPr>
            <w:tcW w:w="7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7E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Total DRG weight (total weight)</w:t>
            </w:r>
          </w:p>
        </w:tc>
        <w:tc>
          <w:tcPr>
            <w:tcW w:w="32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FC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Σ (Cost weight of a specific DRG × Number of cases of that DRG in the Department )</w:t>
            </w:r>
          </w:p>
        </w:tc>
      </w:tr>
      <w:tr w14:paraId="3D186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6F4125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26260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Y2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00C8E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Case mix index (CMI)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78E0D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Σ (Cost weight of a specific DRG × Number of cases of that DRG in the department) / Total number of cases in the department</w:t>
            </w:r>
          </w:p>
        </w:tc>
      </w:tr>
      <w:tr w14:paraId="6671B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2380AC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09ABF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Y3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53CE7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Number of disease types in DRGs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20461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ΣThe range of disease types covered by treated cases</w:t>
            </w:r>
          </w:p>
        </w:tc>
      </w:tr>
      <w:tr w14:paraId="2BBE0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4F0A3D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Inpatient service cost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1F266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Y4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66FC3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Average length of stay (days)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5B073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Average length of stay = Total bed days occupied by discharged patients / Number of discharged patients during the same period</w:t>
            </w:r>
          </w:p>
        </w:tc>
      </w:tr>
      <w:tr w14:paraId="38AF8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15D69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3D80B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Y5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3E6EF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Average cost per inpatient stay (RMB)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0FC91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Total cost incurred by inpatients receiving treatment in the medical institution / Number of inpatient stays within a specific time period</w:t>
            </w:r>
          </w:p>
        </w:tc>
      </w:tr>
      <w:tr w14:paraId="463B1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376F79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668DC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Y6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1F663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Average medication cost per inpatient stay (RMB)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3AA10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Total medication cost for inpatients in the department / Number of inpatient stays within a specific time period</w:t>
            </w:r>
          </w:p>
        </w:tc>
      </w:tr>
      <w:tr w14:paraId="58AE7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4129EB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74537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Y7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1F564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Medication cost ratio (%)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27A57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Average medication cost per inpatient stay / Average cost per inpatient stay</w:t>
            </w:r>
          </w:p>
        </w:tc>
      </w:tr>
      <w:tr w14:paraId="563C0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41DFA7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2C811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Y8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54073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Average material cost per inpatient stay (RMB)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72A5E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Total material cost for inpatients in the department / Number of inpatient stays within a specific time period</w:t>
            </w:r>
          </w:p>
        </w:tc>
      </w:tr>
      <w:tr w14:paraId="745BD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3249CA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0B587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Y9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2ED4A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Material cost ratio (%)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08758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Total material cost per inpatient stay / Total cost per inpatient stay</w:t>
            </w:r>
          </w:p>
        </w:tc>
      </w:tr>
      <w:tr w14:paraId="0AD1C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shd w:val="clear" w:color="auto" w:fill="auto"/>
            <w:noWrap/>
            <w:vAlign w:val="center"/>
          </w:tcPr>
          <w:p w14:paraId="00E2E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Inpatient service efficiency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14:paraId="00938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Y10</w:t>
            </w:r>
          </w:p>
        </w:tc>
        <w:tc>
          <w:tcPr>
            <w:tcW w:w="719" w:type="pct"/>
            <w:shd w:val="clear" w:color="auto" w:fill="auto"/>
            <w:noWrap/>
            <w:vAlign w:val="center"/>
          </w:tcPr>
          <w:p w14:paraId="2BCA5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Cost consumption index</w:t>
            </w:r>
          </w:p>
        </w:tc>
        <w:tc>
          <w:tcPr>
            <w:tcW w:w="3220" w:type="pct"/>
            <w:shd w:val="clear" w:color="auto" w:fill="auto"/>
            <w:noWrap/>
            <w:vAlign w:val="center"/>
          </w:tcPr>
          <w:p w14:paraId="3E027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Σ (Cost ratio of each DRG group in the department × Number of cases in Each DRG group in the department) / Total number of cases in DRG groups</w:t>
            </w:r>
          </w:p>
        </w:tc>
      </w:tr>
      <w:tr w14:paraId="3A6BC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40715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218C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Y11</w:t>
            </w:r>
          </w:p>
        </w:tc>
        <w:tc>
          <w:tcPr>
            <w:tcW w:w="71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FADD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Time consumption index</w:t>
            </w:r>
          </w:p>
        </w:tc>
        <w:tc>
          <w:tcPr>
            <w:tcW w:w="322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8EBA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"/>
              </w:rPr>
              <w:t>Σ (Average length of stay ratio of each DRG group in the department × Number of cases in each DRG group in the hospital) / Total number of cases in DRG groups</w:t>
            </w:r>
          </w:p>
        </w:tc>
      </w:tr>
    </w:tbl>
    <w:p w14:paraId="3D446CC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outlineLvl w:val="0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p w14:paraId="79290E87">
      <w:pP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br w:type="page"/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6833"/>
      </w:tblGrid>
      <w:tr w14:paraId="2D1B8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DDA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Table 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The main Stata commands used for analysis in the study</w:t>
            </w:r>
          </w:p>
        </w:tc>
      </w:tr>
      <w:tr w14:paraId="59DE0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16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Analysis</w:t>
            </w:r>
          </w:p>
        </w:tc>
        <w:tc>
          <w:tcPr>
            <w:tcW w:w="3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E1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Stata Commands</w:t>
            </w:r>
          </w:p>
        </w:tc>
      </w:tr>
      <w:tr w14:paraId="56FC9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A3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t-test</w:t>
            </w:r>
          </w:p>
        </w:tc>
        <w:tc>
          <w:tcPr>
            <w:tcW w:w="3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AF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 byte reform_period = 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replace reform_period = 1 if year &gt;= 202301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list Y1 reform_period in 1/10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tabulate reform_period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ttest Y1, by(reform_period)</w:t>
            </w:r>
          </w:p>
        </w:tc>
      </w:tr>
      <w:tr w14:paraId="4F92D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1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2D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itsa</w:t>
            </w:r>
          </w:p>
        </w:tc>
        <w:tc>
          <w:tcPr>
            <w:tcW w:w="3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89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 year_str = string(year, "%06.0f")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 year_part = substr(year_str, 1, 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 month_part = substr(year_str, 5, 2)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 month = ym(real(year_part), real(month_part))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format month %tm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destring Y1, replace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tsset group month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itsa Y1 month, trperiod(2023m1) treatid(1) figure lag(1)</w:t>
            </w:r>
          </w:p>
        </w:tc>
      </w:tr>
      <w:tr w14:paraId="172B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A6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Durbin-Watson test</w:t>
            </w:r>
          </w:p>
        </w:tc>
        <w:tc>
          <w:tcPr>
            <w:tcW w:w="3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EB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itsa Y1 month, trperiod(2023m1) treatid(1)  prais rhotype(tscorr)</w:t>
            </w:r>
          </w:p>
        </w:tc>
      </w:tr>
      <w:tr w14:paraId="55358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09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Cumby-Huizinga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test</w:t>
            </w:r>
          </w:p>
        </w:tc>
        <w:tc>
          <w:tcPr>
            <w:tcW w:w="3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B4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actest, lags(6)</w:t>
            </w:r>
          </w:p>
        </w:tc>
      </w:tr>
    </w:tbl>
    <w:p w14:paraId="7445478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outlineLvl w:val="0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SC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75DB4343"/>
    <w:rsid w:val="0B816335"/>
    <w:rsid w:val="214050E2"/>
    <w:rsid w:val="628F3BFE"/>
    <w:rsid w:val="75DB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540</Words>
  <Characters>2958</Characters>
  <Lines>0</Lines>
  <Paragraphs>0</Paragraphs>
  <TotalTime>23</TotalTime>
  <ScaleCrop>false</ScaleCrop>
  <LinksUpToDate>false</LinksUpToDate>
  <CharactersWithSpaces>3398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2024-07-29T15:26:00Z</dcterms:created>
  <dc:creator>Dsix</dc:creator>
  <cp:lastModifiedBy>Dsix</cp:lastModifiedBy>
  <dcterms:modified xsi:type="dcterms:W3CDTF">2024-08-02T02:01:50Z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C5F246F8C18540258D1A903C47AB99AE_13</vt:lpwstr>
  </property>
</Properties>
</file>