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Arial" w:hAnsi="Arial" w:cs="Arial"/>
          <w:b/>
          <w:bCs/>
          <w:sz w:val="24"/>
          <w:szCs w:val="24"/>
        </w:rPr>
      </w:pPr>
      <w:r>
        <w:rPr>
          <w:rFonts w:hint="eastAsia" w:ascii="Arial" w:hAnsi="Arial" w:cs="Arial"/>
          <w:b/>
          <w:bCs/>
          <w:i w:val="0"/>
          <w:caps w:val="0"/>
          <w:spacing w:val="0"/>
          <w:sz w:val="24"/>
          <w:szCs w:val="24"/>
          <w:shd w:val="clear"/>
          <w:lang w:eastAsia="zh-CN"/>
        </w:rPr>
        <w:t>Supplementary</w:t>
      </w:r>
      <w:r>
        <w:rPr>
          <w:rFonts w:ascii="Arial" w:hAnsi="Arial" w:cs="Arial" w:eastAsiaTheme="minorEastAsia"/>
          <w:b/>
          <w:bCs/>
          <w:i w:val="0"/>
          <w:caps w:val="0"/>
          <w:spacing w:val="0"/>
          <w:sz w:val="24"/>
          <w:szCs w:val="24"/>
          <w:shd w:val="clear"/>
        </w:rPr>
        <w:t xml:space="preserve"> </w:t>
      </w: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>Files</w:t>
      </w:r>
    </w:p>
    <w:p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The dual HDAC-PI3K inhibitor CUDC-907 </w:t>
      </w:r>
      <w:r>
        <w:rPr>
          <w:rFonts w:hint="eastAsia" w:ascii="Arial" w:hAnsi="Arial" w:cs="Arial"/>
          <w:b/>
          <w:sz w:val="24"/>
          <w:szCs w:val="24"/>
        </w:rPr>
        <w:t>displays</w:t>
      </w:r>
      <w:r>
        <w:rPr>
          <w:rFonts w:ascii="Arial" w:hAnsi="Arial" w:cs="Arial"/>
          <w:b/>
          <w:sz w:val="24"/>
          <w:szCs w:val="24"/>
        </w:rPr>
        <w:t xml:space="preserve"> single</w:t>
      </w:r>
      <w:r>
        <w:rPr>
          <w:rFonts w:hint="eastAsia" w:ascii="Arial" w:hAnsi="Arial" w:cs="Arial"/>
          <w:b/>
          <w:sz w:val="24"/>
          <w:szCs w:val="24"/>
        </w:rPr>
        <w:t>-</w:t>
      </w:r>
      <w:r>
        <w:rPr>
          <w:rFonts w:ascii="Arial" w:hAnsi="Arial" w:cs="Arial"/>
          <w:b/>
          <w:sz w:val="24"/>
          <w:szCs w:val="24"/>
        </w:rPr>
        <w:t>agent activity and synergi</w:t>
      </w:r>
      <w:r>
        <w:rPr>
          <w:rFonts w:hint="eastAsia" w:ascii="Arial" w:hAnsi="Arial" w:cs="Arial"/>
          <w:b/>
          <w:sz w:val="24"/>
          <w:szCs w:val="24"/>
        </w:rPr>
        <w:t>zes</w:t>
      </w:r>
      <w:r>
        <w:rPr>
          <w:rFonts w:ascii="Arial" w:hAnsi="Arial" w:cs="Arial"/>
          <w:b/>
          <w:sz w:val="24"/>
          <w:szCs w:val="24"/>
        </w:rPr>
        <w:t xml:space="preserve"> with PARP inhibitor olaparib in </w:t>
      </w:r>
      <w:r>
        <w:rPr>
          <w:rFonts w:hint="eastAsia" w:ascii="Arial" w:hAnsi="Arial" w:cs="Arial"/>
          <w:b/>
          <w:sz w:val="24"/>
          <w:szCs w:val="24"/>
        </w:rPr>
        <w:t>S</w:t>
      </w:r>
      <w:r>
        <w:rPr>
          <w:rFonts w:ascii="Arial" w:hAnsi="Arial" w:cs="Arial"/>
          <w:b/>
          <w:sz w:val="24"/>
          <w:szCs w:val="24"/>
        </w:rPr>
        <w:t xml:space="preserve">mall </w:t>
      </w:r>
      <w:r>
        <w:rPr>
          <w:rFonts w:hint="eastAsia"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b/>
          <w:sz w:val="24"/>
          <w:szCs w:val="24"/>
        </w:rPr>
        <w:t xml:space="preserve">ell </w:t>
      </w:r>
      <w:r>
        <w:rPr>
          <w:rFonts w:hint="eastAsia" w:ascii="Arial" w:hAnsi="Arial" w:cs="Arial"/>
          <w:b/>
          <w:sz w:val="24"/>
          <w:szCs w:val="24"/>
        </w:rPr>
        <w:t>L</w:t>
      </w:r>
      <w:r>
        <w:rPr>
          <w:rFonts w:ascii="Arial" w:hAnsi="Arial" w:cs="Arial"/>
          <w:b/>
          <w:sz w:val="24"/>
          <w:szCs w:val="24"/>
        </w:rPr>
        <w:t xml:space="preserve">ung </w:t>
      </w:r>
      <w:r>
        <w:rPr>
          <w:rFonts w:hint="eastAsia"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b/>
          <w:sz w:val="24"/>
          <w:szCs w:val="24"/>
        </w:rPr>
        <w:t>ancer</w:t>
      </w:r>
    </w:p>
    <w:p>
      <w:pPr>
        <w:pStyle w:val="9"/>
        <w:spacing w:line="480" w:lineRule="auto"/>
        <w:jc w:val="both"/>
        <w:rPr>
          <w:rFonts w:ascii="Arial" w:hAnsi="Arial" w:cs="Arial"/>
          <w:bCs/>
        </w:rPr>
      </w:pPr>
      <w:r>
        <w:rPr>
          <w:rFonts w:hint="eastAsia" w:ascii="Arial" w:hAnsi="Arial" w:cs="Arial"/>
          <w:bCs/>
        </w:rPr>
        <w:t>Liying Ma</w:t>
      </w:r>
      <w:r>
        <w:rPr>
          <w:rFonts w:ascii="Arial" w:hAnsi="Arial" w:cs="Arial"/>
          <w:bCs/>
          <w:vertAlign w:val="superscript"/>
        </w:rPr>
        <w:t>1,2,3</w:t>
      </w:r>
      <w:r>
        <w:rPr>
          <w:rFonts w:hint="eastAsia" w:ascii="Arial" w:hAnsi="Arial" w:cs="Arial"/>
          <w:bCs/>
          <w:vertAlign w:val="superscript"/>
        </w:rPr>
        <w:t>,4</w:t>
      </w:r>
      <w:r>
        <w:rPr>
          <w:rFonts w:ascii="Arial" w:hAnsi="Arial" w:cs="Arial"/>
          <w:bCs/>
        </w:rPr>
        <w:t>, Xing Bian</w:t>
      </w:r>
      <w:r>
        <w:rPr>
          <w:rFonts w:ascii="Arial" w:hAnsi="Arial" w:cs="Arial"/>
          <w:bCs/>
          <w:vertAlign w:val="superscript"/>
        </w:rPr>
        <w:t>1,2,3</w:t>
      </w:r>
      <w:r>
        <w:rPr>
          <w:rFonts w:hint="eastAsia" w:ascii="Arial" w:hAnsi="Arial" w:cs="Arial"/>
          <w:bCs/>
          <w:vertAlign w:val="superscript"/>
        </w:rPr>
        <w:t>,4</w:t>
      </w:r>
      <w:r>
        <w:rPr>
          <w:rFonts w:ascii="Arial" w:hAnsi="Arial" w:cs="Arial"/>
          <w:bCs/>
        </w:rPr>
        <w:t>, Wenchu Lin</w:t>
      </w:r>
      <w:r>
        <w:rPr>
          <w:rFonts w:ascii="Arial" w:hAnsi="Arial" w:cs="Arial"/>
          <w:bCs/>
          <w:vertAlign w:val="superscript"/>
        </w:rPr>
        <w:t>1,3</w:t>
      </w:r>
      <w:r>
        <w:rPr>
          <w:rFonts w:ascii="Arial" w:hAnsi="Arial" w:cs="Arial"/>
          <w:bCs/>
        </w:rPr>
        <w:t>*</w:t>
      </w:r>
    </w:p>
    <w:p>
      <w:pPr>
        <w:pStyle w:val="9"/>
        <w:ind w:left="120" w:hanging="120" w:hangingChars="50"/>
        <w:jc w:val="both"/>
        <w:rPr>
          <w:rFonts w:ascii="Arial" w:hAnsi="Arial" w:cs="Arial"/>
        </w:rPr>
      </w:pPr>
      <w:r>
        <w:rPr>
          <w:rFonts w:ascii="Arial" w:hAnsi="Arial" w:cs="Arial"/>
          <w:bCs/>
          <w:vertAlign w:val="superscript"/>
        </w:rPr>
        <w:t>1</w:t>
      </w:r>
      <w:bookmarkStart w:id="0" w:name="OLE_LINK53"/>
      <w:bookmarkStart w:id="1" w:name="OLE_LINK52"/>
      <w:r>
        <w:rPr>
          <w:rFonts w:ascii="Arial" w:hAnsi="Arial" w:cs="Arial"/>
        </w:rPr>
        <w:t>High Magnetic Field Laboratory, Chinese Academy of Sciences, Hefei 230031, Anhui, P. R. China</w:t>
      </w:r>
      <w:bookmarkEnd w:id="0"/>
      <w:bookmarkEnd w:id="1"/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vertAlign w:val="superscript"/>
        </w:rPr>
        <w:t>2</w:t>
      </w:r>
      <w:r>
        <w:rPr>
          <w:rFonts w:ascii="Arial" w:hAnsi="Arial" w:cs="Arial"/>
          <w:kern w:val="0"/>
          <w:sz w:val="24"/>
          <w:szCs w:val="24"/>
        </w:rPr>
        <w:t>University of Science and Technology of China, Hefei 230026, Anhui, P. R. China</w:t>
      </w:r>
    </w:p>
    <w:p>
      <w:pPr>
        <w:ind w:left="120" w:hanging="120" w:hangingChars="5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vertAlign w:val="superscript"/>
        </w:rPr>
        <w:t>3</w:t>
      </w:r>
      <w:r>
        <w:rPr>
          <w:rFonts w:ascii="Arial" w:hAnsi="Arial" w:cs="Arial"/>
          <w:sz w:val="24"/>
          <w:szCs w:val="24"/>
        </w:rPr>
        <w:t>Key Laboratory of High Magnetic Field and Ion Beam Physical Biology, Hefei Institutes of Physical Science, Chinese Academy of Sciences, Hefei 230031, Anhui, P. R. China</w:t>
      </w:r>
      <w:r>
        <w:rPr>
          <w:rFonts w:ascii="Arial" w:hAnsi="Arial" w:cs="Arial"/>
          <w:bCs/>
          <w:sz w:val="24"/>
          <w:szCs w:val="24"/>
        </w:rPr>
        <w:t xml:space="preserve"> </w:t>
      </w:r>
    </w:p>
    <w:p>
      <w:pPr>
        <w:ind w:left="120" w:hanging="120" w:hangingChars="5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vertAlign w:val="superscript"/>
        </w:rPr>
        <w:t>4</w:t>
      </w:r>
      <w:r>
        <w:rPr>
          <w:rFonts w:hint="eastAsia" w:ascii="Arial" w:hAnsi="Arial" w:cs="Arial"/>
          <w:bCs/>
          <w:sz w:val="24"/>
          <w:szCs w:val="24"/>
        </w:rPr>
        <w:t xml:space="preserve"> Co-first authors</w:t>
      </w:r>
    </w:p>
    <w:p>
      <w:pPr>
        <w:ind w:left="120" w:hanging="120" w:hangingChars="50"/>
        <w:rPr>
          <w:rFonts w:ascii="Arial" w:hAnsi="Arial" w:cs="Arial"/>
          <w:bCs/>
          <w:sz w:val="24"/>
          <w:szCs w:val="24"/>
        </w:rPr>
      </w:pPr>
    </w:p>
    <w:p>
      <w:pPr>
        <w:pStyle w:val="9"/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*</w:t>
      </w:r>
      <w:r>
        <w:rPr>
          <w:rFonts w:ascii="Arial" w:hAnsi="Arial" w:cs="Arial"/>
          <w:b/>
        </w:rPr>
        <w:t xml:space="preserve">Corresponding Author: </w:t>
      </w:r>
    </w:p>
    <w:p>
      <w:pPr>
        <w:pStyle w:val="9"/>
        <w:spacing w:line="48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Wenchu Lin, Ph.D</w:t>
      </w:r>
    </w:p>
    <w:p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High Magnetic Feld Laboratory, Chinese Academy of Sciences</w:t>
      </w:r>
    </w:p>
    <w:p>
      <w:pPr>
        <w:pStyle w:val="9"/>
        <w:spacing w:line="480" w:lineRule="auto"/>
        <w:jc w:val="both"/>
        <w:rPr>
          <w:rStyle w:val="13"/>
          <w:rFonts w:ascii="Arial" w:hAnsi="Arial" w:cs="Arial"/>
          <w:color w:val="auto"/>
        </w:rPr>
      </w:pPr>
      <w:r>
        <w:rPr>
          <w:rFonts w:ascii="Arial" w:hAnsi="Arial" w:cs="Arial"/>
          <w:bCs/>
        </w:rPr>
        <w:t xml:space="preserve">Tel: 86-551-65593499, </w:t>
      </w:r>
      <w:r>
        <w:rPr>
          <w:rFonts w:ascii="Arial" w:hAnsi="Arial" w:cs="Arial"/>
        </w:rPr>
        <w:t xml:space="preserve">E-mail: </w:t>
      </w:r>
      <w:r>
        <w:fldChar w:fldCharType="begin"/>
      </w:r>
      <w:r>
        <w:instrText xml:space="preserve"> HYPERLINK "mailto:wenchu@hmfl.ac.cn" </w:instrText>
      </w:r>
      <w:r>
        <w:fldChar w:fldCharType="separate"/>
      </w:r>
      <w:r>
        <w:rPr>
          <w:rStyle w:val="8"/>
          <w:rFonts w:ascii="Arial" w:hAnsi="Arial" w:cs="Arial"/>
          <w:color w:val="auto"/>
          <w:shd w:val="clear" w:color="auto" w:fill="FFFFFF"/>
        </w:rPr>
        <w:t>wenchu@hmfl.ac.cn</w:t>
      </w:r>
      <w:r>
        <w:rPr>
          <w:rStyle w:val="8"/>
          <w:rFonts w:ascii="Arial" w:hAnsi="Arial" w:cs="Arial"/>
          <w:color w:val="auto"/>
          <w:shd w:val="clear" w:color="auto" w:fill="FFFFFF"/>
        </w:rPr>
        <w:fldChar w:fldCharType="end"/>
      </w:r>
      <w:r>
        <w:rPr>
          <w:rStyle w:val="13"/>
          <w:rFonts w:ascii="Arial" w:hAnsi="Arial" w:cs="Arial"/>
          <w:color w:val="auto"/>
        </w:rPr>
        <w:t>.</w:t>
      </w:r>
    </w:p>
    <w:p>
      <w:pPr>
        <w:spacing w:line="360" w:lineRule="auto"/>
        <w:rPr>
          <w:rFonts w:ascii="Arial" w:hAnsi="Arial" w:cs="Arial"/>
          <w:sz w:val="24"/>
          <w:szCs w:val="24"/>
        </w:rPr>
      </w:pPr>
    </w:p>
    <w:p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Running title</w:t>
      </w:r>
      <w:r>
        <w:rPr>
          <w:rFonts w:ascii="Arial" w:hAnsi="Arial" w:cs="Arial"/>
          <w:sz w:val="24"/>
          <w:szCs w:val="24"/>
        </w:rPr>
        <w:t xml:space="preserve">: </w:t>
      </w:r>
      <w:r>
        <w:rPr>
          <w:rFonts w:hint="eastAsia" w:ascii="Arial" w:hAnsi="Arial" w:cs="Arial"/>
          <w:sz w:val="24"/>
          <w:szCs w:val="24"/>
        </w:rPr>
        <w:t>CUDC-907 synergize with olaparib in</w:t>
      </w:r>
      <w:r>
        <w:rPr>
          <w:rFonts w:ascii="Arial" w:hAnsi="Arial" w:cs="Arial"/>
          <w:sz w:val="24"/>
          <w:szCs w:val="24"/>
        </w:rPr>
        <w:t xml:space="preserve"> SCLC</w:t>
      </w:r>
    </w:p>
    <w:p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Competing interests</w:t>
      </w:r>
    </w:p>
    <w:p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authors declare no competing interests</w:t>
      </w:r>
    </w:p>
    <w:p>
      <w:pPr>
        <w:spacing w:line="360" w:lineRule="auto"/>
        <w:rPr>
          <w:rFonts w:ascii="Arial" w:hAnsi="Arial" w:cs="Arial"/>
          <w:sz w:val="24"/>
          <w:szCs w:val="24"/>
        </w:rPr>
      </w:pPr>
    </w:p>
    <w:p>
      <w:pPr>
        <w:spacing w:line="360" w:lineRule="auto"/>
        <w:rPr>
          <w:rFonts w:ascii="Arial" w:hAnsi="Arial" w:cs="Arial"/>
          <w:b/>
          <w:sz w:val="24"/>
        </w:rPr>
      </w:pPr>
    </w:p>
    <w:p>
      <w:pPr>
        <w:spacing w:line="360" w:lineRule="auto"/>
        <w:rPr>
          <w:rFonts w:ascii="Arial" w:hAnsi="Arial" w:cs="Arial"/>
          <w:b/>
          <w:sz w:val="24"/>
        </w:rPr>
      </w:pPr>
    </w:p>
    <w:p>
      <w:pPr>
        <w:spacing w:line="360" w:lineRule="auto"/>
        <w:rPr>
          <w:rFonts w:ascii="Arial" w:hAnsi="Arial" w:cs="Arial"/>
          <w:b/>
          <w:sz w:val="24"/>
        </w:rPr>
      </w:pPr>
    </w:p>
    <w:p>
      <w:pPr>
        <w:spacing w:line="360" w:lineRule="auto"/>
        <w:rPr>
          <w:rFonts w:ascii="Arial" w:hAnsi="Arial" w:cs="Arial"/>
          <w:b/>
          <w:sz w:val="24"/>
        </w:rPr>
      </w:pPr>
    </w:p>
    <w:p>
      <w:pPr>
        <w:spacing w:line="360" w:lineRule="auto"/>
        <w:rPr>
          <w:rFonts w:ascii="Arial" w:hAnsi="Arial" w:cs="Arial"/>
          <w:b/>
          <w:sz w:val="24"/>
        </w:rPr>
      </w:pPr>
    </w:p>
    <w:p>
      <w:pPr>
        <w:spacing w:line="360" w:lineRule="auto"/>
        <w:rPr>
          <w:rFonts w:ascii="Arial" w:hAnsi="Arial" w:cs="Arial"/>
          <w:b/>
          <w:sz w:val="24"/>
        </w:rPr>
      </w:pPr>
    </w:p>
    <w:p>
      <w:pPr>
        <w:spacing w:line="360" w:lineRule="auto"/>
        <w:rPr>
          <w:rFonts w:ascii="Arial" w:hAnsi="Arial" w:cs="Arial"/>
          <w:b/>
          <w:sz w:val="24"/>
        </w:rPr>
      </w:pPr>
    </w:p>
    <w:p>
      <w:pPr>
        <w:spacing w:line="360" w:lineRule="auto"/>
        <w:rPr>
          <w:rFonts w:ascii="Arial" w:hAnsi="Arial" w:cs="Arial"/>
          <w:b/>
          <w:sz w:val="24"/>
        </w:rPr>
      </w:pPr>
    </w:p>
    <w:p>
      <w:pPr>
        <w:spacing w:line="360" w:lineRule="auto"/>
        <w:rPr>
          <w:rFonts w:ascii="Arial" w:hAnsi="Arial" w:cs="Arial"/>
          <w:b/>
          <w:sz w:val="24"/>
        </w:rPr>
      </w:pPr>
    </w:p>
    <w:p>
      <w:pPr>
        <w:autoSpaceDE w:val="0"/>
        <w:autoSpaceDN w:val="0"/>
        <w:adjustRightInd w:val="0"/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b/>
          <w:bCs/>
          <w:i w:val="0"/>
          <w:caps w:val="0"/>
          <w:spacing w:val="0"/>
          <w:sz w:val="24"/>
          <w:szCs w:val="24"/>
          <w:shd w:val="clear"/>
          <w:lang w:eastAsia="zh-CN"/>
        </w:rPr>
        <w:t>Supplementary</w:t>
      </w:r>
      <w:r>
        <w:rPr>
          <w:rFonts w:ascii="Arial" w:hAnsi="Arial" w:cs="Arial" w:eastAsiaTheme="minorEastAsia"/>
          <w:b/>
          <w:bCs/>
          <w:i w:val="0"/>
          <w:caps w:val="0"/>
          <w:spacing w:val="0"/>
          <w:sz w:val="24"/>
          <w:szCs w:val="24"/>
          <w:shd w:val="clear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Figure 1. </w:t>
      </w:r>
      <w:r>
        <w:rPr>
          <w:rFonts w:ascii="Arial" w:hAnsi="Arial" w:cs="Arial"/>
          <w:bCs/>
          <w:sz w:val="24"/>
          <w:szCs w:val="24"/>
        </w:rPr>
        <w:t xml:space="preserve">Effects of CUDC-907 and </w:t>
      </w:r>
      <w:r>
        <w:rPr>
          <w:rFonts w:hint="eastAsia" w:ascii="Arial" w:hAnsi="Arial" w:cs="Arial"/>
          <w:bCs/>
          <w:sz w:val="24"/>
          <w:szCs w:val="24"/>
        </w:rPr>
        <w:t>olaparib</w:t>
      </w:r>
      <w:r>
        <w:rPr>
          <w:rFonts w:ascii="Arial" w:hAnsi="Arial" w:cs="Arial"/>
          <w:bCs/>
          <w:sz w:val="24"/>
          <w:szCs w:val="24"/>
        </w:rPr>
        <w:t xml:space="preserve"> on the expression of </w:t>
      </w:r>
      <w:r>
        <w:rPr>
          <w:rFonts w:hint="eastAsia" w:ascii="Arial" w:hAnsi="Arial" w:cs="Arial"/>
          <w:bCs/>
          <w:sz w:val="24"/>
          <w:szCs w:val="24"/>
        </w:rPr>
        <w:t>RAD5</w:t>
      </w:r>
      <w:r>
        <w:rPr>
          <w:rFonts w:hint="eastAsia" w:ascii="Arial" w:hAnsi="Arial" w:cs="Arial"/>
          <w:bCs/>
          <w:sz w:val="24"/>
          <w:szCs w:val="24"/>
          <w:lang w:val="en-US" w:eastAsia="zh-CN"/>
        </w:rPr>
        <w:t>1</w:t>
      </w:r>
      <w:r>
        <w:rPr>
          <w:rFonts w:ascii="Arial" w:hAnsi="Arial" w:cs="Arial"/>
          <w:bCs/>
          <w:sz w:val="24"/>
          <w:szCs w:val="24"/>
        </w:rPr>
        <w:t xml:space="preserve"> in SCLC cells.</w:t>
      </w:r>
      <w:r>
        <w:rPr>
          <w:rFonts w:ascii="Arial" w:hAnsi="Arial" w:cs="Arial"/>
          <w:sz w:val="24"/>
          <w:szCs w:val="24"/>
        </w:rPr>
        <w:t xml:space="preserve"> RT-qPCR analysis of </w:t>
      </w:r>
      <w:r>
        <w:rPr>
          <w:rFonts w:ascii="Arial" w:hAnsi="Arial" w:cs="Arial"/>
          <w:i/>
          <w:sz w:val="24"/>
          <w:szCs w:val="24"/>
        </w:rPr>
        <w:t>RAD51</w:t>
      </w:r>
      <w:r>
        <w:rPr>
          <w:rFonts w:ascii="Arial" w:hAnsi="Arial" w:cs="Arial"/>
          <w:sz w:val="24"/>
          <w:szCs w:val="24"/>
        </w:rPr>
        <w:t xml:space="preserve"> expression in SCLC cells treated as indicated drugs for 24 hours. Gene expression was normalized to </w:t>
      </w:r>
      <w:r>
        <w:rPr>
          <w:rFonts w:ascii="Arial" w:hAnsi="Arial" w:cs="Arial"/>
          <w:i/>
          <w:sz w:val="24"/>
          <w:szCs w:val="24"/>
        </w:rPr>
        <w:t>β-actin</w:t>
      </w:r>
      <w:r>
        <w:rPr>
          <w:rFonts w:ascii="Arial" w:hAnsi="Arial" w:cs="Arial"/>
          <w:sz w:val="24"/>
          <w:szCs w:val="24"/>
        </w:rPr>
        <w:t>. Error bars represent mean ± S.D. These data ar</w:t>
      </w:r>
      <w:bookmarkStart w:id="2" w:name="_GoBack"/>
      <w:bookmarkEnd w:id="2"/>
      <w:r>
        <w:rPr>
          <w:rFonts w:ascii="Arial" w:hAnsi="Arial" w:cs="Arial"/>
          <w:sz w:val="24"/>
          <w:szCs w:val="24"/>
        </w:rPr>
        <w:t>e representative of three independent experiments. *</w:t>
      </w:r>
      <w:r>
        <w:rPr>
          <w:rFonts w:ascii="Arial" w:hAnsi="Arial" w:cs="Arial"/>
          <w:i/>
          <w:iCs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 &lt; 0.05; **</w:t>
      </w:r>
      <w:r>
        <w:rPr>
          <w:rFonts w:ascii="Arial" w:hAnsi="Arial" w:cs="Arial"/>
          <w:i/>
          <w:iCs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 &lt; 0.01; ***</w:t>
      </w:r>
      <w:r>
        <w:rPr>
          <w:rFonts w:ascii="Arial" w:hAnsi="Arial" w:cs="Arial"/>
          <w:i/>
          <w:iCs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 &lt; 0.001 (Student’s </w:t>
      </w:r>
      <w:r>
        <w:rPr>
          <w:rFonts w:ascii="Arial" w:hAnsi="Arial" w:cs="Arial"/>
          <w:i/>
          <w:iCs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 test).</w:t>
      </w:r>
    </w:p>
    <w:p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b/>
          <w:bCs/>
          <w:i w:val="0"/>
          <w:caps w:val="0"/>
          <w:spacing w:val="0"/>
          <w:sz w:val="24"/>
          <w:szCs w:val="24"/>
          <w:shd w:val="clear"/>
          <w:lang w:eastAsia="zh-CN"/>
        </w:rPr>
        <w:t>Supplementary</w:t>
      </w:r>
      <w:r>
        <w:rPr>
          <w:rFonts w:ascii="Arial" w:hAnsi="Arial" w:cs="Arial"/>
          <w:b/>
          <w:bCs/>
          <w:sz w:val="24"/>
          <w:szCs w:val="24"/>
        </w:rPr>
        <w:t xml:space="preserve"> Figure 2. </w:t>
      </w:r>
      <w:r>
        <w:rPr>
          <w:rFonts w:ascii="Arial" w:hAnsi="Arial" w:cs="Arial"/>
          <w:bCs/>
          <w:sz w:val="24"/>
          <w:szCs w:val="24"/>
        </w:rPr>
        <w:t xml:space="preserve">Effects of CUDC-907 and </w:t>
      </w:r>
      <w:r>
        <w:rPr>
          <w:rFonts w:hint="eastAsia" w:ascii="Arial" w:hAnsi="Arial" w:cs="Arial"/>
          <w:bCs/>
          <w:sz w:val="24"/>
          <w:szCs w:val="24"/>
        </w:rPr>
        <w:t>olaparib</w:t>
      </w:r>
      <w:r>
        <w:rPr>
          <w:rFonts w:ascii="Arial" w:hAnsi="Arial" w:cs="Arial"/>
          <w:bCs/>
          <w:sz w:val="24"/>
          <w:szCs w:val="24"/>
        </w:rPr>
        <w:t xml:space="preserve"> on the expression of </w:t>
      </w:r>
      <w:r>
        <w:rPr>
          <w:rFonts w:hint="eastAsia" w:ascii="Arial" w:hAnsi="Arial" w:cs="Arial"/>
          <w:bCs/>
          <w:sz w:val="24"/>
          <w:szCs w:val="24"/>
        </w:rPr>
        <w:t>MYC targets</w:t>
      </w:r>
      <w:r>
        <w:rPr>
          <w:rFonts w:ascii="Arial" w:hAnsi="Arial" w:cs="Arial"/>
          <w:bCs/>
          <w:sz w:val="24"/>
          <w:szCs w:val="24"/>
        </w:rPr>
        <w:t xml:space="preserve"> in SCLC cells.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RT-qPCR analysis of </w:t>
      </w:r>
      <w:r>
        <w:rPr>
          <w:rFonts w:hint="eastAsia"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>expression</w:t>
      </w:r>
      <w:r>
        <w:rPr>
          <w:rFonts w:hint="eastAsia" w:ascii="Arial" w:hAnsi="Arial" w:cs="Arial"/>
          <w:sz w:val="24"/>
          <w:szCs w:val="24"/>
        </w:rPr>
        <w:t xml:space="preserve"> of </w:t>
      </w:r>
      <w:r>
        <w:rPr>
          <w:rFonts w:hint="eastAsia" w:ascii="Arial" w:hAnsi="Arial" w:cs="Arial"/>
          <w:bCs/>
          <w:sz w:val="24"/>
          <w:szCs w:val="24"/>
        </w:rPr>
        <w:t>MYC targets</w:t>
      </w:r>
      <w:r>
        <w:rPr>
          <w:rFonts w:ascii="Arial" w:hAnsi="Arial" w:cs="Arial"/>
          <w:sz w:val="24"/>
          <w:szCs w:val="24"/>
        </w:rPr>
        <w:t xml:space="preserve"> in SCLC cells treated as indicated drugs for 24 hours. Gene expression was normalized to </w:t>
      </w:r>
      <w:r>
        <w:rPr>
          <w:rFonts w:ascii="Arial" w:hAnsi="Arial" w:cs="Arial"/>
          <w:i/>
          <w:sz w:val="24"/>
          <w:szCs w:val="24"/>
        </w:rPr>
        <w:t>β-actin</w:t>
      </w:r>
      <w:r>
        <w:rPr>
          <w:rFonts w:ascii="Arial" w:hAnsi="Arial" w:cs="Arial"/>
          <w:sz w:val="24"/>
          <w:szCs w:val="24"/>
        </w:rPr>
        <w:t>. Error bars represent mean ± S.D.</w:t>
      </w:r>
    </w:p>
    <w:p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bCs/>
          <w:sz w:val="24"/>
          <w:szCs w:val="24"/>
        </w:rPr>
      </w:pPr>
      <w:r>
        <w:rPr>
          <w:rFonts w:hint="eastAsia" w:ascii="Arial" w:hAnsi="Arial" w:cs="Arial"/>
          <w:b/>
          <w:bCs/>
          <w:i w:val="0"/>
          <w:caps w:val="0"/>
          <w:spacing w:val="0"/>
          <w:sz w:val="24"/>
          <w:szCs w:val="24"/>
          <w:shd w:val="clear"/>
          <w:lang w:eastAsia="zh-CN"/>
        </w:rPr>
        <w:t>Supplementary</w:t>
      </w:r>
      <w:r>
        <w:rPr>
          <w:rFonts w:ascii="Arial" w:hAnsi="Arial" w:cs="Arial"/>
          <w:b/>
          <w:bCs/>
          <w:sz w:val="24"/>
          <w:szCs w:val="24"/>
        </w:rPr>
        <w:t xml:space="preserve"> Figure 3</w:t>
      </w:r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bCs/>
          <w:sz w:val="24"/>
          <w:szCs w:val="24"/>
        </w:rPr>
        <w:t xml:space="preserve">Effects of CUDC-907 and </w:t>
      </w:r>
      <w:r>
        <w:rPr>
          <w:rFonts w:hint="eastAsia" w:ascii="Arial" w:hAnsi="Arial" w:cs="Arial"/>
          <w:bCs/>
          <w:sz w:val="24"/>
          <w:szCs w:val="24"/>
        </w:rPr>
        <w:t>olaparib</w:t>
      </w:r>
      <w:r>
        <w:rPr>
          <w:rFonts w:ascii="Arial" w:hAnsi="Arial" w:cs="Arial"/>
          <w:bCs/>
          <w:sz w:val="24"/>
          <w:szCs w:val="24"/>
        </w:rPr>
        <w:t xml:space="preserve"> on the expression of </w:t>
      </w:r>
      <w:r>
        <w:rPr>
          <w:rFonts w:hint="eastAsia" w:ascii="Arial" w:hAnsi="Arial" w:cs="Arial"/>
          <w:bCs/>
          <w:sz w:val="24"/>
          <w:szCs w:val="24"/>
        </w:rPr>
        <w:t>MYC targets</w:t>
      </w:r>
      <w:r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i/>
          <w:sz w:val="24"/>
          <w:szCs w:val="24"/>
        </w:rPr>
        <w:t xml:space="preserve">in </w:t>
      </w:r>
      <w:r>
        <w:rPr>
          <w:rFonts w:hint="eastAsia" w:ascii="Arial" w:hAnsi="Arial" w:cs="Arial"/>
          <w:bCs/>
          <w:i/>
          <w:sz w:val="24"/>
          <w:szCs w:val="24"/>
        </w:rPr>
        <w:t>vivo</w:t>
      </w:r>
      <w:r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RT-qPCR analysis of </w:t>
      </w:r>
      <w:r>
        <w:rPr>
          <w:rFonts w:hint="eastAsia"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>expression</w:t>
      </w:r>
      <w:r>
        <w:rPr>
          <w:rFonts w:hint="eastAsia" w:ascii="Arial" w:hAnsi="Arial" w:cs="Arial"/>
          <w:sz w:val="24"/>
          <w:szCs w:val="24"/>
        </w:rPr>
        <w:t xml:space="preserve"> of </w:t>
      </w:r>
      <w:r>
        <w:rPr>
          <w:rFonts w:hint="eastAsia" w:ascii="Arial" w:hAnsi="Arial" w:cs="Arial"/>
          <w:bCs/>
          <w:sz w:val="24"/>
          <w:szCs w:val="24"/>
        </w:rPr>
        <w:t>MYC targets</w:t>
      </w:r>
      <w:r>
        <w:rPr>
          <w:rFonts w:ascii="Arial" w:hAnsi="Arial" w:cs="Arial"/>
          <w:sz w:val="24"/>
          <w:szCs w:val="24"/>
        </w:rPr>
        <w:t xml:space="preserve"> in </w:t>
      </w:r>
      <w:r>
        <w:rPr>
          <w:rFonts w:hint="eastAsia" w:ascii="Arial" w:hAnsi="Arial" w:cs="Arial"/>
          <w:sz w:val="24"/>
          <w:szCs w:val="24"/>
        </w:rPr>
        <w:t>PDX tissues</w:t>
      </w:r>
      <w:r>
        <w:rPr>
          <w:rFonts w:ascii="Arial" w:hAnsi="Arial" w:cs="Arial"/>
          <w:sz w:val="24"/>
          <w:szCs w:val="24"/>
        </w:rPr>
        <w:t xml:space="preserve"> treated as indicated drugs for </w:t>
      </w:r>
      <w:r>
        <w:rPr>
          <w:rFonts w:hint="eastAsia" w:ascii="Arial" w:hAnsi="Arial" w:cs="Arial"/>
          <w:sz w:val="24"/>
          <w:szCs w:val="24"/>
        </w:rPr>
        <w:t>15 days</w:t>
      </w:r>
      <w:r>
        <w:rPr>
          <w:rFonts w:ascii="Arial" w:hAnsi="Arial" w:cs="Arial"/>
          <w:sz w:val="24"/>
          <w:szCs w:val="24"/>
        </w:rPr>
        <w:t xml:space="preserve">. Gene expression was normalized to </w:t>
      </w:r>
      <w:r>
        <w:rPr>
          <w:rFonts w:ascii="Arial" w:hAnsi="Arial" w:cs="Arial"/>
          <w:i/>
          <w:sz w:val="24"/>
          <w:szCs w:val="24"/>
        </w:rPr>
        <w:t>β-actin</w:t>
      </w:r>
      <w:r>
        <w:rPr>
          <w:rFonts w:ascii="Arial" w:hAnsi="Arial" w:cs="Arial"/>
          <w:sz w:val="24"/>
          <w:szCs w:val="24"/>
        </w:rPr>
        <w:t>. Error bars represent mean ± S.D.</w:t>
      </w:r>
    </w:p>
    <w:p>
      <w:pPr>
        <w:autoSpaceDE w:val="0"/>
        <w:autoSpaceDN w:val="0"/>
        <w:adjustRightInd w:val="0"/>
        <w:spacing w:line="480" w:lineRule="auto"/>
        <w:rPr>
          <w:rFonts w:ascii="Arial" w:hAnsi="Arial" w:cs="Arial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88A"/>
    <w:rsid w:val="000C54D4"/>
    <w:rsid w:val="0015556C"/>
    <w:rsid w:val="001766C8"/>
    <w:rsid w:val="00216DD7"/>
    <w:rsid w:val="002A3020"/>
    <w:rsid w:val="002D3839"/>
    <w:rsid w:val="002E202A"/>
    <w:rsid w:val="002F5A8C"/>
    <w:rsid w:val="003417FC"/>
    <w:rsid w:val="003F5133"/>
    <w:rsid w:val="0044766E"/>
    <w:rsid w:val="00450C43"/>
    <w:rsid w:val="0054613C"/>
    <w:rsid w:val="005552E0"/>
    <w:rsid w:val="005C090B"/>
    <w:rsid w:val="005F447D"/>
    <w:rsid w:val="00697EFB"/>
    <w:rsid w:val="006D2689"/>
    <w:rsid w:val="006F5BA6"/>
    <w:rsid w:val="00961CC9"/>
    <w:rsid w:val="00984FF9"/>
    <w:rsid w:val="00AD488A"/>
    <w:rsid w:val="00BB52A1"/>
    <w:rsid w:val="00BD3390"/>
    <w:rsid w:val="00C85639"/>
    <w:rsid w:val="00E4224B"/>
    <w:rsid w:val="00E9232C"/>
    <w:rsid w:val="00F744C7"/>
    <w:rsid w:val="00F8020D"/>
    <w:rsid w:val="00FB1172"/>
    <w:rsid w:val="00FB596D"/>
    <w:rsid w:val="00FF19DA"/>
    <w:rsid w:val="07371153"/>
    <w:rsid w:val="128464EE"/>
    <w:rsid w:val="1E397CF7"/>
    <w:rsid w:val="30126E3A"/>
    <w:rsid w:val="388932FA"/>
    <w:rsid w:val="512A273B"/>
    <w:rsid w:val="7941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customStyle="1" w:styleId="9">
    <w:name w:val="Default"/>
    <w:uiPriority w:val="0"/>
    <w:pPr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kern w:val="0"/>
      <w:sz w:val="24"/>
      <w:szCs w:val="24"/>
      <w:lang w:val="en-US" w:eastAsia="zh-CN" w:bidi="ar-SA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3">
    <w:name w:val="A7"/>
    <w:uiPriority w:val="99"/>
    <w:rPr>
      <w:rFonts w:cs="Verdana"/>
      <w:color w:val="00000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179</Words>
  <Characters>1022</Characters>
  <Lines>8</Lines>
  <Paragraphs>2</Paragraphs>
  <TotalTime>1</TotalTime>
  <ScaleCrop>false</ScaleCrop>
  <LinksUpToDate>false</LinksUpToDate>
  <CharactersWithSpaces>1199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2020-07-01T08:45:00Z</dcterms:created>
  <dc:creator>xing bian</dc:creator>
  <cp:lastModifiedBy>英</cp:lastModifiedBy>
  <dcterms:modified xsi:type="dcterms:W3CDTF">2020-07-16T01:02:15Z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