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C455" w14:textId="77777777" w:rsidR="008850EA" w:rsidRPr="000F592A" w:rsidRDefault="008850EA" w:rsidP="008850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</w:pPr>
      <w:bookmarkStart w:id="0" w:name="_GoBack"/>
      <w:bookmarkEnd w:id="0"/>
      <w:r w:rsidRPr="000F592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tr-TR"/>
        </w:rPr>
        <w:t>Supp Table 1</w:t>
      </w:r>
      <w:r w:rsidRPr="000F59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  <w:t xml:space="preserve"> </w:t>
      </w:r>
      <w:bookmarkStart w:id="1" w:name="OLE_LINK34"/>
      <w:r w:rsidRPr="000F59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  <w:t xml:space="preserve">Distribution of patients according to clinical phenotypes, </w:t>
      </w:r>
      <w:r w:rsidRPr="000F592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 w:eastAsia="tr-TR"/>
        </w:rPr>
        <w:t>TRPV4</w:t>
      </w:r>
      <w:r w:rsidRPr="000F59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  <w:t xml:space="preserve"> mutations and protein characteristics.</w:t>
      </w:r>
    </w:p>
    <w:bookmarkEnd w:id="1"/>
    <w:p w14:paraId="4B0BB0F1" w14:textId="77777777" w:rsidR="008850EA" w:rsidRPr="000F592A" w:rsidRDefault="008850EA" w:rsidP="008850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</w:pPr>
    </w:p>
    <w:tbl>
      <w:tblPr>
        <w:tblStyle w:val="TabloKlavuzu"/>
        <w:tblW w:w="9374" w:type="dxa"/>
        <w:tblLook w:val="04A0" w:firstRow="1" w:lastRow="0" w:firstColumn="1" w:lastColumn="0" w:noHBand="0" w:noVBand="1"/>
      </w:tblPr>
      <w:tblGrid>
        <w:gridCol w:w="1030"/>
        <w:gridCol w:w="1283"/>
        <w:gridCol w:w="696"/>
        <w:gridCol w:w="1503"/>
        <w:gridCol w:w="1756"/>
        <w:gridCol w:w="1490"/>
        <w:gridCol w:w="1616"/>
      </w:tblGrid>
      <w:tr w:rsidR="008850EA" w:rsidRPr="000F592A" w14:paraId="5BCACCFA" w14:textId="77777777" w:rsidTr="00266745">
        <w:trPr>
          <w:trHeight w:val="480"/>
        </w:trPr>
        <w:tc>
          <w:tcPr>
            <w:tcW w:w="1030" w:type="dxa"/>
          </w:tcPr>
          <w:p w14:paraId="1A8FF302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Patient number</w:t>
            </w:r>
          </w:p>
        </w:tc>
        <w:tc>
          <w:tcPr>
            <w:tcW w:w="1283" w:type="dxa"/>
          </w:tcPr>
          <w:p w14:paraId="1F6A44F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Clinical phenotype</w:t>
            </w:r>
          </w:p>
        </w:tc>
        <w:tc>
          <w:tcPr>
            <w:tcW w:w="696" w:type="dxa"/>
          </w:tcPr>
          <w:p w14:paraId="4AE42B71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exon</w:t>
            </w:r>
          </w:p>
        </w:tc>
        <w:tc>
          <w:tcPr>
            <w:tcW w:w="1503" w:type="dxa"/>
          </w:tcPr>
          <w:p w14:paraId="2E636FFC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Transcript number</w:t>
            </w:r>
          </w:p>
        </w:tc>
        <w:tc>
          <w:tcPr>
            <w:tcW w:w="1756" w:type="dxa"/>
          </w:tcPr>
          <w:p w14:paraId="37CBD989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Nucleotide</w:t>
            </w:r>
          </w:p>
          <w:p w14:paraId="22651F1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substitution</w:t>
            </w:r>
          </w:p>
        </w:tc>
        <w:tc>
          <w:tcPr>
            <w:tcW w:w="1490" w:type="dxa"/>
          </w:tcPr>
          <w:p w14:paraId="1C6638F4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proofErr w:type="spellStart"/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>Aminoacid</w:t>
            </w:r>
            <w:proofErr w:type="spellEnd"/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 xml:space="preserve"> change</w:t>
            </w:r>
          </w:p>
        </w:tc>
        <w:tc>
          <w:tcPr>
            <w:tcW w:w="1616" w:type="dxa"/>
          </w:tcPr>
          <w:p w14:paraId="18A3B7B1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b/>
                <w:color w:val="000000" w:themeColor="text1"/>
                <w:lang w:val="en-US" w:eastAsia="tr-TR"/>
              </w:rPr>
              <w:t xml:space="preserve">Pathogenicity </w:t>
            </w:r>
          </w:p>
        </w:tc>
      </w:tr>
      <w:tr w:rsidR="008850EA" w:rsidRPr="000F592A" w14:paraId="6A663596" w14:textId="77777777" w:rsidTr="00266745">
        <w:trPr>
          <w:trHeight w:val="239"/>
        </w:trPr>
        <w:tc>
          <w:tcPr>
            <w:tcW w:w="1030" w:type="dxa"/>
          </w:tcPr>
          <w:p w14:paraId="0E267E32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1-5</w:t>
            </w:r>
          </w:p>
        </w:tc>
        <w:tc>
          <w:tcPr>
            <w:tcW w:w="1283" w:type="dxa"/>
          </w:tcPr>
          <w:p w14:paraId="75C402CD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SMDK</w:t>
            </w:r>
          </w:p>
        </w:tc>
        <w:tc>
          <w:tcPr>
            <w:tcW w:w="696" w:type="dxa"/>
          </w:tcPr>
          <w:p w14:paraId="7BAC6CFA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11</w:t>
            </w:r>
          </w:p>
        </w:tc>
        <w:tc>
          <w:tcPr>
            <w:tcW w:w="1503" w:type="dxa"/>
          </w:tcPr>
          <w:p w14:paraId="20DDB26D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7412BFF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c.1781G&gt;A</w:t>
            </w:r>
          </w:p>
        </w:tc>
        <w:tc>
          <w:tcPr>
            <w:tcW w:w="1490" w:type="dxa"/>
          </w:tcPr>
          <w:p w14:paraId="0E5B1B5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p.Arg594His</w:t>
            </w:r>
          </w:p>
        </w:tc>
        <w:tc>
          <w:tcPr>
            <w:tcW w:w="1616" w:type="dxa"/>
          </w:tcPr>
          <w:p w14:paraId="58345322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  <w:tr w:rsidR="008850EA" w:rsidRPr="000F592A" w14:paraId="4013299E" w14:textId="77777777" w:rsidTr="00266745">
        <w:trPr>
          <w:trHeight w:val="221"/>
        </w:trPr>
        <w:tc>
          <w:tcPr>
            <w:tcW w:w="1030" w:type="dxa"/>
          </w:tcPr>
          <w:p w14:paraId="6E22AD7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6</w:t>
            </w:r>
          </w:p>
        </w:tc>
        <w:tc>
          <w:tcPr>
            <w:tcW w:w="1283" w:type="dxa"/>
          </w:tcPr>
          <w:p w14:paraId="436545E8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MD</w:t>
            </w:r>
          </w:p>
        </w:tc>
        <w:tc>
          <w:tcPr>
            <w:tcW w:w="696" w:type="dxa"/>
          </w:tcPr>
          <w:p w14:paraId="1F37BE68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15</w:t>
            </w:r>
          </w:p>
        </w:tc>
        <w:tc>
          <w:tcPr>
            <w:tcW w:w="1503" w:type="dxa"/>
          </w:tcPr>
          <w:p w14:paraId="38906F8D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181450E9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c.2396C&gt;G</w:t>
            </w:r>
          </w:p>
        </w:tc>
        <w:tc>
          <w:tcPr>
            <w:tcW w:w="1490" w:type="dxa"/>
          </w:tcPr>
          <w:p w14:paraId="5E70C892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p.Pro799Arg</w:t>
            </w:r>
          </w:p>
        </w:tc>
        <w:tc>
          <w:tcPr>
            <w:tcW w:w="1616" w:type="dxa"/>
          </w:tcPr>
          <w:p w14:paraId="27CB5F49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  <w:tr w:rsidR="008850EA" w:rsidRPr="000F592A" w14:paraId="2DF8B517" w14:textId="77777777" w:rsidTr="00266745">
        <w:trPr>
          <w:trHeight w:val="276"/>
        </w:trPr>
        <w:tc>
          <w:tcPr>
            <w:tcW w:w="1030" w:type="dxa"/>
          </w:tcPr>
          <w:p w14:paraId="3A3071C8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7</w:t>
            </w:r>
          </w:p>
        </w:tc>
        <w:tc>
          <w:tcPr>
            <w:tcW w:w="1283" w:type="dxa"/>
          </w:tcPr>
          <w:p w14:paraId="6F89E842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MD</w:t>
            </w:r>
          </w:p>
        </w:tc>
        <w:tc>
          <w:tcPr>
            <w:tcW w:w="696" w:type="dxa"/>
          </w:tcPr>
          <w:p w14:paraId="18A02DAE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15</w:t>
            </w:r>
          </w:p>
        </w:tc>
        <w:tc>
          <w:tcPr>
            <w:tcW w:w="1503" w:type="dxa"/>
          </w:tcPr>
          <w:p w14:paraId="54052FDF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660A58AC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 xml:space="preserve">c.2396C&gt;T </w:t>
            </w:r>
          </w:p>
        </w:tc>
        <w:tc>
          <w:tcPr>
            <w:tcW w:w="1490" w:type="dxa"/>
          </w:tcPr>
          <w:p w14:paraId="35F8B672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p.Pro799Leu</w:t>
            </w:r>
          </w:p>
        </w:tc>
        <w:tc>
          <w:tcPr>
            <w:tcW w:w="1616" w:type="dxa"/>
          </w:tcPr>
          <w:p w14:paraId="217C05D6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  <w:tr w:rsidR="008850EA" w:rsidRPr="000F592A" w14:paraId="0C6EA24C" w14:textId="77777777" w:rsidTr="00266745">
        <w:trPr>
          <w:trHeight w:val="518"/>
        </w:trPr>
        <w:tc>
          <w:tcPr>
            <w:tcW w:w="1030" w:type="dxa"/>
          </w:tcPr>
          <w:p w14:paraId="3947FEBC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8</w:t>
            </w:r>
          </w:p>
        </w:tc>
        <w:tc>
          <w:tcPr>
            <w:tcW w:w="1283" w:type="dxa"/>
          </w:tcPr>
          <w:p w14:paraId="1A0441CC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MD</w:t>
            </w:r>
          </w:p>
        </w:tc>
        <w:tc>
          <w:tcPr>
            <w:tcW w:w="696" w:type="dxa"/>
          </w:tcPr>
          <w:p w14:paraId="305CFE3C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15</w:t>
            </w:r>
          </w:p>
        </w:tc>
        <w:tc>
          <w:tcPr>
            <w:tcW w:w="1503" w:type="dxa"/>
          </w:tcPr>
          <w:p w14:paraId="7A921671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5173D44D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c.2390A&gt;G</w:t>
            </w:r>
          </w:p>
        </w:tc>
        <w:tc>
          <w:tcPr>
            <w:tcW w:w="1490" w:type="dxa"/>
          </w:tcPr>
          <w:p w14:paraId="63A47380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p.Glu797Gly</w:t>
            </w:r>
          </w:p>
          <w:p w14:paraId="36EFD40F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616" w:type="dxa"/>
          </w:tcPr>
          <w:p w14:paraId="29A72622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Likely pathogenic (novel)</w:t>
            </w:r>
          </w:p>
        </w:tc>
      </w:tr>
      <w:tr w:rsidR="008850EA" w:rsidRPr="000F592A" w14:paraId="166E012B" w14:textId="77777777" w:rsidTr="00266745">
        <w:trPr>
          <w:trHeight w:val="518"/>
        </w:trPr>
        <w:tc>
          <w:tcPr>
            <w:tcW w:w="1030" w:type="dxa"/>
          </w:tcPr>
          <w:p w14:paraId="0B54FD14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9</w:t>
            </w:r>
          </w:p>
        </w:tc>
        <w:tc>
          <w:tcPr>
            <w:tcW w:w="1283" w:type="dxa"/>
          </w:tcPr>
          <w:p w14:paraId="567D95F9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SEDM</w:t>
            </w:r>
          </w:p>
        </w:tc>
        <w:tc>
          <w:tcPr>
            <w:tcW w:w="696" w:type="dxa"/>
          </w:tcPr>
          <w:p w14:paraId="2AEF43A8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8</w:t>
            </w:r>
          </w:p>
        </w:tc>
        <w:tc>
          <w:tcPr>
            <w:tcW w:w="1503" w:type="dxa"/>
          </w:tcPr>
          <w:p w14:paraId="38034179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6FF396B2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c.1412_1414del</w:t>
            </w:r>
          </w:p>
          <w:p w14:paraId="6EE91F66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490" w:type="dxa"/>
          </w:tcPr>
          <w:p w14:paraId="00668C43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p.Phe471del</w:t>
            </w:r>
          </w:p>
          <w:p w14:paraId="791F91B8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616" w:type="dxa"/>
          </w:tcPr>
          <w:p w14:paraId="4B264691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  <w:tr w:rsidR="008850EA" w:rsidRPr="000F592A" w14:paraId="14E95CDF" w14:textId="77777777" w:rsidTr="00266745">
        <w:trPr>
          <w:trHeight w:val="234"/>
        </w:trPr>
        <w:tc>
          <w:tcPr>
            <w:tcW w:w="1030" w:type="dxa"/>
          </w:tcPr>
          <w:p w14:paraId="152F95F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10,11</w:t>
            </w:r>
          </w:p>
        </w:tc>
        <w:tc>
          <w:tcPr>
            <w:tcW w:w="1283" w:type="dxa"/>
          </w:tcPr>
          <w:p w14:paraId="5D98887B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BCYM3</w:t>
            </w:r>
          </w:p>
        </w:tc>
        <w:tc>
          <w:tcPr>
            <w:tcW w:w="696" w:type="dxa"/>
          </w:tcPr>
          <w:p w14:paraId="3FB8C487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12</w:t>
            </w:r>
          </w:p>
        </w:tc>
        <w:tc>
          <w:tcPr>
            <w:tcW w:w="1503" w:type="dxa"/>
          </w:tcPr>
          <w:p w14:paraId="2E5853D3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0D9484E5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c.1847G&gt;A</w:t>
            </w:r>
          </w:p>
          <w:p w14:paraId="15BB045C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490" w:type="dxa"/>
          </w:tcPr>
          <w:p w14:paraId="42A2F59E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p.Arg616Gln</w:t>
            </w:r>
          </w:p>
          <w:p w14:paraId="00B59115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616" w:type="dxa"/>
          </w:tcPr>
          <w:p w14:paraId="508B8E92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  <w:tr w:rsidR="008850EA" w:rsidRPr="000F592A" w14:paraId="3327DFD8" w14:textId="77777777" w:rsidTr="00266745">
        <w:trPr>
          <w:trHeight w:val="415"/>
        </w:trPr>
        <w:tc>
          <w:tcPr>
            <w:tcW w:w="1030" w:type="dxa"/>
          </w:tcPr>
          <w:p w14:paraId="579C902E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12</w:t>
            </w:r>
          </w:p>
        </w:tc>
        <w:tc>
          <w:tcPr>
            <w:tcW w:w="1283" w:type="dxa"/>
          </w:tcPr>
          <w:p w14:paraId="2C542541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BCYM3</w:t>
            </w:r>
          </w:p>
        </w:tc>
        <w:tc>
          <w:tcPr>
            <w:tcW w:w="696" w:type="dxa"/>
          </w:tcPr>
          <w:p w14:paraId="332601B6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11</w:t>
            </w:r>
          </w:p>
        </w:tc>
        <w:tc>
          <w:tcPr>
            <w:tcW w:w="1503" w:type="dxa"/>
          </w:tcPr>
          <w:p w14:paraId="541C6773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60B999CA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c.1778C&gt;T</w:t>
            </w:r>
          </w:p>
          <w:p w14:paraId="4B4DD39E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490" w:type="dxa"/>
          </w:tcPr>
          <w:p w14:paraId="03BC2A32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p.Thr593Ile</w:t>
            </w:r>
          </w:p>
          <w:p w14:paraId="64AB72D0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616" w:type="dxa"/>
          </w:tcPr>
          <w:p w14:paraId="20608DAD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Likely pathogenic</w:t>
            </w:r>
          </w:p>
        </w:tc>
      </w:tr>
      <w:tr w:rsidR="008850EA" w:rsidRPr="000F592A" w14:paraId="4A46E04E" w14:textId="77777777" w:rsidTr="00266745">
        <w:trPr>
          <w:trHeight w:val="186"/>
        </w:trPr>
        <w:tc>
          <w:tcPr>
            <w:tcW w:w="1030" w:type="dxa"/>
          </w:tcPr>
          <w:p w14:paraId="1BC32B93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13</w:t>
            </w:r>
          </w:p>
        </w:tc>
        <w:tc>
          <w:tcPr>
            <w:tcW w:w="1283" w:type="dxa"/>
          </w:tcPr>
          <w:p w14:paraId="296B7288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CDSMA</w:t>
            </w:r>
          </w:p>
        </w:tc>
        <w:tc>
          <w:tcPr>
            <w:tcW w:w="696" w:type="dxa"/>
          </w:tcPr>
          <w:p w14:paraId="1A1593DD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5</w:t>
            </w:r>
          </w:p>
        </w:tc>
        <w:tc>
          <w:tcPr>
            <w:tcW w:w="1503" w:type="dxa"/>
          </w:tcPr>
          <w:p w14:paraId="48D65190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NM_21625.5</w:t>
            </w:r>
          </w:p>
        </w:tc>
        <w:tc>
          <w:tcPr>
            <w:tcW w:w="1756" w:type="dxa"/>
          </w:tcPr>
          <w:p w14:paraId="6103D7B4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c.806G&gt;A</w:t>
            </w:r>
          </w:p>
          <w:p w14:paraId="6B76FEC9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490" w:type="dxa"/>
          </w:tcPr>
          <w:p w14:paraId="4F196286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p.Arg269His</w:t>
            </w:r>
          </w:p>
          <w:p w14:paraId="1BE5921D" w14:textId="77777777" w:rsidR="008850EA" w:rsidRPr="000F592A" w:rsidRDefault="008850EA" w:rsidP="002667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</w:p>
        </w:tc>
        <w:tc>
          <w:tcPr>
            <w:tcW w:w="1616" w:type="dxa"/>
          </w:tcPr>
          <w:p w14:paraId="5123176F" w14:textId="77777777" w:rsidR="008850EA" w:rsidRPr="000F592A" w:rsidRDefault="008850EA" w:rsidP="0026674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 w:eastAsia="tr-TR"/>
              </w:rPr>
            </w:pPr>
            <w:r w:rsidRPr="000F592A">
              <w:rPr>
                <w:rFonts w:ascii="Times New Roman" w:hAnsi="Times New Roman"/>
                <w:color w:val="000000" w:themeColor="text1"/>
                <w:lang w:val="en-US" w:eastAsia="tr-TR"/>
              </w:rPr>
              <w:t>Pathogenic</w:t>
            </w:r>
          </w:p>
        </w:tc>
      </w:tr>
    </w:tbl>
    <w:p w14:paraId="1C17E828" w14:textId="77777777" w:rsidR="008850EA" w:rsidRDefault="008850EA" w:rsidP="008850E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</w:pPr>
    </w:p>
    <w:p w14:paraId="5C31F583" w14:textId="77777777" w:rsidR="008850EA" w:rsidRDefault="008850EA" w:rsidP="008850E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</w:pPr>
    </w:p>
    <w:p w14:paraId="03A47829" w14:textId="77777777" w:rsidR="008850EA" w:rsidRPr="000F592A" w:rsidRDefault="008850EA" w:rsidP="008850E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</w:pPr>
      <w:r w:rsidRPr="00FA2BA9">
        <w:rPr>
          <w:rFonts w:ascii="Times New Roman" w:hAnsi="Times New Roman"/>
          <w:b/>
          <w:bCs/>
          <w:sz w:val="18"/>
          <w:szCs w:val="18"/>
          <w:lang w:val="en-US"/>
        </w:rPr>
        <w:t>Abbreviations</w:t>
      </w:r>
      <w:r w:rsidRPr="00FA2BA9">
        <w:rPr>
          <w:rFonts w:ascii="Times New Roman" w:hAnsi="Times New Roman"/>
          <w:sz w:val="18"/>
          <w:szCs w:val="18"/>
          <w:lang w:val="en-US"/>
        </w:rPr>
        <w:t xml:space="preserve">: </w:t>
      </w:r>
      <w:r w:rsidRPr="0027724D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  <w:lang w:val="en-US" w:eastAsia="tr-TR"/>
        </w:rPr>
        <w:t>BCYM3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 xml:space="preserve"> </w:t>
      </w:r>
      <w:r w:rsidRPr="000F592A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>Brachyolmia type 3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 xml:space="preserve">, </w:t>
      </w:r>
      <w:r w:rsidRPr="000F7562">
        <w:rPr>
          <w:rFonts w:ascii="Times New Roman" w:hAnsi="Times New Roman"/>
          <w:i/>
          <w:iCs/>
          <w:sz w:val="18"/>
          <w:szCs w:val="18"/>
          <w:lang w:val="en-US"/>
        </w:rPr>
        <w:t>CDSMA</w:t>
      </w:r>
      <w:r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FA2BA9">
        <w:rPr>
          <w:rFonts w:ascii="Times New Roman" w:hAnsi="Times New Roman"/>
          <w:sz w:val="18"/>
          <w:szCs w:val="18"/>
          <w:lang w:val="en-US"/>
        </w:rPr>
        <w:t>congenital distal spinal muscular atrophy,</w:t>
      </w:r>
      <w:r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0F7562">
        <w:rPr>
          <w:rFonts w:ascii="Times New Roman" w:hAnsi="Times New Roman"/>
          <w:i/>
          <w:iCs/>
          <w:sz w:val="18"/>
          <w:szCs w:val="18"/>
          <w:lang w:val="en-US"/>
        </w:rPr>
        <w:t>SEDM</w:t>
      </w:r>
      <w:r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FA2BA9">
        <w:rPr>
          <w:rFonts w:ascii="Times New Roman" w:hAnsi="Times New Roman"/>
          <w:sz w:val="18"/>
          <w:szCs w:val="18"/>
          <w:lang w:val="en-US"/>
        </w:rPr>
        <w:t>spondyloepiphyseal dysplasia Maroteaux type,</w:t>
      </w:r>
      <w:r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27724D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  <w:lang w:val="en-US" w:eastAsia="tr-TR"/>
        </w:rPr>
        <w:t>SMDK</w:t>
      </w:r>
      <w:r w:rsidRPr="000F592A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 xml:space="preserve"> Spondylometaphyseal dysplasia Kozlowski type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 xml:space="preserve">, </w:t>
      </w:r>
      <w:r w:rsidRPr="0027724D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  <w:lang w:val="en-US" w:eastAsia="tr-TR"/>
        </w:rPr>
        <w:t>MD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 xml:space="preserve"> </w:t>
      </w:r>
      <w:r w:rsidRPr="000F592A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tr-TR"/>
        </w:rPr>
        <w:t>Metatropic dysplasia</w:t>
      </w:r>
    </w:p>
    <w:p w14:paraId="57A28101" w14:textId="77777777" w:rsidR="008850EA" w:rsidRPr="000F592A" w:rsidRDefault="008850EA" w:rsidP="008850EA">
      <w:pPr>
        <w:spacing w:after="0" w:line="48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tr-TR"/>
        </w:rPr>
      </w:pPr>
    </w:p>
    <w:p w14:paraId="103BE17A" w14:textId="77777777" w:rsidR="008850EA" w:rsidRDefault="008850EA" w:rsidP="008850EA"/>
    <w:p w14:paraId="230DDF53" w14:textId="77777777" w:rsidR="00896E96" w:rsidRDefault="00896E96"/>
    <w:sectPr w:rsidR="00896E96" w:rsidSect="008850EA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0EA"/>
    <w:rsid w:val="00034E21"/>
    <w:rsid w:val="00053F72"/>
    <w:rsid w:val="000665B2"/>
    <w:rsid w:val="000C26E2"/>
    <w:rsid w:val="000D7B24"/>
    <w:rsid w:val="00104D5D"/>
    <w:rsid w:val="00116A5D"/>
    <w:rsid w:val="00152704"/>
    <w:rsid w:val="00173366"/>
    <w:rsid w:val="0018765B"/>
    <w:rsid w:val="0020656E"/>
    <w:rsid w:val="0021371C"/>
    <w:rsid w:val="002E0B26"/>
    <w:rsid w:val="00342DF0"/>
    <w:rsid w:val="00346506"/>
    <w:rsid w:val="00383918"/>
    <w:rsid w:val="00383B2B"/>
    <w:rsid w:val="003B227B"/>
    <w:rsid w:val="003E4AB6"/>
    <w:rsid w:val="003E68AE"/>
    <w:rsid w:val="004153C5"/>
    <w:rsid w:val="00435CAD"/>
    <w:rsid w:val="00436B3B"/>
    <w:rsid w:val="0044748C"/>
    <w:rsid w:val="00484C5B"/>
    <w:rsid w:val="00487186"/>
    <w:rsid w:val="004965BA"/>
    <w:rsid w:val="004C22D8"/>
    <w:rsid w:val="004C64A0"/>
    <w:rsid w:val="004E11AC"/>
    <w:rsid w:val="004E2DFB"/>
    <w:rsid w:val="005A1C37"/>
    <w:rsid w:val="005A3B96"/>
    <w:rsid w:val="005A71C2"/>
    <w:rsid w:val="005D521B"/>
    <w:rsid w:val="005D6D2E"/>
    <w:rsid w:val="00606E84"/>
    <w:rsid w:val="00615315"/>
    <w:rsid w:val="00632AE6"/>
    <w:rsid w:val="00646B27"/>
    <w:rsid w:val="00652982"/>
    <w:rsid w:val="006805C9"/>
    <w:rsid w:val="006925CE"/>
    <w:rsid w:val="006939CB"/>
    <w:rsid w:val="006B1593"/>
    <w:rsid w:val="006B369F"/>
    <w:rsid w:val="006F0DA0"/>
    <w:rsid w:val="006F7941"/>
    <w:rsid w:val="00700CB6"/>
    <w:rsid w:val="00700F44"/>
    <w:rsid w:val="00735187"/>
    <w:rsid w:val="00750487"/>
    <w:rsid w:val="00754289"/>
    <w:rsid w:val="007A10BA"/>
    <w:rsid w:val="007C1680"/>
    <w:rsid w:val="00847281"/>
    <w:rsid w:val="008850EA"/>
    <w:rsid w:val="00896E96"/>
    <w:rsid w:val="008D6247"/>
    <w:rsid w:val="008E57BC"/>
    <w:rsid w:val="008F1E86"/>
    <w:rsid w:val="009169FD"/>
    <w:rsid w:val="009170E7"/>
    <w:rsid w:val="0093555E"/>
    <w:rsid w:val="00940575"/>
    <w:rsid w:val="009473D0"/>
    <w:rsid w:val="009673A3"/>
    <w:rsid w:val="009923E0"/>
    <w:rsid w:val="009B3587"/>
    <w:rsid w:val="009B6270"/>
    <w:rsid w:val="009C3C70"/>
    <w:rsid w:val="00A04ABA"/>
    <w:rsid w:val="00A26744"/>
    <w:rsid w:val="00A45571"/>
    <w:rsid w:val="00A74252"/>
    <w:rsid w:val="00A770E0"/>
    <w:rsid w:val="00A87150"/>
    <w:rsid w:val="00A97465"/>
    <w:rsid w:val="00AD0841"/>
    <w:rsid w:val="00B11073"/>
    <w:rsid w:val="00B25645"/>
    <w:rsid w:val="00B42556"/>
    <w:rsid w:val="00B4761D"/>
    <w:rsid w:val="00B8271B"/>
    <w:rsid w:val="00B9367F"/>
    <w:rsid w:val="00B93C56"/>
    <w:rsid w:val="00BA150F"/>
    <w:rsid w:val="00BA1F70"/>
    <w:rsid w:val="00BF649B"/>
    <w:rsid w:val="00C13185"/>
    <w:rsid w:val="00C23ED5"/>
    <w:rsid w:val="00C315EE"/>
    <w:rsid w:val="00C901DB"/>
    <w:rsid w:val="00CB248C"/>
    <w:rsid w:val="00CC25AF"/>
    <w:rsid w:val="00CD778B"/>
    <w:rsid w:val="00D265DC"/>
    <w:rsid w:val="00D71402"/>
    <w:rsid w:val="00D902B7"/>
    <w:rsid w:val="00DD0E0B"/>
    <w:rsid w:val="00DF61D2"/>
    <w:rsid w:val="00E148EA"/>
    <w:rsid w:val="00E233CB"/>
    <w:rsid w:val="00E46678"/>
    <w:rsid w:val="00E72051"/>
    <w:rsid w:val="00E80B82"/>
    <w:rsid w:val="00E836B0"/>
    <w:rsid w:val="00E879E6"/>
    <w:rsid w:val="00EE09DC"/>
    <w:rsid w:val="00EE14E9"/>
    <w:rsid w:val="00F00B20"/>
    <w:rsid w:val="00F03DB3"/>
    <w:rsid w:val="00F051AD"/>
    <w:rsid w:val="00F0579D"/>
    <w:rsid w:val="00F32784"/>
    <w:rsid w:val="00F37105"/>
    <w:rsid w:val="00F708CA"/>
    <w:rsid w:val="00FC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23DC81"/>
  <w14:defaultImageDpi w14:val="32767"/>
  <w15:chartTrackingRefBased/>
  <w15:docId w15:val="{7AFC00D3-E798-574E-86AE-900816E3B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850EA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850EA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850EA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850EA"/>
    <w:pPr>
      <w:keepNext/>
      <w:keepLines/>
      <w:spacing w:before="160" w:after="80" w:line="240" w:lineRule="auto"/>
      <w:outlineLvl w:val="2"/>
    </w:pPr>
    <w:rPr>
      <w:rFonts w:eastAsiaTheme="majorEastAsia" w:cstheme="majorBidi"/>
      <w:noProof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850EA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noProof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850EA"/>
    <w:pPr>
      <w:keepNext/>
      <w:keepLines/>
      <w:spacing w:before="80" w:after="40" w:line="240" w:lineRule="auto"/>
      <w:outlineLvl w:val="4"/>
    </w:pPr>
    <w:rPr>
      <w:rFonts w:eastAsiaTheme="majorEastAsia" w:cstheme="majorBidi"/>
      <w:noProof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850EA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noProof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850EA"/>
    <w:pPr>
      <w:keepNext/>
      <w:keepLines/>
      <w:spacing w:before="40" w:after="0" w:line="240" w:lineRule="auto"/>
      <w:outlineLvl w:val="6"/>
    </w:pPr>
    <w:rPr>
      <w:rFonts w:eastAsiaTheme="majorEastAsia" w:cstheme="majorBidi"/>
      <w:noProof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850EA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noProof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850EA"/>
    <w:pPr>
      <w:keepNext/>
      <w:keepLines/>
      <w:spacing w:after="0" w:line="240" w:lineRule="auto"/>
      <w:outlineLvl w:val="8"/>
    </w:pPr>
    <w:rPr>
      <w:rFonts w:eastAsiaTheme="majorEastAsia" w:cstheme="majorBidi"/>
      <w:noProof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850EA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850EA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850EA"/>
    <w:rPr>
      <w:rFonts w:eastAsiaTheme="majorEastAsia" w:cstheme="majorBidi"/>
      <w:noProof/>
      <w:color w:val="0F4761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850EA"/>
    <w:rPr>
      <w:rFonts w:eastAsiaTheme="majorEastAsia" w:cstheme="majorBidi"/>
      <w:i/>
      <w:iCs/>
      <w:noProof/>
      <w:color w:val="0F4761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850EA"/>
    <w:rPr>
      <w:rFonts w:eastAsiaTheme="majorEastAsia" w:cstheme="majorBidi"/>
      <w:noProof/>
      <w:color w:val="0F4761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850EA"/>
    <w:rPr>
      <w:rFonts w:eastAsiaTheme="majorEastAsia" w:cstheme="majorBidi"/>
      <w:i/>
      <w:iCs/>
      <w:noProof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850EA"/>
    <w:rPr>
      <w:rFonts w:eastAsiaTheme="majorEastAsia" w:cstheme="majorBidi"/>
      <w:noProof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850EA"/>
    <w:rPr>
      <w:rFonts w:eastAsiaTheme="majorEastAsia" w:cstheme="majorBidi"/>
      <w:i/>
      <w:iCs/>
      <w:noProof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850EA"/>
    <w:rPr>
      <w:rFonts w:eastAsiaTheme="majorEastAsia" w:cstheme="majorBidi"/>
      <w:noProof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8850EA"/>
    <w:pPr>
      <w:spacing w:after="80" w:line="240" w:lineRule="auto"/>
      <w:contextualSpacing/>
    </w:pPr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850EA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8850EA"/>
    <w:pPr>
      <w:numPr>
        <w:ilvl w:val="1"/>
      </w:numPr>
      <w:spacing w:line="240" w:lineRule="auto"/>
    </w:pPr>
    <w:rPr>
      <w:rFonts w:eastAsiaTheme="majorEastAsia" w:cstheme="majorBidi"/>
      <w:noProof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8850EA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8850EA"/>
    <w:pPr>
      <w:spacing w:before="160" w:line="240" w:lineRule="auto"/>
      <w:jc w:val="center"/>
    </w:pPr>
    <w:rPr>
      <w:i/>
      <w:iCs/>
      <w:noProof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8850EA"/>
    <w:rPr>
      <w:i/>
      <w:iCs/>
      <w:noProof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8850EA"/>
    <w:pPr>
      <w:spacing w:after="0" w:line="240" w:lineRule="auto"/>
      <w:ind w:left="720"/>
      <w:contextualSpacing/>
    </w:pPr>
    <w:rPr>
      <w:noProof/>
      <w:kern w:val="2"/>
      <w:sz w:val="24"/>
      <w:szCs w:val="24"/>
      <w:lang w:val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8850E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850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noProof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8850EA"/>
    <w:rPr>
      <w:i/>
      <w:iCs/>
      <w:noProof/>
      <w:color w:val="0F4761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8850EA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8850EA"/>
    <w:rPr>
      <w:rFonts w:eastAsia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798</Characters>
  <Application>Microsoft Office Word</Application>
  <DocSecurity>0</DocSecurity>
  <Lines>12</Lines>
  <Paragraphs>2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nilay gunes</dc:creator>
  <cp:keywords/>
  <dc:description/>
  <cp:lastModifiedBy>nilay gunes</cp:lastModifiedBy>
  <cp:revision>1</cp:revision>
  <dcterms:created xsi:type="dcterms:W3CDTF">2024-08-01T15:36:00Z</dcterms:created>
  <dcterms:modified xsi:type="dcterms:W3CDTF">2024-08-01T15:36:00Z</dcterms:modified>
</cp:coreProperties>
</file>