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932AA9">
      <w:pPr>
        <w:rPr>
          <w:rFonts w:eastAsia="Times New Roman"/>
          <w:b/>
          <w:sz w:val="20"/>
          <w:szCs w:val="20"/>
          <w:lang w:eastAsia="en-GB"/>
        </w:rPr>
      </w:pPr>
      <w:bookmarkStart w:id="0" w:name="_GoBack"/>
      <w:bookmarkEnd w:id="0"/>
      <w:r>
        <w:rPr>
          <w:rFonts w:eastAsia="Times New Roman"/>
          <w:b/>
          <w:sz w:val="20"/>
          <w:szCs w:val="20"/>
          <w:lang w:eastAsia="en-GB"/>
        </w:rPr>
        <w:t>STROBE-MR checklist of recommended items to address in reports of Mendelian randomization studies</w:t>
      </w:r>
      <w:r>
        <w:rPr>
          <w:rFonts w:eastAsia="Times New Roman"/>
          <w:b/>
          <w:sz w:val="20"/>
          <w:szCs w:val="20"/>
          <w:lang w:eastAsia="en-GB"/>
        </w:rPr>
        <w:fldChar w:fldCharType="begin" w:fldLock="1"/>
      </w:r>
      <w:r>
        <w:rPr>
          <w:rFonts w:eastAsia="Times New Roman"/>
          <w:b/>
          <w:sz w:val="20"/>
          <w:szCs w:val="20"/>
          <w:lang w:eastAsia="en-GB"/>
        </w:rPr>
        <w:instrText xml:space="preserve">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Pr>
          <w:rFonts w:eastAsia="Times New Roman"/>
          <w:b/>
          <w:sz w:val="20"/>
          <w:szCs w:val="20"/>
          <w:lang w:eastAsia="en-GB"/>
        </w:rPr>
        <w:fldChar w:fldCharType="separate"/>
      </w:r>
      <w:r>
        <w:rPr>
          <w:rFonts w:eastAsia="Times New Roman"/>
          <w:sz w:val="20"/>
          <w:szCs w:val="20"/>
          <w:vertAlign w:val="superscript"/>
          <w:lang w:eastAsia="en-GB"/>
        </w:rPr>
        <w:t>1</w:t>
      </w:r>
      <w:r>
        <w:rPr>
          <w:rFonts w:eastAsia="Times New Roman"/>
          <w:b/>
          <w:sz w:val="20"/>
          <w:szCs w:val="20"/>
          <w:lang w:eastAsia="en-GB"/>
        </w:rPr>
        <w:fldChar w:fldCharType="end"/>
      </w:r>
      <w:r>
        <w:rPr>
          <w:rFonts w:eastAsia="Times New Roman"/>
          <w:b/>
          <w:sz w:val="20"/>
          <w:szCs w:val="20"/>
          <w:lang w:eastAsia="en-GB"/>
        </w:rPr>
        <w:t xml:space="preserve"> </w:t>
      </w:r>
      <w:r>
        <w:rPr>
          <w:rFonts w:eastAsia="Times New Roman"/>
          <w:b/>
          <w:sz w:val="20"/>
          <w:szCs w:val="20"/>
          <w:lang w:eastAsia="en-GB"/>
        </w:rPr>
        <w:fldChar w:fldCharType="begin" w:fldLock="1"/>
      </w:r>
      <w:r>
        <w:rPr>
          <w:rFonts w:eastAsia="Times New Roman"/>
          <w:b/>
          <w:sz w:val="20"/>
          <w:szCs w:val="20"/>
          <w:lang w:eastAsia="en-GB"/>
        </w:rPr>
        <w:instrText xml:space="preserve">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Pr>
          <w:rFonts w:eastAsia="Times New Roman"/>
          <w:b/>
          <w:sz w:val="20"/>
          <w:szCs w:val="20"/>
          <w:lang w:eastAsia="en-GB"/>
        </w:rPr>
        <w:fldChar w:fldCharType="separate"/>
      </w:r>
      <w:r>
        <w:rPr>
          <w:rFonts w:eastAsia="Times New Roman"/>
          <w:sz w:val="20"/>
          <w:szCs w:val="20"/>
          <w:vertAlign w:val="superscript"/>
          <w:lang w:eastAsia="en-GB"/>
        </w:rPr>
        <w:t>2</w:t>
      </w:r>
      <w:r>
        <w:rPr>
          <w:rFonts w:eastAsia="Times New Roman"/>
          <w:b/>
          <w:sz w:val="20"/>
          <w:szCs w:val="20"/>
          <w:lang w:eastAsia="en-GB"/>
        </w:rPr>
        <w:fldChar w:fldCharType="end"/>
      </w:r>
      <w:r>
        <w:rPr>
          <w:rFonts w:eastAsia="Times New Roman"/>
          <w:b/>
          <w:sz w:val="20"/>
          <w:szCs w:val="20"/>
          <w:lang w:eastAsia="en-GB"/>
        </w:rPr>
        <w:t> </w:t>
      </w:r>
    </w:p>
    <w:p w14:paraId="3EE539AD">
      <w:pPr>
        <w:rPr>
          <w:rFonts w:eastAsia="Times New Roman"/>
          <w:b/>
          <w:sz w:val="20"/>
          <w:szCs w:val="20"/>
          <w:lang w:eastAsia="en-GB"/>
        </w:rPr>
      </w:pPr>
    </w:p>
    <w:tbl>
      <w:tblPr>
        <w:tblStyle w:val="3"/>
        <w:tblW w:w="14490" w:type="dxa"/>
        <w:tblInd w:w="0" w:type="dxa"/>
        <w:tblLayout w:type="autofit"/>
        <w:tblCellMar>
          <w:top w:w="0" w:type="dxa"/>
          <w:left w:w="108" w:type="dxa"/>
          <w:bottom w:w="0" w:type="dxa"/>
          <w:right w:w="108" w:type="dxa"/>
        </w:tblCellMar>
      </w:tblPr>
      <w:tblGrid>
        <w:gridCol w:w="587"/>
        <w:gridCol w:w="1822"/>
        <w:gridCol w:w="7041"/>
        <w:gridCol w:w="720"/>
        <w:gridCol w:w="4320"/>
      </w:tblGrid>
      <w:tr w14:paraId="68BC94E2">
        <w:tblPrEx>
          <w:tblCellMar>
            <w:top w:w="0" w:type="dxa"/>
            <w:left w:w="108" w:type="dxa"/>
            <w:bottom w:w="0" w:type="dxa"/>
            <w:right w:w="108" w:type="dxa"/>
          </w:tblCellMar>
        </w:tblPrEx>
        <w:tc>
          <w:tcPr>
            <w:tcW w:w="587" w:type="dxa"/>
            <w:tcBorders>
              <w:top w:val="single" w:color="auto" w:sz="4" w:space="0"/>
              <w:bottom w:val="single" w:color="7F7F7F" w:sz="6" w:space="0"/>
            </w:tcBorders>
            <w:shd w:val="clear" w:color="auto" w:fill="auto"/>
          </w:tcPr>
          <w:p w14:paraId="00DEF8A5">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Item No.</w:t>
            </w:r>
          </w:p>
        </w:tc>
        <w:tc>
          <w:tcPr>
            <w:tcW w:w="1822" w:type="dxa"/>
            <w:tcBorders>
              <w:top w:val="single" w:color="auto" w:sz="4" w:space="0"/>
              <w:bottom w:val="single" w:color="7F7F7F" w:sz="6" w:space="0"/>
            </w:tcBorders>
            <w:shd w:val="clear" w:color="auto" w:fill="auto"/>
          </w:tcPr>
          <w:p w14:paraId="04F587D2">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Section</w:t>
            </w:r>
          </w:p>
        </w:tc>
        <w:tc>
          <w:tcPr>
            <w:tcW w:w="7041" w:type="dxa"/>
            <w:tcBorders>
              <w:top w:val="single" w:color="auto" w:sz="4" w:space="0"/>
              <w:bottom w:val="single" w:color="7F7F7F" w:sz="6" w:space="0"/>
            </w:tcBorders>
            <w:shd w:val="clear" w:color="auto" w:fill="auto"/>
          </w:tcPr>
          <w:p w14:paraId="5A682768">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 xml:space="preserve">Checklist item </w:t>
            </w:r>
          </w:p>
        </w:tc>
        <w:tc>
          <w:tcPr>
            <w:tcW w:w="720" w:type="dxa"/>
            <w:tcBorders>
              <w:top w:val="single" w:color="auto" w:sz="4" w:space="0"/>
              <w:bottom w:val="single" w:color="7F7F7F" w:sz="6" w:space="0"/>
            </w:tcBorders>
          </w:tcPr>
          <w:p w14:paraId="26D050FB">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Page No.</w:t>
            </w:r>
          </w:p>
        </w:tc>
        <w:tc>
          <w:tcPr>
            <w:tcW w:w="4320" w:type="dxa"/>
            <w:tcBorders>
              <w:top w:val="single" w:color="auto" w:sz="4" w:space="0"/>
              <w:bottom w:val="single" w:color="7F7F7F" w:sz="6" w:space="0"/>
            </w:tcBorders>
          </w:tcPr>
          <w:p w14:paraId="3B169EDD">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Relevant text from manuscript</w:t>
            </w:r>
          </w:p>
        </w:tc>
      </w:tr>
      <w:tr w14:paraId="6D71F361">
        <w:tblPrEx>
          <w:tblCellMar>
            <w:top w:w="0" w:type="dxa"/>
            <w:left w:w="108" w:type="dxa"/>
            <w:bottom w:w="0" w:type="dxa"/>
            <w:right w:w="108" w:type="dxa"/>
          </w:tblCellMar>
        </w:tblPrEx>
        <w:tc>
          <w:tcPr>
            <w:tcW w:w="587" w:type="dxa"/>
            <w:tcBorders>
              <w:top w:val="single" w:color="7F7F7F" w:sz="6" w:space="0"/>
              <w:bottom w:val="single" w:color="7F7F7F" w:sz="6" w:space="0"/>
            </w:tcBorders>
            <w:shd w:val="clear" w:color="auto" w:fill="EEEEEE"/>
          </w:tcPr>
          <w:p w14:paraId="25A8835C">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w:t>
            </w:r>
          </w:p>
        </w:tc>
        <w:tc>
          <w:tcPr>
            <w:tcW w:w="1822" w:type="dxa"/>
            <w:tcBorders>
              <w:top w:val="single" w:color="7F7F7F" w:sz="6" w:space="0"/>
              <w:bottom w:val="single" w:color="7F7F7F" w:sz="6" w:space="0"/>
            </w:tcBorders>
            <w:shd w:val="clear" w:color="auto" w:fill="EEEEEE"/>
          </w:tcPr>
          <w:p w14:paraId="4CC4316B">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TITLE and ABSTRACT</w:t>
            </w:r>
          </w:p>
        </w:tc>
        <w:tc>
          <w:tcPr>
            <w:tcW w:w="7041" w:type="dxa"/>
            <w:tcBorders>
              <w:top w:val="single" w:color="7F7F7F" w:sz="6" w:space="0"/>
              <w:bottom w:val="single" w:color="7F7F7F" w:sz="6" w:space="0"/>
            </w:tcBorders>
            <w:shd w:val="clear" w:color="auto" w:fill="EEEEEE"/>
          </w:tcPr>
          <w:p w14:paraId="1DA8BD46">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Indicate Mendelian randomization (MR) as the study’s design in the title and/or the abstract if that is a main purpose of the study</w:t>
            </w:r>
          </w:p>
        </w:tc>
        <w:tc>
          <w:tcPr>
            <w:tcW w:w="720" w:type="dxa"/>
            <w:tcBorders>
              <w:top w:val="single" w:color="7F7F7F" w:sz="6" w:space="0"/>
              <w:bottom w:val="single" w:color="7F7F7F" w:sz="6" w:space="0"/>
            </w:tcBorders>
            <w:shd w:val="clear" w:color="auto" w:fill="EEEEEE"/>
          </w:tcPr>
          <w:p w14:paraId="428F187D">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1</w:t>
            </w:r>
          </w:p>
        </w:tc>
        <w:tc>
          <w:tcPr>
            <w:tcW w:w="4320" w:type="dxa"/>
            <w:tcBorders>
              <w:top w:val="single" w:color="7F7F7F" w:sz="6" w:space="0"/>
              <w:bottom w:val="single" w:color="7F7F7F" w:sz="6" w:space="0"/>
            </w:tcBorders>
            <w:shd w:val="clear" w:color="auto" w:fill="EEEEEE"/>
          </w:tcPr>
          <w:p w14:paraId="2F6D1FAF">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Identifying Diagnostic Biomarkers for Glaucoma Based on Transcriptome Combined with Mendelian Randomization</w:t>
            </w:r>
          </w:p>
        </w:tc>
      </w:tr>
      <w:tr w14:paraId="641E6A58">
        <w:tblPrEx>
          <w:tblCellMar>
            <w:top w:w="0" w:type="dxa"/>
            <w:left w:w="108" w:type="dxa"/>
            <w:bottom w:w="0" w:type="dxa"/>
            <w:right w:w="108" w:type="dxa"/>
          </w:tblCellMar>
        </w:tblPrEx>
        <w:tc>
          <w:tcPr>
            <w:tcW w:w="587" w:type="dxa"/>
            <w:tcBorders>
              <w:top w:val="single" w:color="7F7F7F" w:sz="6" w:space="0"/>
            </w:tcBorders>
            <w:shd w:val="clear" w:color="auto" w:fill="auto"/>
          </w:tcPr>
          <w:p w14:paraId="4792BEFB">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14:paraId="63B58F01">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INTRODUCTION</w:t>
            </w:r>
          </w:p>
        </w:tc>
        <w:tc>
          <w:tcPr>
            <w:tcW w:w="7041" w:type="dxa"/>
            <w:tcBorders>
              <w:top w:val="single" w:color="7F7F7F" w:sz="6" w:space="0"/>
            </w:tcBorders>
            <w:shd w:val="clear" w:color="auto" w:fill="auto"/>
          </w:tcPr>
          <w:p w14:paraId="473C01D0">
            <w:pPr>
              <w:spacing w:before="96" w:beforeLines="40" w:after="96" w:afterLines="40" w:line="24" w:lineRule="atLeast"/>
              <w:rPr>
                <w:rFonts w:eastAsia="Cambria"/>
                <w:sz w:val="18"/>
                <w:szCs w:val="18"/>
                <w:lang w:val="en-GB" w:eastAsia="en-US"/>
              </w:rPr>
            </w:pPr>
          </w:p>
        </w:tc>
        <w:tc>
          <w:tcPr>
            <w:tcW w:w="720" w:type="dxa"/>
            <w:tcBorders>
              <w:top w:val="single" w:color="7F7F7F" w:sz="6" w:space="0"/>
            </w:tcBorders>
          </w:tcPr>
          <w:p w14:paraId="6681F500">
            <w:pPr>
              <w:spacing w:before="96" w:beforeLines="40" w:after="96" w:afterLines="40" w:line="24" w:lineRule="atLeast"/>
              <w:rPr>
                <w:rFonts w:eastAsia="Cambria"/>
                <w:sz w:val="18"/>
                <w:szCs w:val="18"/>
                <w:lang w:val="en-GB" w:eastAsia="en-US"/>
              </w:rPr>
            </w:pPr>
          </w:p>
        </w:tc>
        <w:tc>
          <w:tcPr>
            <w:tcW w:w="4320" w:type="dxa"/>
            <w:tcBorders>
              <w:top w:val="single" w:color="7F7F7F" w:sz="6" w:space="0"/>
            </w:tcBorders>
          </w:tcPr>
          <w:p w14:paraId="7A6DC6E9">
            <w:pPr>
              <w:spacing w:before="96" w:beforeLines="40" w:after="96" w:afterLines="40" w:line="24" w:lineRule="atLeast"/>
              <w:rPr>
                <w:rFonts w:eastAsia="Cambria"/>
                <w:sz w:val="18"/>
                <w:szCs w:val="18"/>
                <w:lang w:val="en-GB" w:eastAsia="en-US"/>
              </w:rPr>
            </w:pPr>
          </w:p>
        </w:tc>
      </w:tr>
      <w:tr w14:paraId="7DB622D8">
        <w:tblPrEx>
          <w:tblCellMar>
            <w:top w:w="0" w:type="dxa"/>
            <w:left w:w="108" w:type="dxa"/>
            <w:bottom w:w="0" w:type="dxa"/>
            <w:right w:w="108" w:type="dxa"/>
          </w:tblCellMar>
        </w:tblPrEx>
        <w:tc>
          <w:tcPr>
            <w:tcW w:w="587" w:type="dxa"/>
            <w:shd w:val="clear" w:color="auto" w:fill="EEEEEE"/>
          </w:tcPr>
          <w:p w14:paraId="7DE28D61">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2</w:t>
            </w:r>
          </w:p>
        </w:tc>
        <w:tc>
          <w:tcPr>
            <w:tcW w:w="1822" w:type="dxa"/>
            <w:shd w:val="clear" w:color="auto" w:fill="EEEEEE"/>
          </w:tcPr>
          <w:p w14:paraId="7756B327">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Background</w:t>
            </w:r>
          </w:p>
        </w:tc>
        <w:tc>
          <w:tcPr>
            <w:tcW w:w="7041" w:type="dxa"/>
            <w:shd w:val="clear" w:color="auto" w:fill="EEEEEE"/>
          </w:tcPr>
          <w:p w14:paraId="5423D52E">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Explain the scientific background and rationale for the reported study. What is the exposure? Is a potential causal relationship between exposure and outcome plausible? Justify why MR is a helpful method to address the study question</w:t>
            </w:r>
          </w:p>
        </w:tc>
        <w:tc>
          <w:tcPr>
            <w:tcW w:w="720" w:type="dxa"/>
            <w:shd w:val="clear" w:color="auto" w:fill="EEEEEE"/>
          </w:tcPr>
          <w:p w14:paraId="460FB29C">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3</w:t>
            </w:r>
          </w:p>
        </w:tc>
        <w:tc>
          <w:tcPr>
            <w:tcW w:w="4320" w:type="dxa"/>
            <w:shd w:val="clear" w:color="auto" w:fill="EEEEEE"/>
          </w:tcPr>
          <w:p w14:paraId="5D990A22">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The Mendelian randomization (MR) analysis, considered a promising epidemiological method, has been proposed to precisely assess the potential causality between exposures and outcomes.[4].The concept of MR can be likened to a randomized controlled trial, where the random assortment of alleles leads to a random assignment of exposures. Furthermore, the MR method is unaffected by environmental risk factors and operates independently from disease progression. In contrast to observational studies, using genetic variation as an instrumental variable (IV) in MR analysis can help prevent environmental confounders and reverse causality.</w:t>
            </w:r>
          </w:p>
        </w:tc>
      </w:tr>
      <w:tr w14:paraId="7907A3D3">
        <w:tblPrEx>
          <w:tblCellMar>
            <w:top w:w="0" w:type="dxa"/>
            <w:left w:w="108" w:type="dxa"/>
            <w:bottom w:w="0" w:type="dxa"/>
            <w:right w:w="108" w:type="dxa"/>
          </w:tblCellMar>
        </w:tblPrEx>
        <w:tc>
          <w:tcPr>
            <w:tcW w:w="587" w:type="dxa"/>
            <w:tcBorders>
              <w:bottom w:val="single" w:color="7F7F7F" w:sz="6" w:space="0"/>
            </w:tcBorders>
            <w:shd w:val="clear" w:color="auto" w:fill="auto"/>
          </w:tcPr>
          <w:p w14:paraId="4F63B034">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3</w:t>
            </w:r>
          </w:p>
        </w:tc>
        <w:tc>
          <w:tcPr>
            <w:tcW w:w="1822" w:type="dxa"/>
            <w:tcBorders>
              <w:bottom w:val="single" w:color="7F7F7F" w:sz="6" w:space="0"/>
            </w:tcBorders>
            <w:shd w:val="clear" w:color="auto" w:fill="auto"/>
          </w:tcPr>
          <w:p w14:paraId="3E6B9EEC">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Objectives</w:t>
            </w:r>
          </w:p>
        </w:tc>
        <w:tc>
          <w:tcPr>
            <w:tcW w:w="7041" w:type="dxa"/>
            <w:tcBorders>
              <w:bottom w:val="single" w:color="7F7F7F" w:sz="6" w:space="0"/>
            </w:tcBorders>
            <w:shd w:val="clear" w:color="auto" w:fill="auto"/>
          </w:tcPr>
          <w:p w14:paraId="41BC8A04">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State specific objectives clearly, including pre-specified causal hypotheses (if any). State that MR is a method that, under specific assumptions, intends to estimate causal effects</w:t>
            </w:r>
          </w:p>
        </w:tc>
        <w:tc>
          <w:tcPr>
            <w:tcW w:w="720" w:type="dxa"/>
            <w:tcBorders>
              <w:bottom w:val="single" w:color="7F7F7F" w:sz="6" w:space="0"/>
            </w:tcBorders>
          </w:tcPr>
          <w:p w14:paraId="2294F6C5">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4</w:t>
            </w:r>
          </w:p>
        </w:tc>
        <w:tc>
          <w:tcPr>
            <w:tcW w:w="4320" w:type="dxa"/>
            <w:tcBorders>
              <w:bottom w:val="single" w:color="7F7F7F" w:sz="6" w:space="0"/>
            </w:tcBorders>
          </w:tcPr>
          <w:p w14:paraId="11250836">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Currently, the majority of MR studies in glaucoma primarily focus on establishing causal relationships between glaucoma and other diseases such as myopia[5], hypertension[6], ankylosing spondylitis[7], rheumatism[8] and so on. Additionally, investigations into the association between glaucoma and factors like coffee consumption[9] and body shape[10] have been conducted. Furthermore, previous bioinformatic analyses of glaucoma did not employ the MR method to assess causality between potential biomarkers and the development of glaucoma[11]. Consequently, there is a lack of sufficient genetic evidence regarding the association of these biomarkers with glaucoma.</w:t>
            </w:r>
          </w:p>
        </w:tc>
      </w:tr>
      <w:tr w14:paraId="59599383">
        <w:tblPrEx>
          <w:tblCellMar>
            <w:top w:w="0" w:type="dxa"/>
            <w:left w:w="108" w:type="dxa"/>
            <w:bottom w:w="0" w:type="dxa"/>
            <w:right w:w="108" w:type="dxa"/>
          </w:tblCellMar>
        </w:tblPrEx>
        <w:tc>
          <w:tcPr>
            <w:tcW w:w="587" w:type="dxa"/>
            <w:tcBorders>
              <w:top w:val="single" w:color="7F7F7F" w:sz="6" w:space="0"/>
            </w:tcBorders>
            <w:shd w:val="clear" w:color="auto" w:fill="EEEEEE"/>
          </w:tcPr>
          <w:p w14:paraId="3524D6D4">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EEEEEE"/>
          </w:tcPr>
          <w:p w14:paraId="6152628C">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METHODS</w:t>
            </w:r>
          </w:p>
        </w:tc>
        <w:tc>
          <w:tcPr>
            <w:tcW w:w="7041" w:type="dxa"/>
            <w:tcBorders>
              <w:top w:val="single" w:color="7F7F7F" w:sz="6" w:space="0"/>
            </w:tcBorders>
            <w:shd w:val="clear" w:color="auto" w:fill="EEEEEE"/>
          </w:tcPr>
          <w:p w14:paraId="309B8567">
            <w:pPr>
              <w:spacing w:before="96" w:beforeLines="40" w:after="96" w:afterLines="40" w:line="24" w:lineRule="atLeast"/>
              <w:rPr>
                <w:rFonts w:eastAsia="Cambria"/>
                <w:sz w:val="18"/>
                <w:szCs w:val="18"/>
                <w:lang w:val="en-GB" w:eastAsia="en-US"/>
              </w:rPr>
            </w:pPr>
          </w:p>
        </w:tc>
        <w:tc>
          <w:tcPr>
            <w:tcW w:w="720" w:type="dxa"/>
            <w:tcBorders>
              <w:top w:val="single" w:color="7F7F7F" w:sz="6" w:space="0"/>
            </w:tcBorders>
            <w:shd w:val="clear" w:color="auto" w:fill="EEEEEE"/>
          </w:tcPr>
          <w:p w14:paraId="2FFEF450">
            <w:pPr>
              <w:spacing w:before="96" w:beforeLines="40" w:after="96" w:afterLines="40" w:line="24" w:lineRule="atLeast"/>
              <w:rPr>
                <w:rFonts w:eastAsia="Cambria"/>
                <w:sz w:val="18"/>
                <w:szCs w:val="18"/>
                <w:lang w:val="en-GB" w:eastAsia="en-US"/>
              </w:rPr>
            </w:pPr>
          </w:p>
        </w:tc>
        <w:tc>
          <w:tcPr>
            <w:tcW w:w="4320" w:type="dxa"/>
            <w:tcBorders>
              <w:top w:val="single" w:color="7F7F7F" w:sz="6" w:space="0"/>
            </w:tcBorders>
            <w:shd w:val="clear" w:color="auto" w:fill="EEEEEE"/>
          </w:tcPr>
          <w:p w14:paraId="6CB9315A">
            <w:pPr>
              <w:spacing w:before="96" w:beforeLines="40" w:after="96" w:afterLines="40" w:line="24" w:lineRule="atLeast"/>
              <w:rPr>
                <w:rFonts w:eastAsia="Cambria"/>
                <w:sz w:val="18"/>
                <w:szCs w:val="18"/>
                <w:lang w:val="en-GB" w:eastAsia="en-US"/>
              </w:rPr>
            </w:pPr>
          </w:p>
        </w:tc>
      </w:tr>
      <w:tr w14:paraId="6440155E">
        <w:tblPrEx>
          <w:tblCellMar>
            <w:top w:w="0" w:type="dxa"/>
            <w:left w:w="108" w:type="dxa"/>
            <w:bottom w:w="0" w:type="dxa"/>
            <w:right w:w="108" w:type="dxa"/>
          </w:tblCellMar>
        </w:tblPrEx>
        <w:tc>
          <w:tcPr>
            <w:tcW w:w="587" w:type="dxa"/>
            <w:shd w:val="clear" w:color="auto" w:fill="auto"/>
          </w:tcPr>
          <w:p w14:paraId="5C7CF349">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4</w:t>
            </w:r>
          </w:p>
        </w:tc>
        <w:tc>
          <w:tcPr>
            <w:tcW w:w="1822" w:type="dxa"/>
            <w:shd w:val="clear" w:color="auto" w:fill="auto"/>
          </w:tcPr>
          <w:p w14:paraId="408E2A89">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Study design and data sources</w:t>
            </w:r>
          </w:p>
        </w:tc>
        <w:tc>
          <w:tcPr>
            <w:tcW w:w="7041" w:type="dxa"/>
            <w:shd w:val="clear" w:color="auto" w:fill="auto"/>
          </w:tcPr>
          <w:p w14:paraId="29029CA4">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720" w:type="dxa"/>
          </w:tcPr>
          <w:p w14:paraId="0E181C75">
            <w:pPr>
              <w:spacing w:before="96" w:beforeLines="40" w:after="96" w:afterLines="40" w:line="24" w:lineRule="atLeast"/>
              <w:rPr>
                <w:rFonts w:eastAsia="Times New Roman"/>
                <w:sz w:val="18"/>
                <w:szCs w:val="18"/>
                <w:lang w:val="en-GB" w:eastAsia="en-GB"/>
              </w:rPr>
            </w:pPr>
          </w:p>
        </w:tc>
        <w:tc>
          <w:tcPr>
            <w:tcW w:w="4320" w:type="dxa"/>
          </w:tcPr>
          <w:p w14:paraId="23CE0AC6">
            <w:pPr>
              <w:spacing w:before="96" w:beforeLines="40" w:after="96" w:afterLines="40" w:line="24" w:lineRule="atLeast"/>
              <w:rPr>
                <w:rFonts w:eastAsia="Times New Roman"/>
                <w:sz w:val="18"/>
                <w:szCs w:val="18"/>
                <w:lang w:val="en-GB" w:eastAsia="en-GB"/>
              </w:rPr>
            </w:pPr>
          </w:p>
        </w:tc>
      </w:tr>
      <w:tr w14:paraId="47D5AE21">
        <w:tblPrEx>
          <w:tblCellMar>
            <w:top w:w="0" w:type="dxa"/>
            <w:left w:w="108" w:type="dxa"/>
            <w:bottom w:w="0" w:type="dxa"/>
            <w:right w:w="108" w:type="dxa"/>
          </w:tblCellMar>
        </w:tblPrEx>
        <w:tc>
          <w:tcPr>
            <w:tcW w:w="587" w:type="dxa"/>
            <w:shd w:val="clear" w:color="auto" w:fill="EEEEEE"/>
          </w:tcPr>
          <w:p w14:paraId="0980B688">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14:paraId="29E72ACB">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EEEEEE"/>
          </w:tcPr>
          <w:p w14:paraId="246167BE">
            <w:pPr>
              <w:spacing w:before="96" w:beforeLines="40" w:after="96" w:afterLines="40" w:line="24" w:lineRule="atLeast"/>
              <w:rPr>
                <w:rFonts w:eastAsia="Cambria"/>
                <w:sz w:val="18"/>
                <w:szCs w:val="18"/>
                <w:lang w:val="en-GB" w:eastAsia="en-US"/>
              </w:rPr>
            </w:pPr>
            <w:r>
              <w:rPr>
                <w:rFonts w:eastAsia="Times New Roman"/>
                <w:sz w:val="18"/>
                <w:szCs w:val="18"/>
                <w:shd w:val="clear" w:color="auto" w:fill="FFFFFF"/>
                <w:lang w:val="en-GB" w:eastAsia="en-GB"/>
              </w:rPr>
              <w:t xml:space="preserve">Setting: </w:t>
            </w:r>
            <w:r>
              <w:rPr>
                <w:rFonts w:eastAsia="Times New Roman"/>
                <w:sz w:val="18"/>
                <w:szCs w:val="18"/>
                <w:lang w:val="en-GB" w:eastAsia="en-GB"/>
              </w:rPr>
              <w:t xml:space="preserve">Describe the study design and the underlying population, if possible. </w:t>
            </w:r>
            <w:r>
              <w:rPr>
                <w:rFonts w:eastAsia="Times New Roman"/>
                <w:sz w:val="18"/>
                <w:szCs w:val="18"/>
                <w:shd w:val="clear" w:color="auto" w:fill="FFFFFF"/>
                <w:lang w:val="en-GB" w:eastAsia="en-GB"/>
              </w:rPr>
              <w:t xml:space="preserve">Describe the setting, locations, and relevant dates, including periods </w:t>
            </w:r>
            <w:r>
              <w:rPr>
                <w:rFonts w:eastAsia="Times New Roman"/>
                <w:color w:val="000000"/>
                <w:sz w:val="18"/>
                <w:szCs w:val="18"/>
                <w:shd w:val="clear" w:color="auto" w:fill="FFFFFF"/>
                <w:lang w:val="en-GB" w:eastAsia="en-GB"/>
              </w:rPr>
              <w:t>of recruitment, exposure, follow-up, and data collection, when available.</w:t>
            </w:r>
          </w:p>
        </w:tc>
        <w:tc>
          <w:tcPr>
            <w:tcW w:w="720" w:type="dxa"/>
            <w:shd w:val="clear" w:color="auto" w:fill="EEEEEE"/>
          </w:tcPr>
          <w:p w14:paraId="048ED5CF">
            <w:pPr>
              <w:spacing w:before="96" w:beforeLines="40" w:after="96" w:afterLines="40" w:line="24" w:lineRule="atLeast"/>
              <w:rPr>
                <w:rFonts w:hint="default" w:eastAsia="宋体"/>
                <w:sz w:val="18"/>
                <w:szCs w:val="18"/>
                <w:shd w:val="clear" w:color="auto" w:fill="FFFFFF"/>
                <w:lang w:val="en-US" w:eastAsia="zh-CN"/>
              </w:rPr>
            </w:pPr>
            <w:r>
              <w:rPr>
                <w:rFonts w:hint="eastAsia" w:eastAsia="宋体"/>
                <w:sz w:val="18"/>
                <w:szCs w:val="18"/>
                <w:shd w:val="clear" w:color="auto" w:fill="FFFFFF"/>
                <w:lang w:val="en-US" w:eastAsia="zh-CN"/>
              </w:rPr>
              <w:t>11</w:t>
            </w:r>
          </w:p>
        </w:tc>
        <w:tc>
          <w:tcPr>
            <w:tcW w:w="4320" w:type="dxa"/>
            <w:shd w:val="clear" w:color="auto" w:fill="EEEEEE"/>
          </w:tcPr>
          <w:p w14:paraId="33F4171D">
            <w:pPr>
              <w:spacing w:before="96" w:beforeLines="40" w:after="96" w:afterLines="40" w:line="24" w:lineRule="atLeast"/>
              <w:rPr>
                <w:rFonts w:eastAsia="Times New Roman"/>
                <w:sz w:val="18"/>
                <w:szCs w:val="18"/>
                <w:shd w:val="clear" w:color="auto" w:fill="FFFFFF"/>
                <w:lang w:val="en-GB" w:eastAsia="en-GB"/>
              </w:rPr>
            </w:pPr>
            <w:r>
              <w:rPr>
                <w:rFonts w:hint="eastAsia" w:eastAsia="Times New Roman"/>
                <w:sz w:val="18"/>
                <w:szCs w:val="18"/>
                <w:shd w:val="clear" w:color="auto" w:fill="FFFFFF"/>
                <w:lang w:val="en-GB" w:eastAsia="en-GB"/>
              </w:rPr>
              <w:t>Finally, the glaucoma GWAS, finngen_R9_H7_GLAUCOMA_POAG) dataset was collected from the Integrative Epidemiology Unit (IEU) OpenGWAS database (https://gwas.mrcieu.ac.uk/), which contained 16,380,452 single nucleotide polymorphisms (SNPs) from 213,613 European samples (3,412 cases and 210,201 controls).</w:t>
            </w:r>
          </w:p>
        </w:tc>
      </w:tr>
      <w:tr w14:paraId="376A6F82">
        <w:tblPrEx>
          <w:tblCellMar>
            <w:top w:w="0" w:type="dxa"/>
            <w:left w:w="108" w:type="dxa"/>
            <w:bottom w:w="0" w:type="dxa"/>
            <w:right w:w="108" w:type="dxa"/>
          </w:tblCellMar>
        </w:tblPrEx>
        <w:tc>
          <w:tcPr>
            <w:tcW w:w="587" w:type="dxa"/>
            <w:shd w:val="clear" w:color="auto" w:fill="auto"/>
          </w:tcPr>
          <w:p w14:paraId="6B85F41D">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0CF2EB5C">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auto"/>
          </w:tcPr>
          <w:p w14:paraId="5E3BCE69">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 xml:space="preserve">Participants: Give the eligibility criteria, and the sources and methods of selection of participants. </w:t>
            </w:r>
            <w:r>
              <w:rPr>
                <w:rFonts w:eastAsia="Times New Roman"/>
                <w:color w:val="000000"/>
                <w:sz w:val="18"/>
                <w:szCs w:val="18"/>
              </w:rPr>
              <w:t>Report the sample size, and whether any power or sample size calculations were carried out prior to the main analysis</w:t>
            </w:r>
            <w:r>
              <w:rPr>
                <w:rFonts w:eastAsia="Times New Roman"/>
                <w:sz w:val="18"/>
                <w:szCs w:val="18"/>
                <w:lang w:val="en-GB" w:eastAsia="en-GB"/>
              </w:rPr>
              <w:t> </w:t>
            </w:r>
          </w:p>
        </w:tc>
        <w:tc>
          <w:tcPr>
            <w:tcW w:w="720" w:type="dxa"/>
          </w:tcPr>
          <w:p w14:paraId="29ACC32C">
            <w:pPr>
              <w:spacing w:before="96" w:beforeLines="40" w:after="96" w:afterLines="40" w:line="24" w:lineRule="atLeast"/>
              <w:textAlignment w:val="baseline"/>
              <w:rPr>
                <w:rFonts w:hint="default" w:eastAsia="宋体"/>
                <w:sz w:val="18"/>
                <w:szCs w:val="18"/>
                <w:shd w:val="clear" w:color="auto" w:fill="FFFFFF"/>
                <w:lang w:val="en-US" w:eastAsia="zh-CN"/>
              </w:rPr>
            </w:pPr>
            <w:r>
              <w:rPr>
                <w:rFonts w:hint="eastAsia" w:eastAsia="宋体"/>
                <w:sz w:val="18"/>
                <w:szCs w:val="18"/>
                <w:shd w:val="clear" w:color="auto" w:fill="FFFFFF"/>
                <w:lang w:val="en-US" w:eastAsia="zh-CN"/>
              </w:rPr>
              <w:t>11</w:t>
            </w:r>
          </w:p>
        </w:tc>
        <w:tc>
          <w:tcPr>
            <w:tcW w:w="4320" w:type="dxa"/>
          </w:tcPr>
          <w:p w14:paraId="37C3B4C3">
            <w:pPr>
              <w:spacing w:before="96" w:beforeLines="40" w:after="96" w:afterLines="40" w:line="24" w:lineRule="atLeast"/>
              <w:textAlignment w:val="baseline"/>
              <w:rPr>
                <w:rFonts w:hint="eastAsia" w:eastAsia="Times New Roman"/>
                <w:sz w:val="18"/>
                <w:szCs w:val="18"/>
                <w:shd w:val="clear" w:color="auto" w:fill="FFFFFF"/>
                <w:lang w:val="en-GB" w:eastAsia="en-GB"/>
              </w:rPr>
            </w:pPr>
            <w:r>
              <w:rPr>
                <w:rFonts w:hint="eastAsia" w:eastAsia="Times New Roman"/>
                <w:sz w:val="18"/>
                <w:szCs w:val="18"/>
                <w:shd w:val="clear" w:color="auto" w:fill="FFFFFF"/>
                <w:lang w:val="en-GB" w:eastAsia="en-GB"/>
              </w:rPr>
              <w:t xml:space="preserve"> Finally, the glaucoma GWAS, finngen_R9_H7_GLAUCOMA_POAG) dataset was collected from the Integrative Epidemiology Unit (IEU) OpenGWAS database (https://gwas.mrcieu.ac.uk/), which contained 16,380,452 single nucleotide polymorphisms (SNPs) from 213,613 European samples (3,412 cases and 210,201 controls).</w:t>
            </w:r>
          </w:p>
          <w:p w14:paraId="101CB171">
            <w:pPr>
              <w:spacing w:before="96" w:beforeLines="40" w:after="96" w:afterLines="40" w:line="24" w:lineRule="atLeast"/>
              <w:textAlignment w:val="baseline"/>
              <w:rPr>
                <w:rFonts w:hint="eastAsia" w:eastAsia="Times New Roman"/>
                <w:sz w:val="18"/>
                <w:szCs w:val="18"/>
                <w:shd w:val="clear" w:color="auto" w:fill="FFFFFF"/>
                <w:lang w:val="en-GB" w:eastAsia="en-GB"/>
              </w:rPr>
            </w:pPr>
            <w:r>
              <w:rPr>
                <w:rFonts w:hint="eastAsia" w:eastAsia="Times New Roman"/>
                <w:sz w:val="18"/>
                <w:szCs w:val="18"/>
                <w:shd w:val="clear" w:color="auto" w:fill="FFFFFF"/>
                <w:lang w:val="en-GB" w:eastAsia="en-GB"/>
              </w:rPr>
              <w:t xml:space="preserve">Ultimately, IVs with F-statistics smaller than 10 were excluded and subjected to Steiger reverse causality with respect to the directionality_test function. </w:t>
            </w:r>
          </w:p>
        </w:tc>
      </w:tr>
      <w:tr w14:paraId="04B065C7">
        <w:tblPrEx>
          <w:tblCellMar>
            <w:top w:w="0" w:type="dxa"/>
            <w:left w:w="108" w:type="dxa"/>
            <w:bottom w:w="0" w:type="dxa"/>
            <w:right w:w="108" w:type="dxa"/>
          </w:tblCellMar>
        </w:tblPrEx>
        <w:tc>
          <w:tcPr>
            <w:tcW w:w="587" w:type="dxa"/>
            <w:shd w:val="clear" w:color="auto" w:fill="EEEEEE"/>
          </w:tcPr>
          <w:p w14:paraId="09448E25">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14:paraId="260DD299">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EEEEEE"/>
          </w:tcPr>
          <w:p w14:paraId="7B54F10C">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measurement, quality control and selection of genetic variants</w:t>
            </w:r>
          </w:p>
        </w:tc>
        <w:tc>
          <w:tcPr>
            <w:tcW w:w="720" w:type="dxa"/>
            <w:shd w:val="clear" w:color="auto" w:fill="EEEEEE"/>
          </w:tcPr>
          <w:p w14:paraId="2CDB28F5">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12</w:t>
            </w:r>
          </w:p>
        </w:tc>
        <w:tc>
          <w:tcPr>
            <w:tcW w:w="4320" w:type="dxa"/>
            <w:shd w:val="clear" w:color="auto" w:fill="EEEEEE"/>
          </w:tcPr>
          <w:p w14:paraId="26B556E6">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 xml:space="preserve">First, DEGs were read and IVs were filtered (p= 5*10-7) to retrieve IVs associated with DEGs via the function extract_instruments of the R package "TwoSampleMR" (v 0.5.6)[33] (clump= TRUE to remove the IVs of Linkage disequilibrium (LD); r2=0.001; kb=100). The GWAS data for glaucoma were then read using the TwoSampleMR package's extract_outcome_data function, and IVs that were not relevant to glaucoma were further filtered according to IVs that were associated with DEGs (proxies= TRUE; rsq= 0.8). Ultimately, IVs with F-statistics smaller than 10 were excluded and subjected to Steiger reverse causality with respect to the directionality_test function. </w:t>
            </w:r>
          </w:p>
        </w:tc>
      </w:tr>
      <w:tr w14:paraId="215DDE8E">
        <w:tblPrEx>
          <w:tblCellMar>
            <w:top w:w="0" w:type="dxa"/>
            <w:left w:w="108" w:type="dxa"/>
            <w:bottom w:w="0" w:type="dxa"/>
            <w:right w:w="108" w:type="dxa"/>
          </w:tblCellMar>
        </w:tblPrEx>
        <w:tc>
          <w:tcPr>
            <w:tcW w:w="587" w:type="dxa"/>
            <w:shd w:val="clear" w:color="auto" w:fill="auto"/>
          </w:tcPr>
          <w:p w14:paraId="7E3D460D">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0FB55ADC">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7041" w:type="dxa"/>
            <w:shd w:val="clear" w:color="auto" w:fill="auto"/>
          </w:tcPr>
          <w:p w14:paraId="3B6B6065">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720" w:type="dxa"/>
          </w:tcPr>
          <w:p w14:paraId="37FB656C">
            <w:pPr>
              <w:spacing w:before="96" w:beforeLines="40" w:after="96" w:afterLines="40" w:line="24" w:lineRule="atLeast"/>
              <w:textAlignment w:val="baseline"/>
              <w:rPr>
                <w:rFonts w:hint="default" w:eastAsia="宋体"/>
                <w:sz w:val="18"/>
                <w:szCs w:val="18"/>
                <w:shd w:val="clear" w:color="auto" w:fill="FFFFFF"/>
                <w:lang w:val="en-US" w:eastAsia="zh-CN"/>
              </w:rPr>
            </w:pPr>
            <w:r>
              <w:rPr>
                <w:rFonts w:hint="eastAsia" w:eastAsia="宋体"/>
                <w:sz w:val="18"/>
                <w:szCs w:val="18"/>
                <w:shd w:val="clear" w:color="auto" w:fill="FFFFFF"/>
                <w:lang w:val="en-US" w:eastAsia="zh-CN"/>
              </w:rPr>
              <w:t>13</w:t>
            </w:r>
          </w:p>
        </w:tc>
        <w:tc>
          <w:tcPr>
            <w:tcW w:w="4320" w:type="dxa"/>
          </w:tcPr>
          <w:p w14:paraId="18BB4B57">
            <w:pPr>
              <w:spacing w:before="96" w:beforeLines="40" w:after="96" w:afterLines="40" w:line="24" w:lineRule="atLeast"/>
              <w:textAlignment w:val="baseline"/>
              <w:rPr>
                <w:rFonts w:eastAsia="Times New Roman"/>
                <w:sz w:val="18"/>
                <w:szCs w:val="18"/>
                <w:shd w:val="clear" w:color="auto" w:fill="FFFFFF"/>
                <w:lang w:val="en-GB" w:eastAsia="en-GB"/>
              </w:rPr>
            </w:pPr>
            <w:r>
              <w:rPr>
                <w:rFonts w:hint="eastAsia" w:eastAsia="Times New Roman"/>
                <w:sz w:val="18"/>
                <w:szCs w:val="18"/>
                <w:shd w:val="clear" w:color="auto" w:fill="FFFFFF"/>
                <w:lang w:val="en-GB" w:eastAsia="en-GB"/>
              </w:rPr>
              <w:t>To test for DEGs causally associated to glaucoma, effect alleles and effect sizes were first harmonized with the R package "Two Sample MR" function harmonise_data. Subsequently, MR analysis was performed by the mr function combined with five algorithms MR Egger[34], Weighted median[35], Simple mode[36], Weighted mode[37]including Inverse variance weighted (IVW)[38]. The IVW algorithm has a P-value of less than 0.05, demonstrating a link between the corresponding exposure factor and the outcome. Meanwhile, if the equivalent odds ratios (ORs) value is greater than one, it means that the exposure factor acts as a risk factor for outcome, and vice versa for protection. Lastly, scatter plot, forest plot, and funnel plot were applied to display the MR results.</w:t>
            </w:r>
          </w:p>
        </w:tc>
      </w:tr>
      <w:tr w14:paraId="69A6C8B1">
        <w:tblPrEx>
          <w:tblCellMar>
            <w:top w:w="0" w:type="dxa"/>
            <w:left w:w="108" w:type="dxa"/>
            <w:bottom w:w="0" w:type="dxa"/>
            <w:right w:w="108" w:type="dxa"/>
          </w:tblCellMar>
        </w:tblPrEx>
        <w:tc>
          <w:tcPr>
            <w:tcW w:w="587" w:type="dxa"/>
            <w:shd w:val="clear" w:color="auto" w:fill="EEEEEE"/>
          </w:tcPr>
          <w:p w14:paraId="292FBB97">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14:paraId="273C46B4">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7041" w:type="dxa"/>
            <w:shd w:val="clear" w:color="auto" w:fill="EEEEEE"/>
          </w:tcPr>
          <w:p w14:paraId="4E713FBB">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Provide details of ethics committee approval and participant informed consent, if relevant</w:t>
            </w:r>
          </w:p>
        </w:tc>
        <w:tc>
          <w:tcPr>
            <w:tcW w:w="720" w:type="dxa"/>
            <w:shd w:val="clear" w:color="auto" w:fill="EEEEEE"/>
          </w:tcPr>
          <w:p w14:paraId="2754FA07">
            <w:pPr>
              <w:spacing w:before="96" w:beforeLines="40" w:after="96" w:afterLines="40" w:line="24" w:lineRule="atLeast"/>
              <w:textAlignment w:val="baseline"/>
              <w:rPr>
                <w:rFonts w:hint="default" w:eastAsia="宋体"/>
                <w:sz w:val="18"/>
                <w:szCs w:val="18"/>
                <w:shd w:val="clear" w:color="auto" w:fill="FFFFFF"/>
                <w:lang w:val="en-US" w:eastAsia="zh-CN"/>
              </w:rPr>
            </w:pPr>
            <w:r>
              <w:rPr>
                <w:rFonts w:hint="eastAsia" w:eastAsia="宋体"/>
                <w:sz w:val="18"/>
                <w:szCs w:val="18"/>
                <w:shd w:val="clear" w:color="auto" w:fill="FFFFFF"/>
                <w:lang w:val="en-US" w:eastAsia="zh-CN"/>
              </w:rPr>
              <w:t>NA</w:t>
            </w:r>
          </w:p>
        </w:tc>
        <w:tc>
          <w:tcPr>
            <w:tcW w:w="4320" w:type="dxa"/>
            <w:shd w:val="clear" w:color="auto" w:fill="EEEEEE"/>
          </w:tcPr>
          <w:p w14:paraId="6067A95B">
            <w:pPr>
              <w:spacing w:before="96" w:beforeLines="40" w:after="96" w:afterLines="40" w:line="24" w:lineRule="atLeast"/>
              <w:textAlignment w:val="baseline"/>
              <w:rPr>
                <w:rFonts w:eastAsia="Times New Roman"/>
                <w:sz w:val="18"/>
                <w:szCs w:val="18"/>
                <w:shd w:val="clear" w:color="auto" w:fill="FFFFFF"/>
                <w:lang w:val="en-GB" w:eastAsia="en-GB"/>
              </w:rPr>
            </w:pPr>
          </w:p>
        </w:tc>
      </w:tr>
      <w:tr w14:paraId="23EA53EC">
        <w:tblPrEx>
          <w:tblCellMar>
            <w:top w:w="0" w:type="dxa"/>
            <w:left w:w="108" w:type="dxa"/>
            <w:bottom w:w="0" w:type="dxa"/>
            <w:right w:w="108" w:type="dxa"/>
          </w:tblCellMar>
        </w:tblPrEx>
        <w:tc>
          <w:tcPr>
            <w:tcW w:w="587" w:type="dxa"/>
            <w:shd w:val="clear" w:color="auto" w:fill="auto"/>
          </w:tcPr>
          <w:p w14:paraId="3E6E0D63">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5</w:t>
            </w:r>
          </w:p>
        </w:tc>
        <w:tc>
          <w:tcPr>
            <w:tcW w:w="1822" w:type="dxa"/>
            <w:shd w:val="clear" w:color="auto" w:fill="auto"/>
          </w:tcPr>
          <w:p w14:paraId="1F0455B3">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Assumptions</w:t>
            </w:r>
          </w:p>
          <w:p w14:paraId="0458797D">
            <w:pPr>
              <w:spacing w:before="96" w:beforeLines="40" w:after="96" w:afterLines="40" w:line="24" w:lineRule="atLeast"/>
              <w:jc w:val="center"/>
              <w:rPr>
                <w:rFonts w:eastAsia="Cambria"/>
                <w:sz w:val="18"/>
                <w:szCs w:val="18"/>
                <w:lang w:val="en-GB" w:eastAsia="en-US"/>
              </w:rPr>
            </w:pPr>
          </w:p>
        </w:tc>
        <w:tc>
          <w:tcPr>
            <w:tcW w:w="7041" w:type="dxa"/>
            <w:shd w:val="clear" w:color="auto" w:fill="auto"/>
          </w:tcPr>
          <w:p w14:paraId="5139727F">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Explicitly state the three core IV assumptions for the main analysis (relevance, independence and exclusion restriction) as well assumptions for any additional or sensitivity analysis</w:t>
            </w:r>
          </w:p>
        </w:tc>
        <w:tc>
          <w:tcPr>
            <w:tcW w:w="720" w:type="dxa"/>
          </w:tcPr>
          <w:p w14:paraId="6A2AE76D">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12</w:t>
            </w:r>
          </w:p>
        </w:tc>
        <w:tc>
          <w:tcPr>
            <w:tcW w:w="4320" w:type="dxa"/>
          </w:tcPr>
          <w:p w14:paraId="7A54DE1B">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 xml:space="preserve">The three major assumptions that underpinned the MR investigation were as follows: (1) exposure factors and IVs have a strong association; (2) confounders have no effect on IVs; and (3) IVs only influence outcomes across exposure factors. To study the causal association between DEGs (exposure factors) and glaucoma (outcome), we applied MR analysis. First, DEGs were read and IVs were filtered (p= 5*10-7) to retrieve IVs associated with DEGs via the function extract_instruments of the R package "TwoSampleMR" (v 0.5.6)[33] (clump= TRUE to remove the IVs of Linkage disequilibrium (LD); r2=0.001; kb=100). The GWAS data for glaucoma were then read using the TwoSampleMR package's extract_outcome_data function, and IVs that were not relevant to glaucoma were further filtered according to IVs that were associated with DEGs (proxies= TRUE; rsq= 0.8). Ultimately, IVs with F-statistics smaller than 10 were excluded and subjected to Steiger reverse causality with respect to the directionality_test function. </w:t>
            </w:r>
          </w:p>
        </w:tc>
      </w:tr>
      <w:tr w14:paraId="6209F8C8">
        <w:tblPrEx>
          <w:tblCellMar>
            <w:top w:w="0" w:type="dxa"/>
            <w:left w:w="108" w:type="dxa"/>
            <w:bottom w:w="0" w:type="dxa"/>
            <w:right w:w="108" w:type="dxa"/>
          </w:tblCellMar>
        </w:tblPrEx>
        <w:tc>
          <w:tcPr>
            <w:tcW w:w="587" w:type="dxa"/>
            <w:shd w:val="clear" w:color="auto" w:fill="EEEEEE"/>
          </w:tcPr>
          <w:p w14:paraId="6FA239C8">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6</w:t>
            </w:r>
          </w:p>
        </w:tc>
        <w:tc>
          <w:tcPr>
            <w:tcW w:w="1822" w:type="dxa"/>
            <w:shd w:val="clear" w:color="auto" w:fill="EEEEEE"/>
          </w:tcPr>
          <w:p w14:paraId="3D8F9E93">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Statistical methods: main analysis</w:t>
            </w:r>
          </w:p>
        </w:tc>
        <w:tc>
          <w:tcPr>
            <w:tcW w:w="7041" w:type="dxa"/>
            <w:shd w:val="clear" w:color="auto" w:fill="EEEEEE"/>
          </w:tcPr>
          <w:p w14:paraId="49C33D0D">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statistical methods and statistics used</w:t>
            </w:r>
          </w:p>
        </w:tc>
        <w:tc>
          <w:tcPr>
            <w:tcW w:w="720" w:type="dxa"/>
            <w:shd w:val="clear" w:color="auto" w:fill="EEEEEE"/>
          </w:tcPr>
          <w:p w14:paraId="0D1191BA">
            <w:pPr>
              <w:spacing w:before="96" w:beforeLines="40" w:after="96" w:afterLines="40" w:line="24" w:lineRule="atLeast"/>
              <w:rPr>
                <w:rFonts w:eastAsia="Times New Roman"/>
                <w:sz w:val="18"/>
                <w:szCs w:val="18"/>
                <w:lang w:val="en-GB" w:eastAsia="en-GB"/>
              </w:rPr>
            </w:pPr>
          </w:p>
        </w:tc>
        <w:tc>
          <w:tcPr>
            <w:tcW w:w="4320" w:type="dxa"/>
            <w:shd w:val="clear" w:color="auto" w:fill="EEEEEE"/>
          </w:tcPr>
          <w:p w14:paraId="75DF0C4B">
            <w:pPr>
              <w:spacing w:before="96" w:beforeLines="40" w:after="96" w:afterLines="40" w:line="24" w:lineRule="atLeast"/>
              <w:rPr>
                <w:rFonts w:eastAsia="Times New Roman"/>
                <w:sz w:val="18"/>
                <w:szCs w:val="18"/>
                <w:lang w:val="en-GB" w:eastAsia="en-GB"/>
              </w:rPr>
            </w:pPr>
          </w:p>
        </w:tc>
      </w:tr>
      <w:tr w14:paraId="4346E621">
        <w:tblPrEx>
          <w:tblCellMar>
            <w:top w:w="0" w:type="dxa"/>
            <w:left w:w="108" w:type="dxa"/>
            <w:bottom w:w="0" w:type="dxa"/>
            <w:right w:w="108" w:type="dxa"/>
          </w:tblCellMar>
        </w:tblPrEx>
        <w:tc>
          <w:tcPr>
            <w:tcW w:w="587" w:type="dxa"/>
            <w:shd w:val="clear" w:color="auto" w:fill="auto"/>
          </w:tcPr>
          <w:p w14:paraId="339A016D">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3635743C">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auto"/>
          </w:tcPr>
          <w:p w14:paraId="3BB90022">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how quantitative variables were handled in the analyses (i.e., scale, units, model)</w:t>
            </w:r>
          </w:p>
        </w:tc>
        <w:tc>
          <w:tcPr>
            <w:tcW w:w="720" w:type="dxa"/>
          </w:tcPr>
          <w:p w14:paraId="22720A53">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NA</w:t>
            </w:r>
          </w:p>
        </w:tc>
        <w:tc>
          <w:tcPr>
            <w:tcW w:w="4320" w:type="dxa"/>
          </w:tcPr>
          <w:p w14:paraId="76159846">
            <w:pPr>
              <w:spacing w:before="96" w:beforeLines="40" w:after="96" w:afterLines="40" w:line="24" w:lineRule="atLeast"/>
              <w:rPr>
                <w:rFonts w:eastAsia="Times New Roman"/>
                <w:sz w:val="18"/>
                <w:szCs w:val="18"/>
                <w:lang w:val="en-GB" w:eastAsia="en-GB"/>
              </w:rPr>
            </w:pPr>
          </w:p>
        </w:tc>
      </w:tr>
      <w:tr w14:paraId="642A4D4B">
        <w:tblPrEx>
          <w:tblCellMar>
            <w:top w:w="0" w:type="dxa"/>
            <w:left w:w="108" w:type="dxa"/>
            <w:bottom w:w="0" w:type="dxa"/>
            <w:right w:w="108" w:type="dxa"/>
          </w:tblCellMar>
        </w:tblPrEx>
        <w:tc>
          <w:tcPr>
            <w:tcW w:w="587" w:type="dxa"/>
            <w:shd w:val="clear" w:color="auto" w:fill="EEEEEE"/>
          </w:tcPr>
          <w:p w14:paraId="11F7484C">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14:paraId="569D49F3">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EEEEEE"/>
          </w:tcPr>
          <w:p w14:paraId="6B2ACDE9">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how genetic variants were handled in the analyses and, if applicable, how their weights were selected</w:t>
            </w:r>
          </w:p>
        </w:tc>
        <w:tc>
          <w:tcPr>
            <w:tcW w:w="720" w:type="dxa"/>
            <w:shd w:val="clear" w:color="auto" w:fill="EEEEEE"/>
          </w:tcPr>
          <w:p w14:paraId="0DAE64B0">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NA</w:t>
            </w:r>
          </w:p>
        </w:tc>
        <w:tc>
          <w:tcPr>
            <w:tcW w:w="4320" w:type="dxa"/>
            <w:shd w:val="clear" w:color="auto" w:fill="EEEEEE"/>
          </w:tcPr>
          <w:p w14:paraId="1612F89F">
            <w:pPr>
              <w:spacing w:before="96" w:beforeLines="40" w:after="96" w:afterLines="40" w:line="24" w:lineRule="atLeast"/>
              <w:rPr>
                <w:rFonts w:eastAsia="Times New Roman"/>
                <w:sz w:val="18"/>
                <w:szCs w:val="18"/>
                <w:lang w:val="en-GB" w:eastAsia="en-GB"/>
              </w:rPr>
            </w:pPr>
          </w:p>
        </w:tc>
      </w:tr>
      <w:tr w14:paraId="70378831">
        <w:tblPrEx>
          <w:tblCellMar>
            <w:top w:w="0" w:type="dxa"/>
            <w:left w:w="108" w:type="dxa"/>
            <w:bottom w:w="0" w:type="dxa"/>
            <w:right w:w="108" w:type="dxa"/>
          </w:tblCellMar>
        </w:tblPrEx>
        <w:tc>
          <w:tcPr>
            <w:tcW w:w="587" w:type="dxa"/>
            <w:shd w:val="clear" w:color="auto" w:fill="auto"/>
          </w:tcPr>
          <w:p w14:paraId="45E41495">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59F665E7">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auto"/>
          </w:tcPr>
          <w:p w14:paraId="5CB03D96">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720" w:type="dxa"/>
          </w:tcPr>
          <w:p w14:paraId="7B7E7C35">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13</w:t>
            </w:r>
          </w:p>
        </w:tc>
        <w:tc>
          <w:tcPr>
            <w:tcW w:w="4320" w:type="dxa"/>
          </w:tcPr>
          <w:p w14:paraId="334D44EB">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To test for DEGs causally associated to glaucoma, effect alleles and effect sizes were first harmonized with the R package "Two Sample MR" function harmonise_data. Subsequently, MR analysis was performed by the mr function combined with five algorithms MR Egger[34], Weighted median[35], Simple mode[36], Weighted mode[37]including Inverse variance weighted (IVW)[38]. The IVW algorithm has a P-value of less than 0.05, demonstrating a link between the corresponding exposure factor and the outcome. Meanwhile, if the equivalent odds ratios (ORs) value is greater than one, it means that the exposure factor acts as a risk factor for outcome, and vice versa for protection. Lastly, scatter plot, forest plot, and funnel plot were applied to display the MR results.</w:t>
            </w:r>
          </w:p>
        </w:tc>
      </w:tr>
      <w:tr w14:paraId="0D8F3A7E">
        <w:tblPrEx>
          <w:tblCellMar>
            <w:top w:w="0" w:type="dxa"/>
            <w:left w:w="108" w:type="dxa"/>
            <w:bottom w:w="0" w:type="dxa"/>
            <w:right w:w="108" w:type="dxa"/>
          </w:tblCellMar>
        </w:tblPrEx>
        <w:tc>
          <w:tcPr>
            <w:tcW w:w="587" w:type="dxa"/>
            <w:shd w:val="clear" w:color="auto" w:fill="EEEEEE"/>
          </w:tcPr>
          <w:p w14:paraId="1D70C4CD">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14:paraId="0A3AAFD6">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7041" w:type="dxa"/>
            <w:shd w:val="clear" w:color="auto" w:fill="EEEEEE"/>
          </w:tcPr>
          <w:p w14:paraId="08786389">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Explain how missing data were addressed</w:t>
            </w:r>
          </w:p>
        </w:tc>
        <w:tc>
          <w:tcPr>
            <w:tcW w:w="720" w:type="dxa"/>
            <w:shd w:val="clear" w:color="auto" w:fill="EEEEEE"/>
          </w:tcPr>
          <w:p w14:paraId="297C3632">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NA</w:t>
            </w:r>
          </w:p>
        </w:tc>
        <w:tc>
          <w:tcPr>
            <w:tcW w:w="4320" w:type="dxa"/>
            <w:shd w:val="clear" w:color="auto" w:fill="EEEEEE"/>
          </w:tcPr>
          <w:p w14:paraId="16808665">
            <w:pPr>
              <w:spacing w:before="96" w:beforeLines="40" w:after="96" w:afterLines="40" w:line="24" w:lineRule="atLeast"/>
              <w:rPr>
                <w:rFonts w:eastAsia="Times New Roman"/>
                <w:sz w:val="18"/>
                <w:szCs w:val="18"/>
                <w:lang w:val="en-GB" w:eastAsia="en-GB"/>
              </w:rPr>
            </w:pPr>
          </w:p>
        </w:tc>
      </w:tr>
      <w:tr w14:paraId="77F037B8">
        <w:tblPrEx>
          <w:tblCellMar>
            <w:top w:w="0" w:type="dxa"/>
            <w:left w:w="108" w:type="dxa"/>
            <w:bottom w:w="0" w:type="dxa"/>
            <w:right w:w="108" w:type="dxa"/>
          </w:tblCellMar>
        </w:tblPrEx>
        <w:tc>
          <w:tcPr>
            <w:tcW w:w="587" w:type="dxa"/>
            <w:shd w:val="clear" w:color="auto" w:fill="auto"/>
          </w:tcPr>
          <w:p w14:paraId="4AC39E55">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4D9E0350">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7041" w:type="dxa"/>
            <w:shd w:val="clear" w:color="auto" w:fill="auto"/>
          </w:tcPr>
          <w:p w14:paraId="41F1E523">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applicable, indicate how multiple testing was addressed</w:t>
            </w:r>
          </w:p>
        </w:tc>
        <w:tc>
          <w:tcPr>
            <w:tcW w:w="720" w:type="dxa"/>
          </w:tcPr>
          <w:p w14:paraId="6B5C4982">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NA</w:t>
            </w:r>
          </w:p>
        </w:tc>
        <w:tc>
          <w:tcPr>
            <w:tcW w:w="4320" w:type="dxa"/>
          </w:tcPr>
          <w:p w14:paraId="490E44D4">
            <w:pPr>
              <w:spacing w:before="96" w:beforeLines="40" w:after="96" w:afterLines="40" w:line="24" w:lineRule="atLeast"/>
              <w:rPr>
                <w:rFonts w:eastAsia="Times New Roman"/>
                <w:sz w:val="18"/>
                <w:szCs w:val="18"/>
                <w:lang w:val="en-GB" w:eastAsia="en-GB"/>
              </w:rPr>
            </w:pPr>
          </w:p>
        </w:tc>
      </w:tr>
      <w:tr w14:paraId="585043CE">
        <w:tblPrEx>
          <w:tblCellMar>
            <w:top w:w="0" w:type="dxa"/>
            <w:left w:w="108" w:type="dxa"/>
            <w:bottom w:w="0" w:type="dxa"/>
            <w:right w:w="108" w:type="dxa"/>
          </w:tblCellMar>
        </w:tblPrEx>
        <w:tc>
          <w:tcPr>
            <w:tcW w:w="587" w:type="dxa"/>
            <w:shd w:val="clear" w:color="auto" w:fill="EEEEEE"/>
          </w:tcPr>
          <w:p w14:paraId="55967D09">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7</w:t>
            </w:r>
          </w:p>
        </w:tc>
        <w:tc>
          <w:tcPr>
            <w:tcW w:w="1822" w:type="dxa"/>
            <w:shd w:val="clear" w:color="auto" w:fill="EEEEEE"/>
          </w:tcPr>
          <w:p w14:paraId="0947B164">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Assessment of assumptions</w:t>
            </w:r>
          </w:p>
        </w:tc>
        <w:tc>
          <w:tcPr>
            <w:tcW w:w="7041" w:type="dxa"/>
            <w:shd w:val="clear" w:color="auto" w:fill="EEEEEE"/>
          </w:tcPr>
          <w:p w14:paraId="1E6D0B1E">
            <w:pPr>
              <w:tabs>
                <w:tab w:val="left" w:pos="1620"/>
              </w:tabs>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any methods or prior knowledge used to assess the assumptions or justify their validity</w:t>
            </w:r>
            <w:r>
              <w:rPr>
                <w:rFonts w:eastAsia="Cambria"/>
                <w:sz w:val="18"/>
                <w:szCs w:val="18"/>
                <w:lang w:val="en-GB" w:eastAsia="en-US"/>
              </w:rPr>
              <w:tab/>
            </w:r>
          </w:p>
        </w:tc>
        <w:tc>
          <w:tcPr>
            <w:tcW w:w="720" w:type="dxa"/>
            <w:shd w:val="clear" w:color="auto" w:fill="EEEEEE"/>
          </w:tcPr>
          <w:p w14:paraId="61C50F74">
            <w:pPr>
              <w:tabs>
                <w:tab w:val="left" w:pos="1620"/>
              </w:tabs>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13</w:t>
            </w:r>
          </w:p>
        </w:tc>
        <w:tc>
          <w:tcPr>
            <w:tcW w:w="4320" w:type="dxa"/>
            <w:shd w:val="clear" w:color="auto" w:fill="EEEEEE"/>
          </w:tcPr>
          <w:p w14:paraId="5D46DB2B">
            <w:pPr>
              <w:tabs>
                <w:tab w:val="left" w:pos="1620"/>
              </w:tabs>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Sensitivity tests were performed to ensure that the MR results were reliable. First, the function mr_heterogeneity from the R package "Two Sample MR" was implemented to detect heterogeneity between exposure factors and outcome samples (P&gt;0.05) [39]. Then, utilizing the R package "Two Sample MR" function mr_pleiotropy_test, a horizontal pleiotropy test was run to identify the presence of confounders interacting with SNPs in influencing the outcome via exposure factors (P&gt;0.05)[40]. The data were also subjected to MR Pleiotropy RESidual Sum and Outlier (PRESSO) testing via the mr_presso tool (v 1.0.0)[41]. Finally, the R package TwoSampleMR function mr_leaveoneout was applied to verify the robustness of MR results[42].</w:t>
            </w:r>
          </w:p>
        </w:tc>
      </w:tr>
      <w:tr w14:paraId="383932D9">
        <w:tblPrEx>
          <w:tblCellMar>
            <w:top w:w="0" w:type="dxa"/>
            <w:left w:w="108" w:type="dxa"/>
            <w:bottom w:w="0" w:type="dxa"/>
            <w:right w:w="108" w:type="dxa"/>
          </w:tblCellMar>
        </w:tblPrEx>
        <w:tc>
          <w:tcPr>
            <w:tcW w:w="587" w:type="dxa"/>
            <w:shd w:val="clear" w:color="auto" w:fill="auto"/>
          </w:tcPr>
          <w:p w14:paraId="1A4621BC">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8</w:t>
            </w:r>
          </w:p>
        </w:tc>
        <w:tc>
          <w:tcPr>
            <w:tcW w:w="1822" w:type="dxa"/>
            <w:shd w:val="clear" w:color="auto" w:fill="auto"/>
          </w:tcPr>
          <w:p w14:paraId="0F88F25B">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Sensitivity analyses and additional analyses</w:t>
            </w:r>
          </w:p>
        </w:tc>
        <w:tc>
          <w:tcPr>
            <w:tcW w:w="7041" w:type="dxa"/>
            <w:shd w:val="clear" w:color="auto" w:fill="auto"/>
          </w:tcPr>
          <w:p w14:paraId="13C6445C">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720" w:type="dxa"/>
          </w:tcPr>
          <w:p w14:paraId="4B9B6FF5">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13</w:t>
            </w:r>
          </w:p>
        </w:tc>
        <w:tc>
          <w:tcPr>
            <w:tcW w:w="4320" w:type="dxa"/>
          </w:tcPr>
          <w:p w14:paraId="229BFDFD">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Sensitivity tests were performed to ensure that the MR results were reliable. First, the function mr_heterogeneity from the R package "Two Sample MR" was implemented to detect heterogeneity between exposure factors and outcome samples (P&gt;0.05) [39]. Then, utilizing the R package "Two Sample MR" function mr_pleiotropy_test, a horizontal pleiotropy test was run to identify the presence of confounders interacting with SNPs in influencing the outcome via exposure factors (P&gt;0.05)[40]. The data were also subjected to MR Pleiotropy RESidual Sum and Outlier (PRESSO) testing via the mr_presso tool (v 1.0.0)[41]. Finally, the R package TwoSampleMR function mr_leaveoneout was applied to verify the robustness of MR results[42]</w:t>
            </w:r>
          </w:p>
        </w:tc>
      </w:tr>
      <w:tr w14:paraId="55C7A410">
        <w:tblPrEx>
          <w:tblCellMar>
            <w:top w:w="0" w:type="dxa"/>
            <w:left w:w="108" w:type="dxa"/>
            <w:bottom w:w="0" w:type="dxa"/>
            <w:right w:w="108" w:type="dxa"/>
          </w:tblCellMar>
        </w:tblPrEx>
        <w:tc>
          <w:tcPr>
            <w:tcW w:w="587" w:type="dxa"/>
            <w:shd w:val="clear" w:color="auto" w:fill="EEEEEE"/>
          </w:tcPr>
          <w:p w14:paraId="056075DE">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9</w:t>
            </w:r>
          </w:p>
        </w:tc>
        <w:tc>
          <w:tcPr>
            <w:tcW w:w="1822" w:type="dxa"/>
            <w:shd w:val="clear" w:color="auto" w:fill="EEEEEE"/>
          </w:tcPr>
          <w:p w14:paraId="6096809E">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Software and pre-registration</w:t>
            </w:r>
          </w:p>
        </w:tc>
        <w:tc>
          <w:tcPr>
            <w:tcW w:w="7041" w:type="dxa"/>
            <w:shd w:val="clear" w:color="auto" w:fill="EEEEEE"/>
          </w:tcPr>
          <w:p w14:paraId="08D1055E">
            <w:pPr>
              <w:spacing w:before="96" w:beforeLines="40" w:after="96" w:afterLines="40" w:line="24" w:lineRule="atLeast"/>
              <w:rPr>
                <w:rFonts w:eastAsia="Cambria"/>
                <w:sz w:val="18"/>
                <w:szCs w:val="18"/>
                <w:lang w:val="en-GB" w:eastAsia="en-US"/>
              </w:rPr>
            </w:pPr>
          </w:p>
        </w:tc>
        <w:tc>
          <w:tcPr>
            <w:tcW w:w="720" w:type="dxa"/>
            <w:shd w:val="clear" w:color="auto" w:fill="EEEEEE"/>
          </w:tcPr>
          <w:p w14:paraId="721E714E">
            <w:pPr>
              <w:spacing w:before="96" w:beforeLines="40" w:after="96" w:afterLines="40" w:line="24" w:lineRule="atLeast"/>
              <w:rPr>
                <w:rFonts w:eastAsia="Cambria"/>
                <w:sz w:val="18"/>
                <w:szCs w:val="18"/>
                <w:lang w:val="en-GB" w:eastAsia="en-US"/>
              </w:rPr>
            </w:pPr>
          </w:p>
        </w:tc>
        <w:tc>
          <w:tcPr>
            <w:tcW w:w="4320" w:type="dxa"/>
            <w:shd w:val="clear" w:color="auto" w:fill="EEEEEE"/>
          </w:tcPr>
          <w:p w14:paraId="495710C0">
            <w:pPr>
              <w:spacing w:before="96" w:beforeLines="40" w:after="96" w:afterLines="40" w:line="24" w:lineRule="atLeast"/>
              <w:rPr>
                <w:rFonts w:eastAsia="Cambria"/>
                <w:sz w:val="18"/>
                <w:szCs w:val="18"/>
                <w:lang w:val="en-GB" w:eastAsia="en-US"/>
              </w:rPr>
            </w:pPr>
          </w:p>
        </w:tc>
      </w:tr>
      <w:tr w14:paraId="5EA9EBD1">
        <w:tblPrEx>
          <w:tblCellMar>
            <w:top w:w="0" w:type="dxa"/>
            <w:left w:w="108" w:type="dxa"/>
            <w:bottom w:w="0" w:type="dxa"/>
            <w:right w:w="108" w:type="dxa"/>
          </w:tblCellMar>
        </w:tblPrEx>
        <w:tc>
          <w:tcPr>
            <w:tcW w:w="587" w:type="dxa"/>
            <w:shd w:val="clear" w:color="auto" w:fill="auto"/>
          </w:tcPr>
          <w:p w14:paraId="66EDED80">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50BD32B9">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auto"/>
          </w:tcPr>
          <w:p w14:paraId="054FBA47">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Name statistical software and package(s), including version and settings used </w:t>
            </w:r>
          </w:p>
        </w:tc>
        <w:tc>
          <w:tcPr>
            <w:tcW w:w="720" w:type="dxa"/>
          </w:tcPr>
          <w:p w14:paraId="305BB821">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15</w:t>
            </w:r>
          </w:p>
        </w:tc>
        <w:tc>
          <w:tcPr>
            <w:tcW w:w="4320" w:type="dxa"/>
          </w:tcPr>
          <w:p w14:paraId="79626260">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Bioinformatics analyses were carried out in R (v 4.2.2). The data from separate groups were compared using the Wilcoxon test (P &lt; 0.05).</w:t>
            </w:r>
          </w:p>
        </w:tc>
      </w:tr>
      <w:tr w14:paraId="6A631D93">
        <w:tblPrEx>
          <w:tblCellMar>
            <w:top w:w="0" w:type="dxa"/>
            <w:left w:w="108" w:type="dxa"/>
            <w:bottom w:w="0" w:type="dxa"/>
            <w:right w:w="108" w:type="dxa"/>
          </w:tblCellMar>
        </w:tblPrEx>
        <w:tc>
          <w:tcPr>
            <w:tcW w:w="587" w:type="dxa"/>
            <w:tcBorders>
              <w:bottom w:val="single" w:color="7F7F7F" w:sz="6" w:space="0"/>
            </w:tcBorders>
            <w:shd w:val="clear" w:color="auto" w:fill="EEEEEE"/>
          </w:tcPr>
          <w:p w14:paraId="37C88958">
            <w:pPr>
              <w:spacing w:before="96" w:beforeLines="40" w:after="96" w:afterLines="40" w:line="24" w:lineRule="atLeast"/>
              <w:jc w:val="right"/>
              <w:rPr>
                <w:rFonts w:eastAsia="Cambria"/>
                <w:b/>
                <w:bCs/>
                <w:sz w:val="18"/>
                <w:szCs w:val="18"/>
                <w:lang w:val="en-GB" w:eastAsia="en-US"/>
              </w:rPr>
            </w:pPr>
          </w:p>
        </w:tc>
        <w:tc>
          <w:tcPr>
            <w:tcW w:w="1822" w:type="dxa"/>
            <w:tcBorders>
              <w:bottom w:val="single" w:color="7F7F7F" w:sz="6" w:space="0"/>
            </w:tcBorders>
            <w:shd w:val="clear" w:color="auto" w:fill="EEEEEE"/>
          </w:tcPr>
          <w:p w14:paraId="2349B556">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tcBorders>
              <w:bottom w:val="single" w:color="7F7F7F" w:sz="6" w:space="0"/>
            </w:tcBorders>
            <w:shd w:val="clear" w:color="auto" w:fill="EEEEEE"/>
          </w:tcPr>
          <w:p w14:paraId="5DBE58D7">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State whether the study protocol and details were pre-registered (as well as when and where)</w:t>
            </w:r>
          </w:p>
        </w:tc>
        <w:tc>
          <w:tcPr>
            <w:tcW w:w="720" w:type="dxa"/>
            <w:tcBorders>
              <w:bottom w:val="single" w:color="7F7F7F" w:sz="6" w:space="0"/>
            </w:tcBorders>
            <w:shd w:val="clear" w:color="auto" w:fill="EEEEEE"/>
          </w:tcPr>
          <w:p w14:paraId="2325504F">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NA</w:t>
            </w:r>
          </w:p>
        </w:tc>
        <w:tc>
          <w:tcPr>
            <w:tcW w:w="4320" w:type="dxa"/>
            <w:tcBorders>
              <w:bottom w:val="single" w:color="7F7F7F" w:sz="6" w:space="0"/>
            </w:tcBorders>
            <w:shd w:val="clear" w:color="auto" w:fill="EEEEEE"/>
          </w:tcPr>
          <w:p w14:paraId="3EFCD231">
            <w:pPr>
              <w:spacing w:before="96" w:beforeLines="40" w:after="96" w:afterLines="40" w:line="24" w:lineRule="atLeast"/>
              <w:rPr>
                <w:rFonts w:eastAsia="Times New Roman"/>
                <w:sz w:val="18"/>
                <w:szCs w:val="18"/>
                <w:lang w:val="en-GB" w:eastAsia="en-GB"/>
              </w:rPr>
            </w:pPr>
          </w:p>
        </w:tc>
      </w:tr>
      <w:tr w14:paraId="040F15E5">
        <w:tblPrEx>
          <w:tblCellMar>
            <w:top w:w="0" w:type="dxa"/>
            <w:left w:w="108" w:type="dxa"/>
            <w:bottom w:w="0" w:type="dxa"/>
            <w:right w:w="108" w:type="dxa"/>
          </w:tblCellMar>
        </w:tblPrEx>
        <w:tc>
          <w:tcPr>
            <w:tcW w:w="587" w:type="dxa"/>
            <w:tcBorders>
              <w:top w:val="single" w:color="7F7F7F" w:sz="6" w:space="0"/>
            </w:tcBorders>
            <w:shd w:val="clear" w:color="auto" w:fill="auto"/>
          </w:tcPr>
          <w:p w14:paraId="777278B3">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14:paraId="7D8D653B">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RESULTS</w:t>
            </w:r>
          </w:p>
        </w:tc>
        <w:tc>
          <w:tcPr>
            <w:tcW w:w="7041" w:type="dxa"/>
            <w:tcBorders>
              <w:top w:val="single" w:color="7F7F7F" w:sz="6" w:space="0"/>
            </w:tcBorders>
            <w:shd w:val="clear" w:color="auto" w:fill="auto"/>
          </w:tcPr>
          <w:p w14:paraId="34719287">
            <w:pPr>
              <w:spacing w:before="96" w:beforeLines="40" w:after="96" w:afterLines="40" w:line="24" w:lineRule="atLeast"/>
              <w:rPr>
                <w:rFonts w:eastAsia="Cambria"/>
                <w:sz w:val="18"/>
                <w:szCs w:val="18"/>
                <w:lang w:val="en-GB" w:eastAsia="en-US"/>
              </w:rPr>
            </w:pPr>
          </w:p>
        </w:tc>
        <w:tc>
          <w:tcPr>
            <w:tcW w:w="720" w:type="dxa"/>
            <w:tcBorders>
              <w:top w:val="single" w:color="7F7F7F" w:sz="6" w:space="0"/>
            </w:tcBorders>
          </w:tcPr>
          <w:p w14:paraId="0E355A69">
            <w:pPr>
              <w:spacing w:before="96" w:beforeLines="40" w:after="96" w:afterLines="40" w:line="24" w:lineRule="atLeast"/>
              <w:rPr>
                <w:rFonts w:eastAsia="Cambria"/>
                <w:sz w:val="18"/>
                <w:szCs w:val="18"/>
                <w:lang w:val="en-GB" w:eastAsia="en-US"/>
              </w:rPr>
            </w:pPr>
          </w:p>
        </w:tc>
        <w:tc>
          <w:tcPr>
            <w:tcW w:w="4320" w:type="dxa"/>
            <w:tcBorders>
              <w:top w:val="single" w:color="7F7F7F" w:sz="6" w:space="0"/>
            </w:tcBorders>
          </w:tcPr>
          <w:p w14:paraId="33E956D1">
            <w:pPr>
              <w:spacing w:before="96" w:beforeLines="40" w:after="96" w:afterLines="40" w:line="24" w:lineRule="atLeast"/>
              <w:rPr>
                <w:rFonts w:eastAsia="Cambria"/>
                <w:sz w:val="18"/>
                <w:szCs w:val="18"/>
                <w:lang w:val="en-GB" w:eastAsia="en-US"/>
              </w:rPr>
            </w:pPr>
          </w:p>
        </w:tc>
      </w:tr>
      <w:tr w14:paraId="67F47EED">
        <w:tblPrEx>
          <w:tblCellMar>
            <w:top w:w="0" w:type="dxa"/>
            <w:left w:w="108" w:type="dxa"/>
            <w:bottom w:w="0" w:type="dxa"/>
            <w:right w:w="108" w:type="dxa"/>
          </w:tblCellMar>
        </w:tblPrEx>
        <w:tc>
          <w:tcPr>
            <w:tcW w:w="587" w:type="dxa"/>
            <w:shd w:val="clear" w:color="auto" w:fill="EEEEEE"/>
          </w:tcPr>
          <w:p w14:paraId="51C7A54B">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10</w:t>
            </w:r>
          </w:p>
        </w:tc>
        <w:tc>
          <w:tcPr>
            <w:tcW w:w="1822" w:type="dxa"/>
            <w:shd w:val="clear" w:color="auto" w:fill="EEEEEE"/>
          </w:tcPr>
          <w:p w14:paraId="731D0370">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Descriptive data</w:t>
            </w:r>
          </w:p>
        </w:tc>
        <w:tc>
          <w:tcPr>
            <w:tcW w:w="7041" w:type="dxa"/>
            <w:shd w:val="clear" w:color="auto" w:fill="EEEEEE"/>
          </w:tcPr>
          <w:p w14:paraId="3B19CDAF">
            <w:pPr>
              <w:spacing w:before="96" w:beforeLines="40" w:after="96" w:afterLines="40" w:line="24" w:lineRule="atLeast"/>
              <w:rPr>
                <w:rFonts w:eastAsia="Cambria"/>
                <w:sz w:val="18"/>
                <w:szCs w:val="18"/>
                <w:lang w:val="en-GB" w:eastAsia="en-US"/>
              </w:rPr>
            </w:pPr>
          </w:p>
        </w:tc>
        <w:tc>
          <w:tcPr>
            <w:tcW w:w="720" w:type="dxa"/>
            <w:shd w:val="clear" w:color="auto" w:fill="EEEEEE"/>
          </w:tcPr>
          <w:p w14:paraId="1091FF57">
            <w:pPr>
              <w:spacing w:before="96" w:beforeLines="40" w:after="96" w:afterLines="40" w:line="24" w:lineRule="atLeast"/>
              <w:rPr>
                <w:rFonts w:eastAsia="Cambria"/>
                <w:sz w:val="18"/>
                <w:szCs w:val="18"/>
                <w:lang w:val="en-GB" w:eastAsia="en-US"/>
              </w:rPr>
            </w:pPr>
          </w:p>
        </w:tc>
        <w:tc>
          <w:tcPr>
            <w:tcW w:w="4320" w:type="dxa"/>
            <w:shd w:val="clear" w:color="auto" w:fill="EEEEEE"/>
          </w:tcPr>
          <w:p w14:paraId="4B684E79">
            <w:pPr>
              <w:spacing w:before="96" w:beforeLines="40" w:after="96" w:afterLines="40" w:line="24" w:lineRule="atLeast"/>
              <w:rPr>
                <w:rFonts w:eastAsia="Cambria"/>
                <w:sz w:val="18"/>
                <w:szCs w:val="18"/>
                <w:lang w:val="en-GB" w:eastAsia="en-US"/>
              </w:rPr>
            </w:pPr>
          </w:p>
        </w:tc>
      </w:tr>
      <w:tr w14:paraId="6CA228D1">
        <w:tblPrEx>
          <w:tblCellMar>
            <w:top w:w="0" w:type="dxa"/>
            <w:left w:w="108" w:type="dxa"/>
            <w:bottom w:w="0" w:type="dxa"/>
            <w:right w:w="108" w:type="dxa"/>
          </w:tblCellMar>
        </w:tblPrEx>
        <w:tc>
          <w:tcPr>
            <w:tcW w:w="587" w:type="dxa"/>
            <w:shd w:val="clear" w:color="auto" w:fill="auto"/>
          </w:tcPr>
          <w:p w14:paraId="29B62776">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4C1499C8">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auto"/>
          </w:tcPr>
          <w:p w14:paraId="4D5C652C">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numbers of individuals at each stage of included studies and reasons for exclusion. Consider use of a flow diagram</w:t>
            </w:r>
          </w:p>
        </w:tc>
        <w:tc>
          <w:tcPr>
            <w:tcW w:w="720" w:type="dxa"/>
          </w:tcPr>
          <w:p w14:paraId="7AF8CC23">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NA</w:t>
            </w:r>
          </w:p>
        </w:tc>
        <w:tc>
          <w:tcPr>
            <w:tcW w:w="4320" w:type="dxa"/>
          </w:tcPr>
          <w:p w14:paraId="00D65497">
            <w:pPr>
              <w:spacing w:before="96" w:beforeLines="40" w:after="96" w:afterLines="40" w:line="24" w:lineRule="atLeast"/>
              <w:rPr>
                <w:rFonts w:hint="eastAsia" w:eastAsia="宋体"/>
                <w:sz w:val="18"/>
                <w:szCs w:val="18"/>
                <w:lang w:val="en-US" w:eastAsia="zh-CN"/>
              </w:rPr>
            </w:pPr>
          </w:p>
        </w:tc>
      </w:tr>
      <w:tr w14:paraId="0765C344">
        <w:tblPrEx>
          <w:tblCellMar>
            <w:top w:w="0" w:type="dxa"/>
            <w:left w:w="108" w:type="dxa"/>
            <w:bottom w:w="0" w:type="dxa"/>
            <w:right w:w="108" w:type="dxa"/>
          </w:tblCellMar>
        </w:tblPrEx>
        <w:tc>
          <w:tcPr>
            <w:tcW w:w="587" w:type="dxa"/>
            <w:shd w:val="clear" w:color="auto" w:fill="EEEEEE"/>
          </w:tcPr>
          <w:p w14:paraId="2404BFFB">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14:paraId="6545C2F1">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EEEEEE"/>
          </w:tcPr>
          <w:p w14:paraId="405491AF">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summary statistics for phenotypic exposure(s), outcome(s), and other relevant variables (e.g. means, SDs, proportions)</w:t>
            </w:r>
          </w:p>
        </w:tc>
        <w:tc>
          <w:tcPr>
            <w:tcW w:w="720" w:type="dxa"/>
            <w:shd w:val="clear" w:color="auto" w:fill="EEEEEE"/>
          </w:tcPr>
          <w:p w14:paraId="03BBA613">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NA</w:t>
            </w:r>
          </w:p>
        </w:tc>
        <w:tc>
          <w:tcPr>
            <w:tcW w:w="4320" w:type="dxa"/>
            <w:shd w:val="clear" w:color="auto" w:fill="EEEEEE"/>
          </w:tcPr>
          <w:p w14:paraId="0FD9D468">
            <w:pPr>
              <w:spacing w:before="96" w:beforeLines="40" w:after="96" w:afterLines="40" w:line="24" w:lineRule="atLeast"/>
              <w:rPr>
                <w:rFonts w:eastAsia="Times New Roman"/>
                <w:sz w:val="18"/>
                <w:szCs w:val="18"/>
                <w:lang w:val="en-GB" w:eastAsia="en-GB"/>
              </w:rPr>
            </w:pPr>
          </w:p>
        </w:tc>
      </w:tr>
      <w:tr w14:paraId="48F10342">
        <w:tblPrEx>
          <w:tblCellMar>
            <w:top w:w="0" w:type="dxa"/>
            <w:left w:w="108" w:type="dxa"/>
            <w:bottom w:w="0" w:type="dxa"/>
            <w:right w:w="108" w:type="dxa"/>
          </w:tblCellMar>
        </w:tblPrEx>
        <w:tc>
          <w:tcPr>
            <w:tcW w:w="587" w:type="dxa"/>
            <w:shd w:val="clear" w:color="auto" w:fill="auto"/>
          </w:tcPr>
          <w:p w14:paraId="6600AF43">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435099F2">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auto"/>
          </w:tcPr>
          <w:p w14:paraId="062EB561">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the data sources include meta-analyses of previous studies, provide the assessments of heterogeneity across these studies</w:t>
            </w:r>
          </w:p>
        </w:tc>
        <w:tc>
          <w:tcPr>
            <w:tcW w:w="720" w:type="dxa"/>
          </w:tcPr>
          <w:p w14:paraId="10F6EF39">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NA</w:t>
            </w:r>
          </w:p>
        </w:tc>
        <w:tc>
          <w:tcPr>
            <w:tcW w:w="4320" w:type="dxa"/>
          </w:tcPr>
          <w:p w14:paraId="449D40FD">
            <w:pPr>
              <w:spacing w:before="96" w:beforeLines="40" w:after="96" w:afterLines="40" w:line="24" w:lineRule="atLeast"/>
              <w:rPr>
                <w:rFonts w:eastAsia="Times New Roman"/>
                <w:sz w:val="18"/>
                <w:szCs w:val="18"/>
                <w:lang w:val="en-GB" w:eastAsia="en-GB"/>
              </w:rPr>
            </w:pPr>
          </w:p>
        </w:tc>
      </w:tr>
      <w:tr w14:paraId="51930A8C">
        <w:tblPrEx>
          <w:tblCellMar>
            <w:top w:w="0" w:type="dxa"/>
            <w:left w:w="108" w:type="dxa"/>
            <w:bottom w:w="0" w:type="dxa"/>
            <w:right w:w="108" w:type="dxa"/>
          </w:tblCellMar>
        </w:tblPrEx>
        <w:tc>
          <w:tcPr>
            <w:tcW w:w="587" w:type="dxa"/>
            <w:shd w:val="clear" w:color="auto" w:fill="EEEEEE"/>
          </w:tcPr>
          <w:p w14:paraId="6116DD95">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14:paraId="453F7877">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7041" w:type="dxa"/>
            <w:shd w:val="clear" w:color="auto" w:fill="EEEEEE"/>
          </w:tcPr>
          <w:p w14:paraId="2EFD572E">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For </w:t>
            </w:r>
            <w:r>
              <w:rPr>
                <w:rFonts w:eastAsia="Times New Roman"/>
                <w:iCs/>
                <w:sz w:val="18"/>
                <w:szCs w:val="18"/>
                <w:lang w:val="en-GB" w:eastAsia="en-GB"/>
              </w:rPr>
              <w:t>two-sample</w:t>
            </w:r>
            <w:r>
              <w:rPr>
                <w:rFonts w:eastAsia="Times New Roman"/>
                <w:sz w:val="18"/>
                <w:szCs w:val="18"/>
                <w:lang w:val="en-GB" w:eastAsia="en-GB"/>
              </w:rPr>
              <w:t xml:space="preserve"> MR:</w:t>
            </w:r>
          </w:p>
          <w:p w14:paraId="48065368">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   i.  Provide justification of the similarity of the genetic variant-exposure associations between the exposure and outcome samples</w:t>
            </w:r>
          </w:p>
          <w:p w14:paraId="35BA9280">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   ii.  Provide information on the number of individuals who overlap between the exposure and outcome studies</w:t>
            </w:r>
          </w:p>
        </w:tc>
        <w:tc>
          <w:tcPr>
            <w:tcW w:w="720" w:type="dxa"/>
            <w:shd w:val="clear" w:color="auto" w:fill="EEEEEE"/>
          </w:tcPr>
          <w:p w14:paraId="4948EE3D">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NA</w:t>
            </w:r>
          </w:p>
        </w:tc>
        <w:tc>
          <w:tcPr>
            <w:tcW w:w="4320" w:type="dxa"/>
            <w:shd w:val="clear" w:color="auto" w:fill="EEEEEE"/>
          </w:tcPr>
          <w:p w14:paraId="5B2A1A71">
            <w:pPr>
              <w:spacing w:before="96" w:beforeLines="40" w:after="96" w:afterLines="40" w:line="24" w:lineRule="atLeast"/>
              <w:rPr>
                <w:rFonts w:eastAsia="Times New Roman"/>
                <w:sz w:val="18"/>
                <w:szCs w:val="18"/>
                <w:lang w:val="en-GB" w:eastAsia="en-GB"/>
              </w:rPr>
            </w:pPr>
          </w:p>
        </w:tc>
      </w:tr>
      <w:tr w14:paraId="52CFCA59">
        <w:tc>
          <w:tcPr>
            <w:tcW w:w="587" w:type="dxa"/>
            <w:shd w:val="clear" w:color="auto" w:fill="auto"/>
          </w:tcPr>
          <w:p w14:paraId="110872BB">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11</w:t>
            </w:r>
          </w:p>
        </w:tc>
        <w:tc>
          <w:tcPr>
            <w:tcW w:w="1822" w:type="dxa"/>
            <w:shd w:val="clear" w:color="auto" w:fill="auto"/>
          </w:tcPr>
          <w:p w14:paraId="0C26298F">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Main results</w:t>
            </w:r>
          </w:p>
        </w:tc>
        <w:tc>
          <w:tcPr>
            <w:tcW w:w="7041" w:type="dxa"/>
            <w:shd w:val="clear" w:color="auto" w:fill="auto"/>
          </w:tcPr>
          <w:p w14:paraId="2F14FA37">
            <w:pPr>
              <w:spacing w:before="96" w:beforeLines="40" w:after="96" w:afterLines="40" w:line="24" w:lineRule="atLeast"/>
              <w:rPr>
                <w:rFonts w:eastAsia="Cambria"/>
                <w:sz w:val="18"/>
                <w:szCs w:val="18"/>
                <w:lang w:val="en-GB" w:eastAsia="en-US"/>
              </w:rPr>
            </w:pPr>
          </w:p>
        </w:tc>
        <w:tc>
          <w:tcPr>
            <w:tcW w:w="720" w:type="dxa"/>
          </w:tcPr>
          <w:p w14:paraId="035B3367">
            <w:pPr>
              <w:spacing w:before="96" w:beforeLines="40" w:after="96" w:afterLines="40" w:line="24" w:lineRule="atLeast"/>
              <w:rPr>
                <w:rFonts w:eastAsia="Cambria"/>
                <w:sz w:val="18"/>
                <w:szCs w:val="18"/>
                <w:lang w:val="en-GB" w:eastAsia="en-US"/>
              </w:rPr>
            </w:pPr>
          </w:p>
        </w:tc>
        <w:tc>
          <w:tcPr>
            <w:tcW w:w="4320" w:type="dxa"/>
          </w:tcPr>
          <w:p w14:paraId="0AFA0083">
            <w:pPr>
              <w:spacing w:before="96" w:beforeLines="40" w:after="96" w:afterLines="40" w:line="24" w:lineRule="atLeast"/>
              <w:rPr>
                <w:rFonts w:eastAsia="Cambria"/>
                <w:sz w:val="18"/>
                <w:szCs w:val="18"/>
                <w:lang w:val="en-GB" w:eastAsia="en-US"/>
              </w:rPr>
            </w:pPr>
          </w:p>
        </w:tc>
      </w:tr>
      <w:tr w14:paraId="56845A2A">
        <w:tblPrEx>
          <w:tblCellMar>
            <w:top w:w="0" w:type="dxa"/>
            <w:left w:w="108" w:type="dxa"/>
            <w:bottom w:w="0" w:type="dxa"/>
            <w:right w:w="108" w:type="dxa"/>
          </w:tblCellMar>
        </w:tblPrEx>
        <w:tc>
          <w:tcPr>
            <w:tcW w:w="587" w:type="dxa"/>
            <w:shd w:val="clear" w:color="auto" w:fill="EEEEEE"/>
          </w:tcPr>
          <w:p w14:paraId="0892A548">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14:paraId="7CDB72AD">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EEEEEE"/>
          </w:tcPr>
          <w:p w14:paraId="09CB478B">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associations between genetic variant and exposure, and between genetic variant and outcome, preferably on an interpretable scale</w:t>
            </w:r>
          </w:p>
        </w:tc>
        <w:tc>
          <w:tcPr>
            <w:tcW w:w="720" w:type="dxa"/>
            <w:shd w:val="clear" w:color="auto" w:fill="EEEEEE"/>
          </w:tcPr>
          <w:p w14:paraId="7F1B8B69">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NA</w:t>
            </w:r>
          </w:p>
        </w:tc>
        <w:tc>
          <w:tcPr>
            <w:tcW w:w="4320" w:type="dxa"/>
            <w:shd w:val="clear" w:color="auto" w:fill="EEEEEE"/>
          </w:tcPr>
          <w:p w14:paraId="7BCA1C07">
            <w:pPr>
              <w:spacing w:before="96" w:beforeLines="40" w:after="96" w:afterLines="40" w:line="24" w:lineRule="atLeast"/>
              <w:rPr>
                <w:rFonts w:eastAsia="Times New Roman"/>
                <w:sz w:val="18"/>
                <w:szCs w:val="18"/>
                <w:lang w:val="en-GB" w:eastAsia="en-GB"/>
              </w:rPr>
            </w:pPr>
          </w:p>
        </w:tc>
      </w:tr>
      <w:tr w14:paraId="2FAEFE68">
        <w:tblPrEx>
          <w:tblCellMar>
            <w:top w:w="0" w:type="dxa"/>
            <w:left w:w="108" w:type="dxa"/>
            <w:bottom w:w="0" w:type="dxa"/>
            <w:right w:w="108" w:type="dxa"/>
          </w:tblCellMar>
        </w:tblPrEx>
        <w:tc>
          <w:tcPr>
            <w:tcW w:w="587" w:type="dxa"/>
            <w:shd w:val="clear" w:color="auto" w:fill="auto"/>
          </w:tcPr>
          <w:p w14:paraId="2E83DFB7">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142A3CE2">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auto"/>
          </w:tcPr>
          <w:p w14:paraId="336E75EE">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MR estimates of the relationship between exposure and outcome, and the measures of uncertainty from the MR analysis, on an interpretable scale, such as odds ratio or relative risk per SD difference</w:t>
            </w:r>
          </w:p>
        </w:tc>
        <w:tc>
          <w:tcPr>
            <w:tcW w:w="720" w:type="dxa"/>
          </w:tcPr>
          <w:p w14:paraId="1E1B567F">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NA</w:t>
            </w:r>
          </w:p>
        </w:tc>
        <w:tc>
          <w:tcPr>
            <w:tcW w:w="4320" w:type="dxa"/>
          </w:tcPr>
          <w:p w14:paraId="4564CEDB">
            <w:pPr>
              <w:spacing w:before="96" w:beforeLines="40" w:after="96" w:afterLines="40" w:line="24" w:lineRule="atLeast"/>
              <w:rPr>
                <w:rFonts w:eastAsia="Times New Roman"/>
                <w:sz w:val="18"/>
                <w:szCs w:val="18"/>
                <w:lang w:val="en-GB" w:eastAsia="en-GB"/>
              </w:rPr>
            </w:pPr>
          </w:p>
        </w:tc>
      </w:tr>
      <w:tr w14:paraId="1FAC379E">
        <w:tblPrEx>
          <w:tblCellMar>
            <w:top w:w="0" w:type="dxa"/>
            <w:left w:w="108" w:type="dxa"/>
            <w:bottom w:w="0" w:type="dxa"/>
            <w:right w:w="108" w:type="dxa"/>
          </w:tblCellMar>
        </w:tblPrEx>
        <w:tc>
          <w:tcPr>
            <w:tcW w:w="587" w:type="dxa"/>
            <w:shd w:val="clear" w:color="auto" w:fill="EEEEEE"/>
          </w:tcPr>
          <w:p w14:paraId="6762B88A">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14:paraId="514E8164">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EEEEEE"/>
          </w:tcPr>
          <w:p w14:paraId="4BC6AB73">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relevant, consider translating estimates of relative risk into absolute risk for a meaningful time period</w:t>
            </w:r>
          </w:p>
        </w:tc>
        <w:tc>
          <w:tcPr>
            <w:tcW w:w="720" w:type="dxa"/>
            <w:shd w:val="clear" w:color="auto" w:fill="EEEEEE"/>
          </w:tcPr>
          <w:p w14:paraId="326BA5CA">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NA</w:t>
            </w:r>
          </w:p>
        </w:tc>
        <w:tc>
          <w:tcPr>
            <w:tcW w:w="4320" w:type="dxa"/>
            <w:shd w:val="clear" w:color="auto" w:fill="EEEEEE"/>
          </w:tcPr>
          <w:p w14:paraId="4A2216FF">
            <w:pPr>
              <w:spacing w:before="96" w:beforeLines="40" w:after="96" w:afterLines="40" w:line="24" w:lineRule="atLeast"/>
              <w:rPr>
                <w:rFonts w:eastAsia="Times New Roman"/>
                <w:sz w:val="18"/>
                <w:szCs w:val="18"/>
                <w:lang w:val="en-GB" w:eastAsia="en-GB"/>
              </w:rPr>
            </w:pPr>
          </w:p>
        </w:tc>
      </w:tr>
      <w:tr w14:paraId="00F87C74">
        <w:tblPrEx>
          <w:tblCellMar>
            <w:top w:w="0" w:type="dxa"/>
            <w:left w:w="108" w:type="dxa"/>
            <w:bottom w:w="0" w:type="dxa"/>
            <w:right w:w="108" w:type="dxa"/>
          </w:tblCellMar>
        </w:tblPrEx>
        <w:tc>
          <w:tcPr>
            <w:tcW w:w="587" w:type="dxa"/>
            <w:shd w:val="clear" w:color="auto" w:fill="auto"/>
          </w:tcPr>
          <w:p w14:paraId="2CDE5DE6">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69C50E8E">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7041" w:type="dxa"/>
            <w:shd w:val="clear" w:color="auto" w:fill="auto"/>
          </w:tcPr>
          <w:p w14:paraId="47CC3ACC">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720" w:type="dxa"/>
          </w:tcPr>
          <w:p w14:paraId="777DAC23">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5</w:t>
            </w:r>
          </w:p>
        </w:tc>
        <w:tc>
          <w:tcPr>
            <w:tcW w:w="4320" w:type="dxa"/>
          </w:tcPr>
          <w:p w14:paraId="40A504A4">
            <w:pPr>
              <w:spacing w:before="96" w:beforeLines="40" w:after="96" w:afterLines="40" w:line="24" w:lineRule="atLeast"/>
              <w:rPr>
                <w:rFonts w:hint="eastAsia" w:eastAsia="Times New Roman"/>
                <w:sz w:val="18"/>
                <w:szCs w:val="18"/>
                <w:lang w:val="en-GB" w:eastAsia="en-GB"/>
              </w:rPr>
            </w:pPr>
            <w:r>
              <w:rPr>
                <w:rFonts w:hint="eastAsia" w:eastAsia="Times New Roman"/>
                <w:sz w:val="18"/>
                <w:szCs w:val="18"/>
                <w:lang w:val="en-GB" w:eastAsia="en-GB"/>
              </w:rPr>
              <w:t>The 57 DEGs showed a significant causal association with glaucoma</w:t>
            </w:r>
          </w:p>
          <w:p w14:paraId="7B9F0A4D">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To identify DEGs with a causal connection to glaucoma, The MR methodology was employed. The IVW algorithm's P-value revealed that 113 DEGs were substantially linked with glaucoma (Supplementar Table S2). Supplementar Table S3 demonstrated that 30 DEGs were down-regulated in the case group while being protective for glaucoma in MR data (OR&gt;1), and 27 DEGs displayed the reverse tendency (OR&lt;1). Notably, scatter plots and forest plots were utilized to depict 57 DEGs with varying risk characteristics for glaucoma (Supplementar Fig. S1 and S2). The funnel plot, which illustrated the symmetrical distribution of each SNP locus on both sides of the IVW line, proved that the MR analysis followed Mendel's second random law (Supplementar Fig. S3). Finally, sensitivity studies validated the accuracy and reliability of the MR data (Supplementar Table S4 and S5, Supplementar Fig. S3).</w:t>
            </w:r>
          </w:p>
        </w:tc>
      </w:tr>
      <w:tr w14:paraId="62E6DFEA">
        <w:tblPrEx>
          <w:tblCellMar>
            <w:top w:w="0" w:type="dxa"/>
            <w:left w:w="108" w:type="dxa"/>
            <w:bottom w:w="0" w:type="dxa"/>
            <w:right w:w="108" w:type="dxa"/>
          </w:tblCellMar>
        </w:tblPrEx>
        <w:tc>
          <w:tcPr>
            <w:tcW w:w="587" w:type="dxa"/>
            <w:shd w:val="clear" w:color="auto" w:fill="EEEEEE"/>
          </w:tcPr>
          <w:p w14:paraId="57CB2789">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12</w:t>
            </w:r>
          </w:p>
        </w:tc>
        <w:tc>
          <w:tcPr>
            <w:tcW w:w="1822" w:type="dxa"/>
            <w:shd w:val="clear" w:color="auto" w:fill="EEEEEE"/>
          </w:tcPr>
          <w:p w14:paraId="27B891DB">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Assessment of assumptions</w:t>
            </w:r>
          </w:p>
        </w:tc>
        <w:tc>
          <w:tcPr>
            <w:tcW w:w="7041" w:type="dxa"/>
            <w:shd w:val="clear" w:color="auto" w:fill="EEEEEE"/>
          </w:tcPr>
          <w:p w14:paraId="6EC050C1">
            <w:pPr>
              <w:spacing w:before="96" w:beforeLines="40" w:after="96" w:afterLines="40" w:line="24" w:lineRule="atLeast"/>
              <w:rPr>
                <w:rFonts w:eastAsia="Cambria"/>
                <w:sz w:val="18"/>
                <w:szCs w:val="18"/>
                <w:lang w:val="en-GB" w:eastAsia="en-US"/>
              </w:rPr>
            </w:pPr>
          </w:p>
        </w:tc>
        <w:tc>
          <w:tcPr>
            <w:tcW w:w="720" w:type="dxa"/>
            <w:shd w:val="clear" w:color="auto" w:fill="EEEEEE"/>
          </w:tcPr>
          <w:p w14:paraId="3871A389">
            <w:pPr>
              <w:spacing w:before="96" w:beforeLines="40" w:after="96" w:afterLines="40" w:line="24" w:lineRule="atLeast"/>
              <w:rPr>
                <w:rFonts w:eastAsia="Cambria"/>
                <w:sz w:val="18"/>
                <w:szCs w:val="18"/>
                <w:lang w:val="en-GB" w:eastAsia="en-US"/>
              </w:rPr>
            </w:pPr>
          </w:p>
        </w:tc>
        <w:tc>
          <w:tcPr>
            <w:tcW w:w="4320" w:type="dxa"/>
            <w:shd w:val="clear" w:color="auto" w:fill="EEEEEE"/>
          </w:tcPr>
          <w:p w14:paraId="10C8ADE2">
            <w:pPr>
              <w:spacing w:before="96" w:beforeLines="40" w:after="96" w:afterLines="40" w:line="24" w:lineRule="atLeast"/>
              <w:rPr>
                <w:rFonts w:eastAsia="Cambria"/>
                <w:sz w:val="18"/>
                <w:szCs w:val="18"/>
                <w:lang w:val="en-GB" w:eastAsia="en-US"/>
              </w:rPr>
            </w:pPr>
          </w:p>
        </w:tc>
      </w:tr>
      <w:tr w14:paraId="48EE0AFA">
        <w:tblPrEx>
          <w:tblCellMar>
            <w:top w:w="0" w:type="dxa"/>
            <w:left w:w="108" w:type="dxa"/>
            <w:bottom w:w="0" w:type="dxa"/>
            <w:right w:w="108" w:type="dxa"/>
          </w:tblCellMar>
        </w:tblPrEx>
        <w:tc>
          <w:tcPr>
            <w:tcW w:w="587" w:type="dxa"/>
            <w:shd w:val="clear" w:color="auto" w:fill="auto"/>
          </w:tcPr>
          <w:p w14:paraId="4E29121D">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18A8B0EA">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auto"/>
          </w:tcPr>
          <w:p w14:paraId="1A97B456">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assessment of the validity of the assumptions</w:t>
            </w:r>
          </w:p>
        </w:tc>
        <w:tc>
          <w:tcPr>
            <w:tcW w:w="720" w:type="dxa"/>
          </w:tcPr>
          <w:p w14:paraId="6E2D56F0">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13</w:t>
            </w:r>
          </w:p>
        </w:tc>
        <w:tc>
          <w:tcPr>
            <w:tcW w:w="4320" w:type="dxa"/>
          </w:tcPr>
          <w:p w14:paraId="5E7081D1">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Sensitivity tests were performed to ensure that the MR results were reliable. First, the function mr_heterogeneity from the R package "Two Sample MR" was implemented to detect heterogeneity between exposure factors and outcome samples (P&gt;0.05) [39]. Then, utilizing the R package "Two Sample MR" function mr_pleiotropy_test, a horizontal pleiotropy test was run to identify the presence of confounders interacting with SNPs in influencing the outcome via exposure factors (P&gt;0.05)[40]. The data were also subjected to MR Pleiotropy RESidual Sum and Outlier (PRESSO) testing via the mr_presso tool (v 1.0.0)[41]. Finally, the R package TwoSampleMR function mr_leaveoneout was applied to verify the robustness of MR results[42].</w:t>
            </w:r>
          </w:p>
        </w:tc>
      </w:tr>
      <w:tr w14:paraId="7BDA55CD">
        <w:tblPrEx>
          <w:tblCellMar>
            <w:top w:w="0" w:type="dxa"/>
            <w:left w:w="108" w:type="dxa"/>
            <w:bottom w:w="0" w:type="dxa"/>
            <w:right w:w="108" w:type="dxa"/>
          </w:tblCellMar>
        </w:tblPrEx>
        <w:tc>
          <w:tcPr>
            <w:tcW w:w="587" w:type="dxa"/>
            <w:shd w:val="clear" w:color="auto" w:fill="EEEEEE"/>
          </w:tcPr>
          <w:p w14:paraId="6F27FA73">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14:paraId="6BC0019D">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EEEEEE"/>
          </w:tcPr>
          <w:p w14:paraId="400ADD58">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Report any additional statistics (e.g., assessments of heterogeneity </w:t>
            </w:r>
            <w:r>
              <w:rPr>
                <w:rFonts w:eastAsia="Times New Roman"/>
                <w:sz w:val="18"/>
                <w:szCs w:val="18"/>
                <w:lang w:eastAsia="en-GB"/>
              </w:rPr>
              <w:t>across genetic variants</w:t>
            </w:r>
            <w:r>
              <w:rPr>
                <w:rFonts w:eastAsia="Times New Roman"/>
                <w:sz w:val="18"/>
                <w:szCs w:val="18"/>
                <w:lang w:val="en-GB" w:eastAsia="en-GB"/>
              </w:rPr>
              <w:t xml:space="preserve">, such as </w:t>
            </w:r>
            <w:r>
              <w:rPr>
                <w:rFonts w:eastAsia="Times New Roman"/>
                <w:i/>
                <w:sz w:val="18"/>
                <w:szCs w:val="18"/>
                <w:lang w:val="en-GB" w:eastAsia="en-GB"/>
              </w:rPr>
              <w:t>I</w:t>
            </w:r>
            <w:r>
              <w:rPr>
                <w:rFonts w:eastAsia="Times New Roman"/>
                <w:i/>
                <w:sz w:val="18"/>
                <w:szCs w:val="18"/>
                <w:vertAlign w:val="superscript"/>
                <w:lang w:val="en-GB" w:eastAsia="en-GB"/>
              </w:rPr>
              <w:t>2</w:t>
            </w:r>
            <w:r>
              <w:rPr>
                <w:rFonts w:eastAsia="Times New Roman"/>
                <w:sz w:val="18"/>
                <w:szCs w:val="18"/>
                <w:lang w:val="en-GB" w:eastAsia="en-GB"/>
              </w:rPr>
              <w:t>, Q statistic or E-value)</w:t>
            </w:r>
          </w:p>
        </w:tc>
        <w:tc>
          <w:tcPr>
            <w:tcW w:w="720" w:type="dxa"/>
            <w:shd w:val="clear" w:color="auto" w:fill="EEEEEE"/>
          </w:tcPr>
          <w:p w14:paraId="2D6E39C6">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5</w:t>
            </w:r>
          </w:p>
        </w:tc>
        <w:tc>
          <w:tcPr>
            <w:tcW w:w="4320" w:type="dxa"/>
            <w:shd w:val="clear" w:color="auto" w:fill="EEEEEE"/>
          </w:tcPr>
          <w:p w14:paraId="205C4ED8">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 xml:space="preserve"> Finally, sensitivity studies validated the accuracy and reliability of the MR data (Supplementar Table S4 and S5, Supplementar Fig. S3).</w:t>
            </w:r>
          </w:p>
        </w:tc>
      </w:tr>
      <w:tr w14:paraId="23F1C43D">
        <w:tblPrEx>
          <w:tblCellMar>
            <w:top w:w="0" w:type="dxa"/>
            <w:left w:w="108" w:type="dxa"/>
            <w:bottom w:w="0" w:type="dxa"/>
            <w:right w:w="108" w:type="dxa"/>
          </w:tblCellMar>
        </w:tblPrEx>
        <w:tc>
          <w:tcPr>
            <w:tcW w:w="587" w:type="dxa"/>
            <w:shd w:val="clear" w:color="auto" w:fill="auto"/>
          </w:tcPr>
          <w:p w14:paraId="021A9BB4">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13</w:t>
            </w:r>
          </w:p>
        </w:tc>
        <w:tc>
          <w:tcPr>
            <w:tcW w:w="1822" w:type="dxa"/>
            <w:shd w:val="clear" w:color="auto" w:fill="auto"/>
          </w:tcPr>
          <w:p w14:paraId="51D3F02D">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Sensitivity analyses and additional analyses</w:t>
            </w:r>
          </w:p>
        </w:tc>
        <w:tc>
          <w:tcPr>
            <w:tcW w:w="7041" w:type="dxa"/>
            <w:shd w:val="clear" w:color="auto" w:fill="auto"/>
          </w:tcPr>
          <w:p w14:paraId="4AB1D97F">
            <w:pPr>
              <w:spacing w:before="96" w:beforeLines="40" w:after="96" w:afterLines="40" w:line="24" w:lineRule="atLeast"/>
              <w:rPr>
                <w:rFonts w:eastAsia="Cambria"/>
                <w:sz w:val="18"/>
                <w:szCs w:val="18"/>
                <w:lang w:val="en-GB" w:eastAsia="en-US"/>
              </w:rPr>
            </w:pPr>
          </w:p>
        </w:tc>
        <w:tc>
          <w:tcPr>
            <w:tcW w:w="720" w:type="dxa"/>
          </w:tcPr>
          <w:p w14:paraId="50481D19">
            <w:pPr>
              <w:spacing w:before="96" w:beforeLines="40" w:after="96" w:afterLines="40" w:line="24" w:lineRule="atLeast"/>
              <w:rPr>
                <w:rFonts w:eastAsia="Cambria"/>
                <w:sz w:val="18"/>
                <w:szCs w:val="18"/>
                <w:lang w:val="en-GB" w:eastAsia="en-US"/>
              </w:rPr>
            </w:pPr>
          </w:p>
        </w:tc>
        <w:tc>
          <w:tcPr>
            <w:tcW w:w="4320" w:type="dxa"/>
          </w:tcPr>
          <w:p w14:paraId="0F2C43F0">
            <w:pPr>
              <w:spacing w:before="96" w:beforeLines="40" w:after="96" w:afterLines="40" w:line="24" w:lineRule="atLeast"/>
              <w:rPr>
                <w:rFonts w:eastAsia="Cambria"/>
                <w:sz w:val="18"/>
                <w:szCs w:val="18"/>
                <w:lang w:val="en-GB" w:eastAsia="en-US"/>
              </w:rPr>
            </w:pPr>
          </w:p>
        </w:tc>
      </w:tr>
      <w:tr w14:paraId="1ABE2F1D">
        <w:tblPrEx>
          <w:tblCellMar>
            <w:top w:w="0" w:type="dxa"/>
            <w:left w:w="108" w:type="dxa"/>
            <w:bottom w:w="0" w:type="dxa"/>
            <w:right w:w="108" w:type="dxa"/>
          </w:tblCellMar>
        </w:tblPrEx>
        <w:tc>
          <w:tcPr>
            <w:tcW w:w="587" w:type="dxa"/>
            <w:shd w:val="clear" w:color="auto" w:fill="EEEEEE"/>
          </w:tcPr>
          <w:p w14:paraId="0D022F9B">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14:paraId="27E8FFD0">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EEEEEE"/>
          </w:tcPr>
          <w:p w14:paraId="30AA9260">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any sensitivity analyses to assess the robustness of the main results to violations of the assumptions</w:t>
            </w:r>
          </w:p>
        </w:tc>
        <w:tc>
          <w:tcPr>
            <w:tcW w:w="720" w:type="dxa"/>
            <w:shd w:val="clear" w:color="auto" w:fill="EEEEEE"/>
          </w:tcPr>
          <w:p w14:paraId="39DB2F0E">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13</w:t>
            </w:r>
          </w:p>
        </w:tc>
        <w:tc>
          <w:tcPr>
            <w:tcW w:w="4320" w:type="dxa"/>
            <w:shd w:val="clear" w:color="auto" w:fill="EEEEEE"/>
          </w:tcPr>
          <w:p w14:paraId="73386906">
            <w:pPr>
              <w:spacing w:before="96" w:beforeLines="40" w:after="96" w:afterLines="40" w:line="24" w:lineRule="atLeast"/>
              <w:rPr>
                <w:rFonts w:eastAsia="Times New Roman"/>
                <w:sz w:val="18"/>
                <w:szCs w:val="18"/>
                <w:lang w:val="en-GB" w:eastAsia="en-GB"/>
              </w:rPr>
            </w:pPr>
            <w:r>
              <w:rPr>
                <w:rFonts w:hint="eastAsia" w:eastAsia="宋体"/>
                <w:sz w:val="18"/>
                <w:szCs w:val="18"/>
                <w:lang w:val="en-US" w:eastAsia="zh-CN"/>
              </w:rPr>
              <w:t>S</w:t>
            </w:r>
            <w:r>
              <w:rPr>
                <w:rFonts w:hint="eastAsia" w:eastAsia="Times New Roman"/>
                <w:sz w:val="18"/>
                <w:szCs w:val="18"/>
                <w:lang w:val="en-GB" w:eastAsia="en-GB"/>
              </w:rPr>
              <w:t>ensitivity tests were performed to ensure that the MR results were reliable. First, the function mr_heterogeneity from the R package "Two Sample MR" was implemented to detect heterogeneity between exposure factors and outcome samples (P&gt;0.05) [39]. Then, utilizing the R package "Two Sample MR" function mr_pleiotropy_test, a horizontal pleiotropy test was run to identify the presence of confounders interacting with SNPs in influencing the outcome via exposure factors (P&gt;0.05)[40]. The data were also subjected to MR Pleiotropy RESidual Sum and Outlier (PRESSO) testing via the mr_presso tool (v 1.0.0)[41]. Finally, the R package TwoSampleMR function mr_leaveoneout was applied to verify the robustness of MR results[42].</w:t>
            </w:r>
          </w:p>
        </w:tc>
      </w:tr>
      <w:tr w14:paraId="3696A9F1">
        <w:tblPrEx>
          <w:tblCellMar>
            <w:top w:w="0" w:type="dxa"/>
            <w:left w:w="108" w:type="dxa"/>
            <w:bottom w:w="0" w:type="dxa"/>
            <w:right w:w="108" w:type="dxa"/>
          </w:tblCellMar>
        </w:tblPrEx>
        <w:tc>
          <w:tcPr>
            <w:tcW w:w="587" w:type="dxa"/>
            <w:shd w:val="clear" w:color="auto" w:fill="auto"/>
          </w:tcPr>
          <w:p w14:paraId="0D2234E5">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7453E1FF">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auto"/>
          </w:tcPr>
          <w:p w14:paraId="5111E54D">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results from other sensitivity analyses or additional analyses</w:t>
            </w:r>
          </w:p>
        </w:tc>
        <w:tc>
          <w:tcPr>
            <w:tcW w:w="720" w:type="dxa"/>
          </w:tcPr>
          <w:p w14:paraId="447F5BF5">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5</w:t>
            </w:r>
          </w:p>
        </w:tc>
        <w:tc>
          <w:tcPr>
            <w:tcW w:w="4320" w:type="dxa"/>
          </w:tcPr>
          <w:p w14:paraId="5BB83735">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Finally, sensitivity studies validated the accuracy and reliability of the MR data (Supplementar Table S4 and S5, Supplementar Fig. S3).</w:t>
            </w:r>
          </w:p>
        </w:tc>
      </w:tr>
      <w:tr w14:paraId="1650BAB8">
        <w:tblPrEx>
          <w:tblCellMar>
            <w:top w:w="0" w:type="dxa"/>
            <w:left w:w="108" w:type="dxa"/>
            <w:bottom w:w="0" w:type="dxa"/>
            <w:right w:w="108" w:type="dxa"/>
          </w:tblCellMar>
        </w:tblPrEx>
        <w:tc>
          <w:tcPr>
            <w:tcW w:w="587" w:type="dxa"/>
            <w:shd w:val="clear" w:color="auto" w:fill="EEEEEE"/>
          </w:tcPr>
          <w:p w14:paraId="4D025CC4">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14:paraId="6EAD995A">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EEEEEE"/>
          </w:tcPr>
          <w:p w14:paraId="14E0FCD9">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any assessment of direction of causal relationship (e.g., bidirectional MR)</w:t>
            </w:r>
          </w:p>
        </w:tc>
        <w:tc>
          <w:tcPr>
            <w:tcW w:w="720" w:type="dxa"/>
            <w:shd w:val="clear" w:color="auto" w:fill="EEEEEE"/>
          </w:tcPr>
          <w:p w14:paraId="03D1A085">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NA</w:t>
            </w:r>
          </w:p>
        </w:tc>
        <w:tc>
          <w:tcPr>
            <w:tcW w:w="4320" w:type="dxa"/>
            <w:shd w:val="clear" w:color="auto" w:fill="EEEEEE"/>
          </w:tcPr>
          <w:p w14:paraId="66751F07">
            <w:pPr>
              <w:spacing w:before="96" w:beforeLines="40" w:after="96" w:afterLines="40" w:line="24" w:lineRule="atLeast"/>
              <w:rPr>
                <w:rFonts w:eastAsia="Times New Roman"/>
                <w:sz w:val="18"/>
                <w:szCs w:val="18"/>
                <w:lang w:val="en-GB" w:eastAsia="en-GB"/>
              </w:rPr>
            </w:pPr>
          </w:p>
        </w:tc>
      </w:tr>
      <w:tr w14:paraId="2034ACF7">
        <w:tblPrEx>
          <w:tblCellMar>
            <w:top w:w="0" w:type="dxa"/>
            <w:left w:w="108" w:type="dxa"/>
            <w:bottom w:w="0" w:type="dxa"/>
            <w:right w:w="108" w:type="dxa"/>
          </w:tblCellMar>
        </w:tblPrEx>
        <w:tc>
          <w:tcPr>
            <w:tcW w:w="587" w:type="dxa"/>
            <w:shd w:val="clear" w:color="auto" w:fill="auto"/>
          </w:tcPr>
          <w:p w14:paraId="3217ECED">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5AE90FE5">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7041" w:type="dxa"/>
            <w:shd w:val="clear" w:color="auto" w:fill="auto"/>
          </w:tcPr>
          <w:p w14:paraId="3A13AF31">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When relevant, report and compare with estimates from non-MR analyses</w:t>
            </w:r>
          </w:p>
        </w:tc>
        <w:tc>
          <w:tcPr>
            <w:tcW w:w="720" w:type="dxa"/>
          </w:tcPr>
          <w:p w14:paraId="528F9F4C">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NA</w:t>
            </w:r>
          </w:p>
        </w:tc>
        <w:tc>
          <w:tcPr>
            <w:tcW w:w="4320" w:type="dxa"/>
          </w:tcPr>
          <w:p w14:paraId="7B882C5B">
            <w:pPr>
              <w:spacing w:before="96" w:beforeLines="40" w:after="96" w:afterLines="40" w:line="24" w:lineRule="atLeast"/>
              <w:rPr>
                <w:rFonts w:eastAsia="Times New Roman"/>
                <w:sz w:val="18"/>
                <w:szCs w:val="18"/>
                <w:lang w:val="en-GB" w:eastAsia="en-GB"/>
              </w:rPr>
            </w:pPr>
          </w:p>
        </w:tc>
      </w:tr>
      <w:tr w14:paraId="3E7CFBFC">
        <w:tblPrEx>
          <w:tblCellMar>
            <w:top w:w="0" w:type="dxa"/>
            <w:left w:w="108" w:type="dxa"/>
            <w:bottom w:w="0" w:type="dxa"/>
            <w:right w:w="108" w:type="dxa"/>
          </w:tblCellMar>
        </w:tblPrEx>
        <w:tc>
          <w:tcPr>
            <w:tcW w:w="587" w:type="dxa"/>
            <w:tcBorders>
              <w:bottom w:val="single" w:color="7F7F7F" w:sz="6" w:space="0"/>
            </w:tcBorders>
            <w:shd w:val="clear" w:color="auto" w:fill="EEEEEE"/>
          </w:tcPr>
          <w:p w14:paraId="1FDC421F">
            <w:pPr>
              <w:spacing w:before="96" w:beforeLines="40" w:after="96" w:afterLines="40" w:line="24" w:lineRule="atLeast"/>
              <w:jc w:val="right"/>
              <w:rPr>
                <w:rFonts w:eastAsia="Cambria"/>
                <w:b/>
                <w:bCs/>
                <w:sz w:val="18"/>
                <w:szCs w:val="18"/>
                <w:lang w:val="en-GB" w:eastAsia="en-US"/>
              </w:rPr>
            </w:pPr>
          </w:p>
        </w:tc>
        <w:tc>
          <w:tcPr>
            <w:tcW w:w="1822" w:type="dxa"/>
            <w:tcBorders>
              <w:bottom w:val="single" w:color="7F7F7F" w:sz="6" w:space="0"/>
            </w:tcBorders>
            <w:shd w:val="clear" w:color="auto" w:fill="EEEEEE"/>
          </w:tcPr>
          <w:p w14:paraId="5FE15030">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7041" w:type="dxa"/>
            <w:tcBorders>
              <w:bottom w:val="single" w:color="7F7F7F" w:sz="6" w:space="0"/>
            </w:tcBorders>
            <w:shd w:val="clear" w:color="auto" w:fill="EEEEEE"/>
          </w:tcPr>
          <w:p w14:paraId="61CE32BA">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Consider additional plots to visualize results (e.g., leave-one-out analyses)</w:t>
            </w:r>
          </w:p>
        </w:tc>
        <w:tc>
          <w:tcPr>
            <w:tcW w:w="720" w:type="dxa"/>
            <w:tcBorders>
              <w:bottom w:val="single" w:color="7F7F7F" w:sz="6" w:space="0"/>
            </w:tcBorders>
            <w:shd w:val="clear" w:color="auto" w:fill="EEEEEE"/>
          </w:tcPr>
          <w:p w14:paraId="33892A62">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5</w:t>
            </w:r>
          </w:p>
        </w:tc>
        <w:tc>
          <w:tcPr>
            <w:tcW w:w="4320" w:type="dxa"/>
            <w:tcBorders>
              <w:bottom w:val="single" w:color="7F7F7F" w:sz="6" w:space="0"/>
            </w:tcBorders>
            <w:shd w:val="clear" w:color="auto" w:fill="EEEEEE"/>
            <w:vAlign w:val="top"/>
          </w:tcPr>
          <w:p w14:paraId="03A6AB93">
            <w:pPr>
              <w:spacing w:before="96" w:beforeLines="40" w:after="96" w:afterLines="40" w:line="24" w:lineRule="atLeast"/>
              <w:rPr>
                <w:rFonts w:ascii="Arial" w:hAnsi="Arial" w:eastAsia="Times New Roman" w:cs="Arial"/>
                <w:sz w:val="18"/>
                <w:szCs w:val="18"/>
                <w:lang w:val="en-GB" w:eastAsia="en-GB" w:bidi="ar-SA"/>
              </w:rPr>
            </w:pPr>
            <w:r>
              <w:rPr>
                <w:rFonts w:hint="eastAsia" w:eastAsia="Times New Roman"/>
                <w:sz w:val="18"/>
                <w:szCs w:val="18"/>
                <w:lang w:val="en-GB" w:eastAsia="en-GB"/>
              </w:rPr>
              <w:t xml:space="preserve"> Finally, sensitivity studies validated the accuracy and reliability of the MR data (Supplementar Table S4 and S5, Supplementar Fig. S3).</w:t>
            </w:r>
          </w:p>
        </w:tc>
      </w:tr>
      <w:tr w14:paraId="5B7D2773">
        <w:tblPrEx>
          <w:tblCellMar>
            <w:top w:w="0" w:type="dxa"/>
            <w:left w:w="108" w:type="dxa"/>
            <w:bottom w:w="0" w:type="dxa"/>
            <w:right w:w="108" w:type="dxa"/>
          </w:tblCellMar>
        </w:tblPrEx>
        <w:tc>
          <w:tcPr>
            <w:tcW w:w="587" w:type="dxa"/>
            <w:tcBorders>
              <w:top w:val="single" w:color="7F7F7F" w:sz="6" w:space="0"/>
            </w:tcBorders>
            <w:shd w:val="clear" w:color="auto" w:fill="auto"/>
          </w:tcPr>
          <w:p w14:paraId="5BDBDA65">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14:paraId="1C564B75">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DISCUSSION</w:t>
            </w:r>
          </w:p>
        </w:tc>
        <w:tc>
          <w:tcPr>
            <w:tcW w:w="7041" w:type="dxa"/>
            <w:tcBorders>
              <w:top w:val="single" w:color="7F7F7F" w:sz="6" w:space="0"/>
            </w:tcBorders>
            <w:shd w:val="clear" w:color="auto" w:fill="auto"/>
          </w:tcPr>
          <w:p w14:paraId="35997729">
            <w:pPr>
              <w:spacing w:before="96" w:beforeLines="40" w:after="96" w:afterLines="40" w:line="24" w:lineRule="atLeast"/>
              <w:rPr>
                <w:rFonts w:eastAsia="Cambria"/>
                <w:sz w:val="18"/>
                <w:szCs w:val="18"/>
                <w:lang w:val="en-GB" w:eastAsia="en-US"/>
              </w:rPr>
            </w:pPr>
          </w:p>
        </w:tc>
        <w:tc>
          <w:tcPr>
            <w:tcW w:w="720" w:type="dxa"/>
            <w:tcBorders>
              <w:top w:val="single" w:color="7F7F7F" w:sz="6" w:space="0"/>
            </w:tcBorders>
          </w:tcPr>
          <w:p w14:paraId="1AAD7FFB">
            <w:pPr>
              <w:spacing w:before="96" w:beforeLines="40" w:after="96" w:afterLines="40" w:line="24" w:lineRule="atLeast"/>
              <w:rPr>
                <w:rFonts w:eastAsia="Cambria"/>
                <w:sz w:val="18"/>
                <w:szCs w:val="18"/>
                <w:lang w:val="en-GB" w:eastAsia="en-US"/>
              </w:rPr>
            </w:pPr>
          </w:p>
        </w:tc>
        <w:tc>
          <w:tcPr>
            <w:tcW w:w="4320" w:type="dxa"/>
            <w:tcBorders>
              <w:top w:val="single" w:color="7F7F7F" w:sz="6" w:space="0"/>
            </w:tcBorders>
          </w:tcPr>
          <w:p w14:paraId="2AE3A897">
            <w:pPr>
              <w:spacing w:before="96" w:beforeLines="40" w:after="96" w:afterLines="40" w:line="24" w:lineRule="atLeast"/>
              <w:rPr>
                <w:rFonts w:eastAsia="Cambria"/>
                <w:sz w:val="18"/>
                <w:szCs w:val="18"/>
                <w:lang w:val="en-GB" w:eastAsia="en-US"/>
              </w:rPr>
            </w:pPr>
          </w:p>
        </w:tc>
      </w:tr>
      <w:tr w14:paraId="1800AF05">
        <w:tblPrEx>
          <w:tblCellMar>
            <w:top w:w="0" w:type="dxa"/>
            <w:left w:w="108" w:type="dxa"/>
            <w:bottom w:w="0" w:type="dxa"/>
            <w:right w:w="108" w:type="dxa"/>
          </w:tblCellMar>
        </w:tblPrEx>
        <w:tc>
          <w:tcPr>
            <w:tcW w:w="587" w:type="dxa"/>
            <w:shd w:val="clear" w:color="auto" w:fill="EEEEEE"/>
          </w:tcPr>
          <w:p w14:paraId="6B5F5286">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14</w:t>
            </w:r>
          </w:p>
        </w:tc>
        <w:tc>
          <w:tcPr>
            <w:tcW w:w="1822" w:type="dxa"/>
            <w:shd w:val="clear" w:color="auto" w:fill="EEEEEE"/>
          </w:tcPr>
          <w:p w14:paraId="42EDC029">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Key results </w:t>
            </w:r>
          </w:p>
        </w:tc>
        <w:tc>
          <w:tcPr>
            <w:tcW w:w="7041" w:type="dxa"/>
            <w:shd w:val="clear" w:color="auto" w:fill="EEEEEE"/>
          </w:tcPr>
          <w:p w14:paraId="35F1CADF">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Summarize key results with reference to study objectives</w:t>
            </w:r>
          </w:p>
        </w:tc>
        <w:tc>
          <w:tcPr>
            <w:tcW w:w="720" w:type="dxa"/>
            <w:shd w:val="clear" w:color="auto" w:fill="EEEEEE"/>
          </w:tcPr>
          <w:p w14:paraId="2C7117BF">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5</w:t>
            </w:r>
          </w:p>
        </w:tc>
        <w:tc>
          <w:tcPr>
            <w:tcW w:w="4320" w:type="dxa"/>
            <w:shd w:val="clear" w:color="auto" w:fill="EEEEEE"/>
          </w:tcPr>
          <w:p w14:paraId="70F1DDE7">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To identify DEGs with a causal connection to glaucoma, The MR methodology was employed. The IVW algorithm's P-value revealed that 113 DEGs were substantially linked with glaucoma (Supplementar Table S2). Supplementar Table S3 demonstrated that 30 DEGs were down-regulated in the case group while being protective for glaucoma in MR data (OR&gt;1), and 27 DEGs displayed the reverse tendency (OR&lt;1). Notably, scatter plots and forest plots were utilized to depict 57 DEGs with varying risk characteristics for glaucoma (Supplementar Fig. S1 and S2). The funnel plot, which illustrated the symmetrical distribution of each SNP locus on both sides of the IVW line, proved that the MR analysis followed Mendel's second random law (Supplementar Fig. S3). Finally, sensitivity studies validated the accuracy and reliability of the MR data (Supplementar Table S4 and S5, Supplementar Fig. S3).</w:t>
            </w:r>
          </w:p>
        </w:tc>
      </w:tr>
      <w:tr w14:paraId="06BFAFA4">
        <w:tblPrEx>
          <w:tblCellMar>
            <w:top w:w="0" w:type="dxa"/>
            <w:left w:w="108" w:type="dxa"/>
            <w:bottom w:w="0" w:type="dxa"/>
            <w:right w:w="108" w:type="dxa"/>
          </w:tblCellMar>
        </w:tblPrEx>
        <w:tc>
          <w:tcPr>
            <w:tcW w:w="587" w:type="dxa"/>
            <w:shd w:val="clear" w:color="auto" w:fill="auto"/>
          </w:tcPr>
          <w:p w14:paraId="6D471CC5">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15</w:t>
            </w:r>
          </w:p>
        </w:tc>
        <w:tc>
          <w:tcPr>
            <w:tcW w:w="1822" w:type="dxa"/>
            <w:shd w:val="clear" w:color="auto" w:fill="auto"/>
          </w:tcPr>
          <w:p w14:paraId="5C27961E">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Limitations</w:t>
            </w:r>
          </w:p>
        </w:tc>
        <w:tc>
          <w:tcPr>
            <w:tcW w:w="7041" w:type="dxa"/>
            <w:shd w:val="clear" w:color="auto" w:fill="auto"/>
          </w:tcPr>
          <w:p w14:paraId="75B6F41B">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Pr>
                <w:rFonts w:eastAsia="Times New Roman"/>
                <w:sz w:val="18"/>
                <w:szCs w:val="18"/>
                <w:shd w:val="clear" w:color="auto" w:fill="FFFFFF"/>
                <w:lang w:val="en-GB" w:eastAsia="en-GB"/>
              </w:rPr>
              <w:t> </w:t>
            </w:r>
          </w:p>
        </w:tc>
        <w:tc>
          <w:tcPr>
            <w:tcW w:w="720" w:type="dxa"/>
          </w:tcPr>
          <w:p w14:paraId="201D4281">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NA</w:t>
            </w:r>
          </w:p>
        </w:tc>
        <w:tc>
          <w:tcPr>
            <w:tcW w:w="4320" w:type="dxa"/>
          </w:tcPr>
          <w:p w14:paraId="7CB4BA33">
            <w:pPr>
              <w:spacing w:before="96" w:beforeLines="40" w:after="96" w:afterLines="40" w:line="24" w:lineRule="atLeast"/>
              <w:rPr>
                <w:rFonts w:eastAsia="Times New Roman"/>
                <w:sz w:val="18"/>
                <w:szCs w:val="18"/>
                <w:lang w:val="en-GB" w:eastAsia="en-GB"/>
              </w:rPr>
            </w:pPr>
          </w:p>
        </w:tc>
      </w:tr>
      <w:tr w14:paraId="71F8B8B5">
        <w:tblPrEx>
          <w:tblCellMar>
            <w:top w:w="0" w:type="dxa"/>
            <w:left w:w="108" w:type="dxa"/>
            <w:bottom w:w="0" w:type="dxa"/>
            <w:right w:w="108" w:type="dxa"/>
          </w:tblCellMar>
        </w:tblPrEx>
        <w:tc>
          <w:tcPr>
            <w:tcW w:w="587" w:type="dxa"/>
            <w:shd w:val="clear" w:color="auto" w:fill="EEEEEE"/>
          </w:tcPr>
          <w:p w14:paraId="02C1D590">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16</w:t>
            </w:r>
          </w:p>
        </w:tc>
        <w:tc>
          <w:tcPr>
            <w:tcW w:w="1822" w:type="dxa"/>
            <w:shd w:val="clear" w:color="auto" w:fill="EEEEEE"/>
          </w:tcPr>
          <w:p w14:paraId="612AA484">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Interpretation</w:t>
            </w:r>
          </w:p>
        </w:tc>
        <w:tc>
          <w:tcPr>
            <w:tcW w:w="7041" w:type="dxa"/>
            <w:shd w:val="clear" w:color="auto" w:fill="EEEEEE"/>
          </w:tcPr>
          <w:p w14:paraId="3BF6466E">
            <w:pPr>
              <w:spacing w:before="96" w:beforeLines="40" w:after="96" w:afterLines="40" w:line="24" w:lineRule="atLeast"/>
              <w:rPr>
                <w:rFonts w:eastAsia="Cambria"/>
                <w:sz w:val="18"/>
                <w:szCs w:val="18"/>
                <w:lang w:val="en-GB" w:eastAsia="en-US"/>
              </w:rPr>
            </w:pPr>
          </w:p>
        </w:tc>
        <w:tc>
          <w:tcPr>
            <w:tcW w:w="720" w:type="dxa"/>
            <w:shd w:val="clear" w:color="auto" w:fill="EEEEEE"/>
          </w:tcPr>
          <w:p w14:paraId="4B5179B2">
            <w:pPr>
              <w:spacing w:before="96" w:beforeLines="40" w:after="96" w:afterLines="40" w:line="24" w:lineRule="atLeast"/>
              <w:rPr>
                <w:rFonts w:eastAsia="Cambria"/>
                <w:sz w:val="18"/>
                <w:szCs w:val="18"/>
                <w:lang w:val="en-GB" w:eastAsia="en-US"/>
              </w:rPr>
            </w:pPr>
          </w:p>
        </w:tc>
        <w:tc>
          <w:tcPr>
            <w:tcW w:w="4320" w:type="dxa"/>
            <w:shd w:val="clear" w:color="auto" w:fill="EEEEEE"/>
          </w:tcPr>
          <w:p w14:paraId="1C445080">
            <w:pPr>
              <w:spacing w:before="96" w:beforeLines="40" w:after="96" w:afterLines="40" w:line="24" w:lineRule="atLeast"/>
              <w:rPr>
                <w:rFonts w:eastAsia="Cambria"/>
                <w:sz w:val="18"/>
                <w:szCs w:val="18"/>
                <w:lang w:val="en-GB" w:eastAsia="en-US"/>
              </w:rPr>
            </w:pPr>
          </w:p>
        </w:tc>
      </w:tr>
      <w:tr w14:paraId="62E6D51A">
        <w:tblPrEx>
          <w:tblCellMar>
            <w:top w:w="0" w:type="dxa"/>
            <w:left w:w="108" w:type="dxa"/>
            <w:bottom w:w="0" w:type="dxa"/>
            <w:right w:w="108" w:type="dxa"/>
          </w:tblCellMar>
        </w:tblPrEx>
        <w:tc>
          <w:tcPr>
            <w:tcW w:w="587" w:type="dxa"/>
            <w:shd w:val="clear" w:color="auto" w:fill="auto"/>
          </w:tcPr>
          <w:p w14:paraId="6DD2F448">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50F26A29">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auto"/>
          </w:tcPr>
          <w:p w14:paraId="7EDF9868">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Meaning: Give a cautious overall interpretation of results in the context of their limitations and in comparison with other studies</w:t>
            </w:r>
          </w:p>
        </w:tc>
        <w:tc>
          <w:tcPr>
            <w:tcW w:w="720" w:type="dxa"/>
          </w:tcPr>
          <w:p w14:paraId="565CC165">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NA</w:t>
            </w:r>
          </w:p>
        </w:tc>
        <w:tc>
          <w:tcPr>
            <w:tcW w:w="4320" w:type="dxa"/>
          </w:tcPr>
          <w:p w14:paraId="5251245C">
            <w:pPr>
              <w:spacing w:before="96" w:beforeLines="40" w:after="96" w:afterLines="40" w:line="24" w:lineRule="atLeast"/>
              <w:rPr>
                <w:rFonts w:eastAsia="Times New Roman"/>
                <w:sz w:val="18"/>
                <w:szCs w:val="18"/>
                <w:lang w:val="en-GB" w:eastAsia="en-GB"/>
              </w:rPr>
            </w:pPr>
          </w:p>
        </w:tc>
      </w:tr>
      <w:tr w14:paraId="156B69E5">
        <w:tblPrEx>
          <w:tblCellMar>
            <w:top w:w="0" w:type="dxa"/>
            <w:left w:w="108" w:type="dxa"/>
            <w:bottom w:w="0" w:type="dxa"/>
            <w:right w:w="108" w:type="dxa"/>
          </w:tblCellMar>
        </w:tblPrEx>
        <w:tc>
          <w:tcPr>
            <w:tcW w:w="587" w:type="dxa"/>
            <w:shd w:val="clear" w:color="auto" w:fill="EEEEEE"/>
          </w:tcPr>
          <w:p w14:paraId="4C8A2215">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14:paraId="6A4A5F16">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EEEEEE"/>
          </w:tcPr>
          <w:p w14:paraId="422EB891">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only under certain assumptions </w:t>
            </w:r>
          </w:p>
        </w:tc>
        <w:tc>
          <w:tcPr>
            <w:tcW w:w="720" w:type="dxa"/>
            <w:shd w:val="clear" w:color="auto" w:fill="EEEEEE"/>
          </w:tcPr>
          <w:p w14:paraId="2FA4AA4D">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NA</w:t>
            </w:r>
          </w:p>
        </w:tc>
        <w:tc>
          <w:tcPr>
            <w:tcW w:w="4320" w:type="dxa"/>
            <w:shd w:val="clear" w:color="auto" w:fill="EEEEEE"/>
          </w:tcPr>
          <w:p w14:paraId="3A91F000">
            <w:pPr>
              <w:spacing w:before="96" w:beforeLines="40" w:after="96" w:afterLines="40" w:line="24" w:lineRule="atLeast"/>
              <w:rPr>
                <w:rFonts w:eastAsia="Times New Roman"/>
                <w:sz w:val="18"/>
                <w:szCs w:val="18"/>
                <w:lang w:val="en-GB" w:eastAsia="en-GB"/>
              </w:rPr>
            </w:pPr>
          </w:p>
        </w:tc>
      </w:tr>
      <w:tr w14:paraId="203390A0">
        <w:tblPrEx>
          <w:tblCellMar>
            <w:top w:w="0" w:type="dxa"/>
            <w:left w:w="108" w:type="dxa"/>
            <w:bottom w:w="0" w:type="dxa"/>
            <w:right w:w="108" w:type="dxa"/>
          </w:tblCellMar>
        </w:tblPrEx>
        <w:tc>
          <w:tcPr>
            <w:tcW w:w="587" w:type="dxa"/>
            <w:shd w:val="clear" w:color="auto" w:fill="auto"/>
          </w:tcPr>
          <w:p w14:paraId="54CA3A27">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14:paraId="6D25BA57">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auto"/>
          </w:tcPr>
          <w:p w14:paraId="5B6A8315">
            <w:pPr>
              <w:tabs>
                <w:tab w:val="left" w:pos="1350"/>
              </w:tabs>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Clinical relevance: Discuss whether the results have clinical or public policy relevance, and </w:t>
            </w:r>
            <w:r>
              <w:rPr>
                <w:rFonts w:eastAsia="Times New Roman"/>
                <w:color w:val="000000"/>
                <w:sz w:val="18"/>
                <w:szCs w:val="18"/>
                <w:lang w:eastAsia="en-GB"/>
              </w:rPr>
              <w:t>to what extent they inform effect sizes of possible interventions</w:t>
            </w:r>
          </w:p>
        </w:tc>
        <w:tc>
          <w:tcPr>
            <w:tcW w:w="720" w:type="dxa"/>
          </w:tcPr>
          <w:p w14:paraId="32FCF028">
            <w:pPr>
              <w:tabs>
                <w:tab w:val="left" w:pos="1350"/>
              </w:tabs>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NA</w:t>
            </w:r>
          </w:p>
        </w:tc>
        <w:tc>
          <w:tcPr>
            <w:tcW w:w="4320" w:type="dxa"/>
          </w:tcPr>
          <w:p w14:paraId="78058AE6">
            <w:pPr>
              <w:tabs>
                <w:tab w:val="left" w:pos="1350"/>
              </w:tabs>
              <w:spacing w:before="96" w:beforeLines="40" w:after="96" w:afterLines="40" w:line="24" w:lineRule="atLeast"/>
              <w:rPr>
                <w:rFonts w:eastAsia="Times New Roman"/>
                <w:sz w:val="18"/>
                <w:szCs w:val="18"/>
                <w:lang w:val="en-GB" w:eastAsia="en-GB"/>
              </w:rPr>
            </w:pPr>
          </w:p>
        </w:tc>
      </w:tr>
      <w:tr w14:paraId="71FDAFC1">
        <w:tblPrEx>
          <w:tblCellMar>
            <w:top w:w="0" w:type="dxa"/>
            <w:left w:w="108" w:type="dxa"/>
            <w:bottom w:w="0" w:type="dxa"/>
            <w:right w:w="108" w:type="dxa"/>
          </w:tblCellMar>
        </w:tblPrEx>
        <w:tc>
          <w:tcPr>
            <w:tcW w:w="587" w:type="dxa"/>
            <w:tcBorders>
              <w:bottom w:val="single" w:color="7F7F7F" w:sz="6" w:space="0"/>
            </w:tcBorders>
            <w:shd w:val="clear" w:color="auto" w:fill="EEEEEE"/>
          </w:tcPr>
          <w:p w14:paraId="7540155A">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17</w:t>
            </w:r>
          </w:p>
        </w:tc>
        <w:tc>
          <w:tcPr>
            <w:tcW w:w="1822" w:type="dxa"/>
            <w:tcBorders>
              <w:bottom w:val="single" w:color="7F7F7F" w:sz="6" w:space="0"/>
            </w:tcBorders>
            <w:shd w:val="clear" w:color="auto" w:fill="EEEEEE"/>
          </w:tcPr>
          <w:p w14:paraId="3680059F">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 xml:space="preserve">Generalizability  </w:t>
            </w:r>
            <w:r>
              <w:rPr>
                <w:rFonts w:eastAsia="Times New Roman"/>
                <w:sz w:val="18"/>
                <w:szCs w:val="18"/>
                <w:lang w:val="en-GB" w:eastAsia="en-GB"/>
              </w:rPr>
              <w:t> </w:t>
            </w:r>
          </w:p>
        </w:tc>
        <w:tc>
          <w:tcPr>
            <w:tcW w:w="7041" w:type="dxa"/>
            <w:tcBorders>
              <w:bottom w:val="single" w:color="7F7F7F" w:sz="6" w:space="0"/>
            </w:tcBorders>
            <w:shd w:val="clear" w:color="auto" w:fill="EEEEEE"/>
          </w:tcPr>
          <w:p w14:paraId="68647C33">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Discuss the generalizability of the study results (a) to other populations, (b) across other exposure periods/timings, and (c) across other levels of exposure</w:t>
            </w:r>
          </w:p>
        </w:tc>
        <w:tc>
          <w:tcPr>
            <w:tcW w:w="720" w:type="dxa"/>
            <w:tcBorders>
              <w:bottom w:val="single" w:color="7F7F7F" w:sz="6" w:space="0"/>
            </w:tcBorders>
            <w:shd w:val="clear" w:color="auto" w:fill="EEEEEE"/>
          </w:tcPr>
          <w:p w14:paraId="3ACD3D08">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NA</w:t>
            </w:r>
          </w:p>
        </w:tc>
        <w:tc>
          <w:tcPr>
            <w:tcW w:w="4320" w:type="dxa"/>
            <w:tcBorders>
              <w:bottom w:val="single" w:color="7F7F7F" w:sz="6" w:space="0"/>
            </w:tcBorders>
            <w:shd w:val="clear" w:color="auto" w:fill="EEEEEE"/>
          </w:tcPr>
          <w:p w14:paraId="41ABF5A9">
            <w:pPr>
              <w:spacing w:before="96" w:beforeLines="40" w:after="96" w:afterLines="40" w:line="24" w:lineRule="atLeast"/>
              <w:rPr>
                <w:rFonts w:eastAsia="Times New Roman"/>
                <w:sz w:val="18"/>
                <w:szCs w:val="18"/>
                <w:lang w:val="en-GB" w:eastAsia="en-GB"/>
              </w:rPr>
            </w:pPr>
          </w:p>
        </w:tc>
      </w:tr>
      <w:tr w14:paraId="57884E75">
        <w:tblPrEx>
          <w:tblCellMar>
            <w:top w:w="0" w:type="dxa"/>
            <w:left w:w="108" w:type="dxa"/>
            <w:bottom w:w="0" w:type="dxa"/>
            <w:right w:w="108" w:type="dxa"/>
          </w:tblCellMar>
        </w:tblPrEx>
        <w:tc>
          <w:tcPr>
            <w:tcW w:w="587" w:type="dxa"/>
            <w:tcBorders>
              <w:top w:val="single" w:color="7F7F7F" w:sz="6" w:space="0"/>
            </w:tcBorders>
            <w:shd w:val="clear" w:color="auto" w:fill="auto"/>
          </w:tcPr>
          <w:p w14:paraId="2C4C694A">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14:paraId="0A6FFE33">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OTHER INFORMATION</w:t>
            </w:r>
          </w:p>
        </w:tc>
        <w:tc>
          <w:tcPr>
            <w:tcW w:w="7041" w:type="dxa"/>
            <w:tcBorders>
              <w:top w:val="single" w:color="7F7F7F" w:sz="6" w:space="0"/>
            </w:tcBorders>
            <w:shd w:val="clear" w:color="auto" w:fill="auto"/>
          </w:tcPr>
          <w:p w14:paraId="0577947E">
            <w:pPr>
              <w:spacing w:before="96" w:beforeLines="40" w:after="96" w:afterLines="40" w:line="24" w:lineRule="atLeast"/>
              <w:rPr>
                <w:rFonts w:eastAsia="Cambria"/>
                <w:sz w:val="18"/>
                <w:szCs w:val="18"/>
                <w:lang w:val="en-GB" w:eastAsia="en-US"/>
              </w:rPr>
            </w:pPr>
          </w:p>
        </w:tc>
        <w:tc>
          <w:tcPr>
            <w:tcW w:w="720" w:type="dxa"/>
            <w:tcBorders>
              <w:top w:val="single" w:color="7F7F7F" w:sz="6" w:space="0"/>
            </w:tcBorders>
          </w:tcPr>
          <w:p w14:paraId="7561574C">
            <w:pPr>
              <w:spacing w:before="96" w:beforeLines="40" w:after="96" w:afterLines="40" w:line="24" w:lineRule="atLeast"/>
              <w:rPr>
                <w:rFonts w:eastAsia="Cambria"/>
                <w:sz w:val="18"/>
                <w:szCs w:val="18"/>
                <w:lang w:val="en-GB" w:eastAsia="en-US"/>
              </w:rPr>
            </w:pPr>
          </w:p>
        </w:tc>
        <w:tc>
          <w:tcPr>
            <w:tcW w:w="4320" w:type="dxa"/>
            <w:tcBorders>
              <w:top w:val="single" w:color="7F7F7F" w:sz="6" w:space="0"/>
            </w:tcBorders>
          </w:tcPr>
          <w:p w14:paraId="3718ED5B">
            <w:pPr>
              <w:spacing w:before="96" w:beforeLines="40" w:after="96" w:afterLines="40" w:line="24" w:lineRule="atLeast"/>
              <w:rPr>
                <w:rFonts w:eastAsia="Cambria"/>
                <w:sz w:val="18"/>
                <w:szCs w:val="18"/>
                <w:lang w:val="en-GB" w:eastAsia="en-US"/>
              </w:rPr>
            </w:pPr>
          </w:p>
        </w:tc>
      </w:tr>
      <w:tr w14:paraId="0014C6D1">
        <w:tblPrEx>
          <w:tblCellMar>
            <w:top w:w="0" w:type="dxa"/>
            <w:left w:w="108" w:type="dxa"/>
            <w:bottom w:w="0" w:type="dxa"/>
            <w:right w:w="108" w:type="dxa"/>
          </w:tblCellMar>
        </w:tblPrEx>
        <w:tc>
          <w:tcPr>
            <w:tcW w:w="587" w:type="dxa"/>
            <w:shd w:val="clear" w:color="auto" w:fill="EEEEEE"/>
          </w:tcPr>
          <w:p w14:paraId="2336D08C">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18</w:t>
            </w:r>
          </w:p>
        </w:tc>
        <w:tc>
          <w:tcPr>
            <w:tcW w:w="1822" w:type="dxa"/>
            <w:shd w:val="clear" w:color="auto" w:fill="EEEEEE"/>
          </w:tcPr>
          <w:p w14:paraId="08EB4FDF">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Funding</w:t>
            </w:r>
          </w:p>
        </w:tc>
        <w:tc>
          <w:tcPr>
            <w:tcW w:w="7041" w:type="dxa"/>
            <w:shd w:val="clear" w:color="auto" w:fill="EEEEEE"/>
          </w:tcPr>
          <w:p w14:paraId="4663DCA7">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720" w:type="dxa"/>
            <w:shd w:val="clear" w:color="auto" w:fill="EEEEEE"/>
          </w:tcPr>
          <w:p w14:paraId="33E2D855">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NA</w:t>
            </w:r>
          </w:p>
        </w:tc>
        <w:tc>
          <w:tcPr>
            <w:tcW w:w="4320" w:type="dxa"/>
            <w:shd w:val="clear" w:color="auto" w:fill="EEEEEE"/>
          </w:tcPr>
          <w:p w14:paraId="2C6CE5FF">
            <w:pPr>
              <w:spacing w:before="96" w:beforeLines="40" w:after="96" w:afterLines="40" w:line="24" w:lineRule="atLeast"/>
              <w:rPr>
                <w:rFonts w:eastAsia="Times New Roman"/>
                <w:sz w:val="18"/>
                <w:szCs w:val="18"/>
                <w:lang w:val="en-GB" w:eastAsia="en-GB"/>
              </w:rPr>
            </w:pPr>
          </w:p>
        </w:tc>
      </w:tr>
      <w:tr w14:paraId="1B22CB41">
        <w:tblPrEx>
          <w:tblCellMar>
            <w:top w:w="0" w:type="dxa"/>
            <w:left w:w="108" w:type="dxa"/>
            <w:bottom w:w="0" w:type="dxa"/>
            <w:right w:w="108" w:type="dxa"/>
          </w:tblCellMar>
        </w:tblPrEx>
        <w:tc>
          <w:tcPr>
            <w:tcW w:w="587" w:type="dxa"/>
            <w:shd w:val="clear" w:color="auto" w:fill="auto"/>
          </w:tcPr>
          <w:p w14:paraId="381BF2BA">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19</w:t>
            </w:r>
          </w:p>
        </w:tc>
        <w:tc>
          <w:tcPr>
            <w:tcW w:w="1822" w:type="dxa"/>
            <w:shd w:val="clear" w:color="auto" w:fill="auto"/>
          </w:tcPr>
          <w:p w14:paraId="233BA942">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Data and data sharing </w:t>
            </w:r>
          </w:p>
        </w:tc>
        <w:tc>
          <w:tcPr>
            <w:tcW w:w="7041" w:type="dxa"/>
            <w:shd w:val="clear" w:color="auto" w:fill="auto"/>
          </w:tcPr>
          <w:p w14:paraId="42D9085E">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Provide the data used to perform all analyses or report where and how the data can be accessed, and reference these sources in the article. Provide the statistical code needed to reproduce the results in the article, or report whether the code is publicly accessible and if so, where</w:t>
            </w:r>
          </w:p>
        </w:tc>
        <w:tc>
          <w:tcPr>
            <w:tcW w:w="720" w:type="dxa"/>
          </w:tcPr>
          <w:p w14:paraId="5725EE6D">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15</w:t>
            </w:r>
          </w:p>
        </w:tc>
        <w:tc>
          <w:tcPr>
            <w:tcW w:w="4320" w:type="dxa"/>
          </w:tcPr>
          <w:p w14:paraId="38DE3AA7">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The datasets analysed during the current study are available in the [GEO] repository, [http://www.ncbi.nlm.nih.gov/geo/]; and the [IEU OpenGWAS] repository, [https://gwas.mrcieu.ac.uk/].</w:t>
            </w:r>
          </w:p>
        </w:tc>
      </w:tr>
      <w:tr w14:paraId="1BFE6A86">
        <w:tblPrEx>
          <w:tblCellMar>
            <w:top w:w="0" w:type="dxa"/>
            <w:left w:w="108" w:type="dxa"/>
            <w:bottom w:w="0" w:type="dxa"/>
            <w:right w:w="108" w:type="dxa"/>
          </w:tblCellMar>
        </w:tblPrEx>
        <w:tc>
          <w:tcPr>
            <w:tcW w:w="587" w:type="dxa"/>
            <w:tcBorders>
              <w:bottom w:val="single" w:color="7F7F7F" w:sz="6" w:space="0"/>
            </w:tcBorders>
            <w:shd w:val="clear" w:color="auto" w:fill="EEEEEE"/>
          </w:tcPr>
          <w:p w14:paraId="20DC2C92">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20</w:t>
            </w:r>
          </w:p>
        </w:tc>
        <w:tc>
          <w:tcPr>
            <w:tcW w:w="1822" w:type="dxa"/>
            <w:tcBorders>
              <w:bottom w:val="single" w:color="7F7F7F" w:sz="6" w:space="0"/>
            </w:tcBorders>
            <w:shd w:val="clear" w:color="auto" w:fill="EEEEEE"/>
          </w:tcPr>
          <w:p w14:paraId="39A69A1B">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Conflicts of Interest  </w:t>
            </w:r>
          </w:p>
        </w:tc>
        <w:tc>
          <w:tcPr>
            <w:tcW w:w="7041" w:type="dxa"/>
            <w:tcBorders>
              <w:bottom w:val="single" w:color="7F7F7F" w:sz="6" w:space="0"/>
            </w:tcBorders>
            <w:shd w:val="clear" w:color="auto" w:fill="EEEEEE"/>
          </w:tcPr>
          <w:p w14:paraId="4772D912">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All authors should declare all potential conflicts of interest</w:t>
            </w:r>
          </w:p>
        </w:tc>
        <w:tc>
          <w:tcPr>
            <w:tcW w:w="720" w:type="dxa"/>
            <w:tcBorders>
              <w:bottom w:val="single" w:color="7F7F7F" w:sz="6" w:space="0"/>
            </w:tcBorders>
            <w:shd w:val="clear" w:color="auto" w:fill="EEEEEE"/>
          </w:tcPr>
          <w:p w14:paraId="1B63BC8B">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19</w:t>
            </w:r>
          </w:p>
        </w:tc>
        <w:tc>
          <w:tcPr>
            <w:tcW w:w="4320" w:type="dxa"/>
            <w:tcBorders>
              <w:bottom w:val="single" w:color="7F7F7F" w:sz="6" w:space="0"/>
            </w:tcBorders>
            <w:shd w:val="clear" w:color="auto" w:fill="EEEEEE"/>
          </w:tcPr>
          <w:p w14:paraId="5D9123A4">
            <w:pPr>
              <w:spacing w:before="96" w:beforeLines="40" w:after="96" w:afterLines="40" w:line="24" w:lineRule="atLeast"/>
              <w:rPr>
                <w:rFonts w:eastAsia="Times New Roman"/>
                <w:sz w:val="18"/>
                <w:szCs w:val="18"/>
                <w:lang w:val="en-GB" w:eastAsia="en-GB"/>
              </w:rPr>
            </w:pPr>
            <w:r>
              <w:rPr>
                <w:rFonts w:hint="eastAsia" w:eastAsia="Times New Roman"/>
                <w:sz w:val="18"/>
                <w:szCs w:val="18"/>
                <w:lang w:val="en-GB" w:eastAsia="en-GB"/>
              </w:rPr>
              <w:t>The authors declare no competing interests.</w:t>
            </w:r>
          </w:p>
        </w:tc>
      </w:tr>
    </w:tbl>
    <w:p w14:paraId="386115B2">
      <w:pPr>
        <w:spacing w:before="240" w:after="240"/>
        <w:rPr>
          <w:sz w:val="19"/>
          <w:szCs w:val="19"/>
        </w:rPr>
      </w:pPr>
      <w:r>
        <w:rPr>
          <w:sz w:val="19"/>
          <w:szCs w:val="19"/>
        </w:rPr>
        <w:t>This checklist is copyrighted by the Equator Network under the Creative Commons Attribution 3.0 Unported (CC BY 3.0) license.</w:t>
      </w:r>
    </w:p>
    <w:p w14:paraId="5DDF8A06">
      <w:pPr>
        <w:widowControl w:val="0"/>
        <w:autoSpaceDE w:val="0"/>
        <w:autoSpaceDN w:val="0"/>
        <w:adjustRightInd w:val="0"/>
        <w:spacing w:before="240" w:after="240" w:line="240" w:lineRule="auto"/>
        <w:ind w:left="640" w:hanging="640"/>
        <w:rPr>
          <w:sz w:val="19"/>
          <w:szCs w:val="19"/>
        </w:rPr>
      </w:pPr>
      <w:r>
        <w:rPr>
          <w:sz w:val="19"/>
          <w:szCs w:val="19"/>
        </w:rPr>
        <w:fldChar w:fldCharType="begin" w:fldLock="1"/>
      </w:r>
      <w:r>
        <w:rPr>
          <w:sz w:val="19"/>
          <w:szCs w:val="19"/>
        </w:rPr>
        <w:instrText xml:space="preserve">ADDIN Mendeley Bibliography CSL_BIBLIOGRAPHY </w:instrText>
      </w:r>
      <w:r>
        <w:rPr>
          <w:sz w:val="19"/>
          <w:szCs w:val="19"/>
        </w:rPr>
        <w:fldChar w:fldCharType="separate"/>
      </w:r>
      <w:r>
        <w:rPr>
          <w:sz w:val="19"/>
          <w:szCs w:val="19"/>
        </w:rPr>
        <w:t xml:space="preserve">1. </w:t>
      </w:r>
      <w:r>
        <w:rPr>
          <w:sz w:val="19"/>
          <w:szCs w:val="19"/>
        </w:rPr>
        <w:tab/>
      </w:r>
      <w:r>
        <w:rPr>
          <w:sz w:val="19"/>
          <w:szCs w:val="19"/>
        </w:rPr>
        <w:t xml:space="preserve">Skrivankova VW, Richmond RC, Woolf BAR, Yarmolinsky J, Davies NM, Swanson SA, et al. Strengthening the Reporting of Observational Studies in Epidemiology using Mendelian Randomization (STROBE-MR) Statement. JAMA. 2021;under review. </w:t>
      </w:r>
    </w:p>
    <w:p w14:paraId="63BF03A9">
      <w:pPr>
        <w:widowControl w:val="0"/>
        <w:autoSpaceDE w:val="0"/>
        <w:autoSpaceDN w:val="0"/>
        <w:adjustRightInd w:val="0"/>
        <w:spacing w:before="240" w:after="240" w:line="240" w:lineRule="auto"/>
        <w:ind w:left="640" w:hanging="640"/>
        <w:rPr>
          <w:sz w:val="19"/>
          <w:szCs w:val="19"/>
        </w:rPr>
      </w:pPr>
      <w:r>
        <w:rPr>
          <w:sz w:val="19"/>
          <w:szCs w:val="19"/>
        </w:rPr>
        <w:t xml:space="preserve">2. </w:t>
      </w:r>
      <w:r>
        <w:rPr>
          <w:sz w:val="19"/>
          <w:szCs w:val="19"/>
        </w:rPr>
        <w:tab/>
      </w:r>
      <w:r>
        <w:rPr>
          <w:sz w:val="19"/>
          <w:szCs w:val="19"/>
        </w:rPr>
        <w:t xml:space="preserve">Skrivankova VW, Richmond RC, Woolf BAR, Davies NM, Swanson SA, VanderWeele TJ, et al. Strengthening the Reporting of Observational Studies in Epidemiology using Mendelian Randomisation (STROBE-MR): Explanation and Elaboration. BMJ. 2021;375:n2233. </w:t>
      </w:r>
    </w:p>
    <w:p w14:paraId="25DB435D">
      <w:pPr>
        <w:spacing w:before="240" w:after="240"/>
      </w:pPr>
      <w:r>
        <w:rPr>
          <w:sz w:val="19"/>
          <w:szCs w:val="19"/>
        </w:rPr>
        <w:fldChar w:fldCharType="end"/>
      </w:r>
    </w:p>
    <w:sectPr>
      <w:footerReference r:id="rId5" w:type="default"/>
      <w:footerReference r:id="rId6" w:type="even"/>
      <w:pgSz w:w="15840" w:h="12240" w:orient="landscape"/>
      <w:pgMar w:top="1008" w:right="720" w:bottom="1008" w:left="720" w:header="720" w:footer="720" w:gutter="0"/>
      <w:pgNumType w:start="1"/>
      <w:cols w:space="720" w:num="1"/>
      <w:docGrid w:linePitch="29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2AFF" w:usb1="C000247B" w:usb2="00000009" w:usb3="00000000" w:csb0="200001FF" w:csb1="00000000"/>
  </w:font>
  <w:font w:name="Calibri">
    <w:panose1 w:val="020F0502020204030204"/>
    <w:charset w:val="86"/>
    <w:family w:val="swiss"/>
    <w:pitch w:val="default"/>
    <w:sig w:usb0="E0002AFF" w:usb1="C000247B" w:usb2="00000009" w:usb3="00000000" w:csb0="200001FF" w:csb1="00000000"/>
  </w:font>
  <w:font w:name="Calibri">
    <w:panose1 w:val="020F0502020204030204"/>
    <w:charset w:val="00"/>
    <w:family w:val="auto"/>
    <w:pitch w:val="default"/>
    <w:sig w:usb0="E0002AFF" w:usb1="C000247B" w:usb2="00000009" w:usb3="00000000" w:csb0="200001FF"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9B7B5E">
    <w:pPr>
      <w:pStyle w:val="2"/>
      <w:jc w:val="right"/>
    </w:pPr>
    <w:r>
      <w:fldChar w:fldCharType="begin"/>
    </w:r>
    <w:r>
      <w:instrText xml:space="preserve"> PAGE   \* MERGEFORMAT </w:instrText>
    </w:r>
    <w:r>
      <w:fldChar w:fldCharType="separate"/>
    </w:r>
    <w:r>
      <w:t>1</w:t>
    </w:r>
    <w:r>
      <w:fldChar w:fldCharType="end"/>
    </w:r>
  </w:p>
  <w:p w14:paraId="41D89672">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B4A166">
    <w:pPr>
      <w:pStyle w:val="2"/>
      <w:framePr w:wrap="auto" w:vAnchor="text" w:hAnchor="margin" w:xAlign="right" w:y="1"/>
      <w:rPr>
        <w:rStyle w:val="5"/>
      </w:rPr>
    </w:pPr>
  </w:p>
  <w:p w14:paraId="40A0897E">
    <w:pPr>
      <w:pStyle w:val="2"/>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U0YjU3YTAwNzYxMTdmZTA1YjJmYjQ3ZjAwZjk2NjcifQ=="/>
  </w:docVars>
  <w:rsids>
    <w:rsidRoot w:val="00914C56"/>
    <w:rsid w:val="000A4CE8"/>
    <w:rsid w:val="002663E6"/>
    <w:rsid w:val="003D447D"/>
    <w:rsid w:val="003D47DD"/>
    <w:rsid w:val="004B5CBB"/>
    <w:rsid w:val="004E11D4"/>
    <w:rsid w:val="00514462"/>
    <w:rsid w:val="005520ED"/>
    <w:rsid w:val="005A0D0D"/>
    <w:rsid w:val="00685D31"/>
    <w:rsid w:val="006912BF"/>
    <w:rsid w:val="006A41D0"/>
    <w:rsid w:val="006B08D5"/>
    <w:rsid w:val="00804498"/>
    <w:rsid w:val="00914C56"/>
    <w:rsid w:val="00950729"/>
    <w:rsid w:val="009854A9"/>
    <w:rsid w:val="009E033F"/>
    <w:rsid w:val="00BB6328"/>
    <w:rsid w:val="00D65199"/>
    <w:rsid w:val="00D8098C"/>
    <w:rsid w:val="00ED48A3"/>
    <w:rsid w:val="00EF4B94"/>
    <w:rsid w:val="314B3D97"/>
    <w:rsid w:val="7E9717C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qFormat="1"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276" w:lineRule="auto"/>
    </w:pPr>
    <w:rPr>
      <w:rFonts w:ascii="Arial" w:hAnsi="Arial" w:eastAsia="Arial" w:cs="Arial"/>
      <w:sz w:val="22"/>
      <w:szCs w:val="22"/>
      <w:lang w:val="en" w:eastAsia="de-CH"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680"/>
        <w:tab w:val="right" w:pos="9360"/>
      </w:tabs>
      <w:spacing w:line="240" w:lineRule="auto"/>
    </w:pPr>
  </w:style>
  <w:style w:type="character" w:styleId="5">
    <w:name w:val="page number"/>
    <w:basedOn w:val="4"/>
    <w:semiHidden/>
    <w:unhideWhenUsed/>
    <w:uiPriority w:val="99"/>
  </w:style>
  <w:style w:type="character" w:styleId="6">
    <w:name w:val="line number"/>
    <w:basedOn w:val="4"/>
    <w:semiHidden/>
    <w:unhideWhenUsed/>
    <w:qFormat/>
    <w:uiPriority w:val="99"/>
  </w:style>
  <w:style w:type="character" w:customStyle="1" w:styleId="7">
    <w:name w:val="Footer Char"/>
    <w:basedOn w:val="4"/>
    <w:link w:val="2"/>
    <w:uiPriority w:val="99"/>
    <w:rPr>
      <w:rFonts w:ascii="Arial" w:hAnsi="Arial" w:eastAsia="Arial" w:cs="Arial"/>
      <w:lang w:val="en" w:eastAsia="de-CH"/>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FB0931C-FCE2-4CC4-80DE-15614B41F1F9}">
  <ds:schemaRefs/>
</ds:datastoreItem>
</file>

<file path=customXml/itemProps2.xml><?xml version="1.0" encoding="utf-8"?>
<ds:datastoreItem xmlns:ds="http://schemas.openxmlformats.org/officeDocument/2006/customXml" ds:itemID="{B7DA32DB-E5B8-4E32-AD11-08F2E668867B}">
  <ds:schemaRefs/>
</ds:datastoreItem>
</file>

<file path=customXml/itemProps3.xml><?xml version="1.0" encoding="utf-8"?>
<ds:datastoreItem xmlns:ds="http://schemas.openxmlformats.org/officeDocument/2006/customXml" ds:itemID="{A9898B61-61B7-44F1-9388-8B27875B1EDA}">
  <ds:schemaRefs/>
</ds:datastoreItem>
</file>

<file path=customXml/itemProps4.xml><?xml version="1.0" encoding="utf-8"?>
<ds:datastoreItem xmlns:ds="http://schemas.openxmlformats.org/officeDocument/2006/customXml" ds:itemID="{5DF20111-77FD-4F18-8E31-D737874646AB}">
  <ds:schemaRefs/>
</ds:datastoreItem>
</file>

<file path=docProps/app.xml><?xml version="1.0" encoding="utf-8"?>
<Properties xmlns="http://schemas.openxmlformats.org/officeDocument/2006/extended-properties" xmlns:vt="http://schemas.openxmlformats.org/officeDocument/2006/docPropsVTypes">
  <Template>Normal.dotm</Template>
  <Company>University of Bern</Company>
  <Pages>9</Pages>
  <Words>2721</Words>
  <Characters>15930</Characters>
  <Lines>286</Lines>
  <Paragraphs>146</Paragraphs>
  <TotalTime>2</TotalTime>
  <ScaleCrop>false</ScaleCrop>
  <LinksUpToDate>false</LinksUpToDate>
  <CharactersWithSpaces>18489</CharactersWithSpaces>
  <Application>WPS Office_12.1.0.17813_F1E327BC-269C-435d-A152-05C5408002CA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2022-04-07T08:09:00Z</dcterms:created>
  <dc:creator>Whitesell, Veronika (ISPM)</dc:creator>
  <cp:lastModifiedBy>Administrator</cp:lastModifiedBy>
  <cp:lastPrinted>2021-09-28T07:08:00Z</cp:lastPrinted>
  <dcterms:modified xsi:type="dcterms:W3CDTF">2024-07-29T07:49:28Z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y fmtid="{D5CDD505-2E9C-101B-9397-08002B2CF9AE}" pid="26" name="KSOProductBuildVer">
    <vt:lpwstr>2052-12.1.0.17813</vt:lpwstr>
  </property>
  <property fmtid="{D5CDD505-2E9C-101B-9397-08002B2CF9AE}" pid="27" name="ICV">
    <vt:lpwstr>BCBFDEB5477C441BB229E6C3E2C124AC_13</vt:lpwstr>
  </property>
</Properties>
</file>