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4347E21" w14:textId="77777777" w:rsidR="00B53455" w:rsidRDefault="00B53455" w:rsidP="00B53455">
      <w:pPr>
        <w:spacing w:line="360" w:lineRule="auto"/>
        <w:rPr>
          <w:rFonts w:ascii="Times New Roman" w:hAnsi="Times New Roman" w:cs="Times New Roman"/>
          <w:b/>
          <w:bCs/>
          <w:sz w:val="28"/>
          <w:szCs w:val="28"/>
          <w:lang w:val="en-US"/>
        </w:rPr>
      </w:pPr>
      <w:r w:rsidRPr="00645F9C">
        <w:rPr>
          <w:rFonts w:ascii="Times New Roman" w:hAnsi="Times New Roman" w:cs="Times New Roman"/>
          <w:b/>
          <w:bCs/>
          <w:sz w:val="28"/>
          <w:szCs w:val="28"/>
          <w:lang w:val="en-US"/>
        </w:rPr>
        <w:t>Supplemental Figures</w:t>
      </w:r>
    </w:p>
    <w:p w14:paraId="2CD79FC4" w14:textId="77777777" w:rsidR="00B53455" w:rsidRPr="00645F9C" w:rsidRDefault="00B53455" w:rsidP="00B53455">
      <w:pPr>
        <w:spacing w:line="360" w:lineRule="auto"/>
        <w:rPr>
          <w:rFonts w:ascii="Times New Roman" w:hAnsi="Times New Roman" w:cs="Times New Roman"/>
          <w:b/>
          <w:bCs/>
          <w:sz w:val="28"/>
          <w:szCs w:val="28"/>
          <w:lang w:val="en-US"/>
        </w:rPr>
      </w:pPr>
      <w:r>
        <w:rPr>
          <w:noProof/>
        </w:rPr>
        <w:drawing>
          <wp:inline distT="0" distB="0" distL="0" distR="0" wp14:anchorId="20E29213" wp14:editId="37485F12">
            <wp:extent cx="5648325" cy="6305550"/>
            <wp:effectExtent l="0" t="0" r="9525" b="0"/>
            <wp:docPr id="1145928591" name="Picture 6" descr="A collage of images of cel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5928591" name="Picture 6" descr="A collage of images of cells&#10;&#10;Description automatically generated"/>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648325" cy="6305550"/>
                    </a:xfrm>
                    <a:prstGeom prst="rect">
                      <a:avLst/>
                    </a:prstGeom>
                    <a:noFill/>
                    <a:ln>
                      <a:noFill/>
                    </a:ln>
                  </pic:spPr>
                </pic:pic>
              </a:graphicData>
            </a:graphic>
          </wp:inline>
        </w:drawing>
      </w:r>
    </w:p>
    <w:p w14:paraId="6718EBA1" w14:textId="77777777" w:rsidR="00B53455" w:rsidRPr="00645F9C" w:rsidRDefault="00B53455" w:rsidP="00B53455">
      <w:pPr>
        <w:spacing w:line="360" w:lineRule="auto"/>
        <w:rPr>
          <w:rFonts w:ascii="Times New Roman" w:hAnsi="Times New Roman" w:cs="Times New Roman"/>
          <w:b/>
          <w:bCs/>
          <w:sz w:val="24"/>
          <w:szCs w:val="24"/>
          <w:lang w:val="en-US"/>
        </w:rPr>
      </w:pPr>
      <w:r w:rsidRPr="00645F9C">
        <w:rPr>
          <w:rFonts w:ascii="Times New Roman" w:hAnsi="Times New Roman" w:cs="Times New Roman"/>
          <w:b/>
          <w:bCs/>
          <w:sz w:val="24"/>
          <w:szCs w:val="24"/>
          <w:lang w:val="en-US"/>
        </w:rPr>
        <w:t>Supplemental Figure 1:</w:t>
      </w:r>
      <w:r w:rsidRPr="00645F9C">
        <w:rPr>
          <w:rFonts w:ascii="Times New Roman" w:hAnsi="Times New Roman" w:cs="Times New Roman"/>
          <w:sz w:val="24"/>
          <w:szCs w:val="24"/>
        </w:rPr>
        <w:t xml:space="preserve"> </w:t>
      </w:r>
      <w:r w:rsidRPr="00645F9C">
        <w:rPr>
          <w:rFonts w:ascii="Times New Roman" w:hAnsi="Times New Roman" w:cs="Times New Roman"/>
          <w:b/>
          <w:bCs/>
          <w:sz w:val="24"/>
          <w:szCs w:val="24"/>
          <w:lang w:val="en-US"/>
        </w:rPr>
        <w:t>Vascular measurements methods</w:t>
      </w:r>
    </w:p>
    <w:p w14:paraId="42147FFE" w14:textId="77777777" w:rsidR="00B53455" w:rsidRPr="001779BD" w:rsidRDefault="00B53455" w:rsidP="00B53455">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w:t>
      </w:r>
      <w:r w:rsidRPr="001779BD">
        <w:rPr>
          <w:rFonts w:ascii="Times New Roman" w:hAnsi="Times New Roman" w:cs="Times New Roman"/>
          <w:sz w:val="24"/>
          <w:szCs w:val="24"/>
          <w:lang w:val="en-US"/>
        </w:rPr>
        <w:t>A</w:t>
      </w:r>
      <w:r>
        <w:rPr>
          <w:rFonts w:ascii="Times New Roman" w:hAnsi="Times New Roman" w:cs="Times New Roman"/>
          <w:sz w:val="24"/>
          <w:szCs w:val="24"/>
          <w:lang w:val="en-US"/>
        </w:rPr>
        <w:t>)</w:t>
      </w:r>
      <w:r w:rsidRPr="001779BD">
        <w:rPr>
          <w:rFonts w:ascii="Times New Roman" w:hAnsi="Times New Roman" w:cs="Times New Roman"/>
          <w:sz w:val="24"/>
          <w:szCs w:val="24"/>
          <w:lang w:val="en-US"/>
        </w:rPr>
        <w:t xml:space="preserve">. </w:t>
      </w:r>
      <w:r w:rsidRPr="001779BD">
        <w:rPr>
          <w:rFonts w:ascii="Times New Roman" w:hAnsi="Times New Roman" w:cs="Times New Roman"/>
          <w:b/>
          <w:bCs/>
          <w:sz w:val="24"/>
          <w:szCs w:val="24"/>
          <w:lang w:val="en-US"/>
        </w:rPr>
        <w:t>Sclerotic index</w:t>
      </w:r>
      <w:r w:rsidRPr="001779BD">
        <w:rPr>
          <w:rFonts w:ascii="Times New Roman" w:hAnsi="Times New Roman" w:cs="Times New Roman"/>
          <w:sz w:val="24"/>
          <w:szCs w:val="24"/>
          <w:lang w:val="en-US"/>
        </w:rPr>
        <w:t xml:space="preserve"> measurement example of white matter vessel using NDP.view3 Web server (U13173-03, Hamamatsu Photonics K.K.). Twenty arterioles were selected for analysis, aiming to include most sclerosed vessels. Vessels in cross section were primarily selected and those in longitudinal section excluded. Many vessels were however in elliptical cross-section (as shown) </w:t>
      </w:r>
      <w:r w:rsidRPr="001779BD">
        <w:rPr>
          <w:rFonts w:ascii="Times New Roman" w:hAnsi="Times New Roman" w:cs="Times New Roman"/>
          <w:sz w:val="24"/>
          <w:szCs w:val="24"/>
          <w:lang w:val="en-US"/>
        </w:rPr>
        <w:lastRenderedPageBreak/>
        <w:t xml:space="preserve">and measures were therefore taken at both the shortest diameter and perpendicular to that axis and average values calculated. Internal diameters were measured using the endothelial borders, whereas external diameters taken from the basement membrane or adventitial borders and SI calculated (1 – (internal vascular diameter / external vascular diameter). The width of the perivascular space was also measured in the same axis as the vessel measurements. </w:t>
      </w:r>
    </w:p>
    <w:p w14:paraId="277EFA75" w14:textId="77777777" w:rsidR="00B53455" w:rsidRPr="001779BD" w:rsidRDefault="00B53455" w:rsidP="00B53455">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w:t>
      </w:r>
      <w:r w:rsidRPr="001779BD">
        <w:rPr>
          <w:rFonts w:ascii="Times New Roman" w:hAnsi="Times New Roman" w:cs="Times New Roman"/>
          <w:sz w:val="24"/>
          <w:szCs w:val="24"/>
          <w:lang w:val="en-US"/>
        </w:rPr>
        <w:t>B</w:t>
      </w:r>
      <w:r>
        <w:rPr>
          <w:rFonts w:ascii="Times New Roman" w:hAnsi="Times New Roman" w:cs="Times New Roman"/>
          <w:sz w:val="24"/>
          <w:szCs w:val="24"/>
          <w:lang w:val="en-US"/>
        </w:rPr>
        <w:t>)</w:t>
      </w:r>
      <w:r w:rsidRPr="001779BD">
        <w:rPr>
          <w:rFonts w:ascii="Times New Roman" w:hAnsi="Times New Roman" w:cs="Times New Roman"/>
          <w:sz w:val="24"/>
          <w:szCs w:val="24"/>
          <w:lang w:val="en-US"/>
        </w:rPr>
        <w:t xml:space="preserve">. </w:t>
      </w:r>
      <w:r w:rsidRPr="001779BD">
        <w:rPr>
          <w:rFonts w:ascii="Times New Roman" w:hAnsi="Times New Roman" w:cs="Times New Roman"/>
          <w:b/>
          <w:bCs/>
          <w:sz w:val="24"/>
          <w:szCs w:val="24"/>
          <w:lang w:val="en-US"/>
        </w:rPr>
        <w:t>PDGRF</w:t>
      </w:r>
      <w:r w:rsidRPr="001779BD">
        <w:rPr>
          <w:rFonts w:ascii="Times New Roman" w:hAnsi="Times New Roman" w:cs="Times New Roman"/>
          <w:b/>
          <w:bCs/>
          <w:sz w:val="24"/>
          <w:szCs w:val="24"/>
          <w:lang w:val="en-US"/>
        </w:rPr>
        <w:sym w:font="Symbol" w:char="F062"/>
      </w:r>
      <w:r w:rsidRPr="001779BD">
        <w:rPr>
          <w:rFonts w:ascii="Times New Roman" w:hAnsi="Times New Roman" w:cs="Times New Roman"/>
          <w:sz w:val="24"/>
          <w:szCs w:val="24"/>
          <w:lang w:val="en-US"/>
        </w:rPr>
        <w:t xml:space="preserve"> labelling and measurements of diameters of small vessels (ranging from 14 to 29 microns diameter as shown) taken as the shortest midpoint axis. Vessels were also categorized as type 1 vessels (black arrows) with circumferential labelling or type 2 (white arrowheads) with discontinuous</w:t>
      </w:r>
      <w:r>
        <w:rPr>
          <w:rFonts w:ascii="Times New Roman" w:hAnsi="Times New Roman" w:cs="Times New Roman"/>
          <w:sz w:val="24"/>
          <w:szCs w:val="24"/>
          <w:lang w:val="en-US"/>
        </w:rPr>
        <w:t xml:space="preserve"> or intermittent </w:t>
      </w:r>
      <w:r w:rsidRPr="001779BD">
        <w:rPr>
          <w:rFonts w:ascii="Times New Roman" w:hAnsi="Times New Roman" w:cs="Times New Roman"/>
          <w:sz w:val="24"/>
          <w:szCs w:val="24"/>
          <w:lang w:val="en-US"/>
        </w:rPr>
        <w:t xml:space="preserve"> labelling. Vessels were measured in longitudinal or cross-sectional axis and all non-contiguous, separate vascular structures were included</w:t>
      </w:r>
      <w:r>
        <w:rPr>
          <w:rFonts w:ascii="Times New Roman" w:hAnsi="Times New Roman" w:cs="Times New Roman"/>
          <w:sz w:val="24"/>
          <w:szCs w:val="24"/>
          <w:lang w:val="en-US"/>
        </w:rPr>
        <w:t>. Single cells without capillary lumen were excluded</w:t>
      </w:r>
      <w:r w:rsidRPr="001779BD">
        <w:rPr>
          <w:rFonts w:ascii="Times New Roman" w:hAnsi="Times New Roman" w:cs="Times New Roman"/>
          <w:sz w:val="24"/>
          <w:szCs w:val="24"/>
          <w:lang w:val="en-US"/>
        </w:rPr>
        <w:t xml:space="preserve">. </w:t>
      </w:r>
    </w:p>
    <w:p w14:paraId="4D5B2369" w14:textId="77777777" w:rsidR="00B53455" w:rsidRDefault="00B53455" w:rsidP="00B53455">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(C)</w:t>
      </w:r>
      <w:r w:rsidRPr="001779BD">
        <w:rPr>
          <w:rFonts w:ascii="Times New Roman" w:hAnsi="Times New Roman" w:cs="Times New Roman"/>
          <w:sz w:val="24"/>
          <w:szCs w:val="24"/>
          <w:lang w:val="en-US"/>
        </w:rPr>
        <w:t xml:space="preserve">. </w:t>
      </w:r>
      <w:r>
        <w:rPr>
          <w:rFonts w:ascii="Times New Roman" w:hAnsi="Times New Roman" w:cs="Times New Roman"/>
          <w:b/>
          <w:bCs/>
          <w:sz w:val="24"/>
          <w:szCs w:val="24"/>
          <w:lang w:val="en-US"/>
        </w:rPr>
        <w:t>COL4</w:t>
      </w:r>
      <w:r w:rsidRPr="001779BD">
        <w:rPr>
          <w:rFonts w:ascii="Times New Roman" w:hAnsi="Times New Roman" w:cs="Times New Roman"/>
          <w:sz w:val="24"/>
          <w:szCs w:val="24"/>
          <w:lang w:val="en-US"/>
        </w:rPr>
        <w:t xml:space="preserve"> labeled vessels in the middle temporal gyrus core  region. The vessels asterisked is shown at higher magnification in Figures </w:t>
      </w:r>
      <w:r>
        <w:rPr>
          <w:rFonts w:ascii="Times New Roman" w:hAnsi="Times New Roman" w:cs="Times New Roman"/>
          <w:sz w:val="24"/>
          <w:szCs w:val="24"/>
          <w:lang w:val="en-US"/>
        </w:rPr>
        <w:t>(</w:t>
      </w:r>
      <w:r w:rsidRPr="001779BD">
        <w:rPr>
          <w:rFonts w:ascii="Times New Roman" w:hAnsi="Times New Roman" w:cs="Times New Roman"/>
          <w:sz w:val="24"/>
          <w:szCs w:val="24"/>
          <w:lang w:val="en-US"/>
        </w:rPr>
        <w:t>D</w:t>
      </w:r>
      <w:r>
        <w:rPr>
          <w:rFonts w:ascii="Times New Roman" w:hAnsi="Times New Roman" w:cs="Times New Roman"/>
          <w:sz w:val="24"/>
          <w:szCs w:val="24"/>
          <w:lang w:val="en-US"/>
        </w:rPr>
        <w:t>)</w:t>
      </w:r>
      <w:r w:rsidRPr="001779BD">
        <w:rPr>
          <w:rFonts w:ascii="Times New Roman" w:hAnsi="Times New Roman" w:cs="Times New Roman"/>
          <w:sz w:val="24"/>
          <w:szCs w:val="24"/>
          <w:lang w:val="en-US"/>
        </w:rPr>
        <w:t xml:space="preserve"> and </w:t>
      </w:r>
      <w:r>
        <w:rPr>
          <w:rFonts w:ascii="Times New Roman" w:hAnsi="Times New Roman" w:cs="Times New Roman"/>
          <w:sz w:val="24"/>
          <w:szCs w:val="24"/>
          <w:lang w:val="en-US"/>
        </w:rPr>
        <w:t>(</w:t>
      </w:r>
      <w:r w:rsidRPr="001779BD">
        <w:rPr>
          <w:rFonts w:ascii="Times New Roman" w:hAnsi="Times New Roman" w:cs="Times New Roman"/>
          <w:sz w:val="24"/>
          <w:szCs w:val="24"/>
          <w:lang w:val="en-US"/>
        </w:rPr>
        <w:t>E</w:t>
      </w:r>
      <w:r>
        <w:rPr>
          <w:rFonts w:ascii="Times New Roman" w:hAnsi="Times New Roman" w:cs="Times New Roman"/>
          <w:sz w:val="24"/>
          <w:szCs w:val="24"/>
          <w:lang w:val="en-US"/>
        </w:rPr>
        <w:t>)</w:t>
      </w:r>
      <w:r w:rsidRPr="001779BD">
        <w:rPr>
          <w:rFonts w:ascii="Times New Roman" w:hAnsi="Times New Roman" w:cs="Times New Roman"/>
          <w:sz w:val="24"/>
          <w:szCs w:val="24"/>
          <w:lang w:val="en-US"/>
        </w:rPr>
        <w:t xml:space="preserve">. </w:t>
      </w:r>
      <w:r>
        <w:rPr>
          <w:rFonts w:ascii="Times New Roman" w:hAnsi="Times New Roman" w:cs="Times New Roman"/>
          <w:sz w:val="24"/>
          <w:szCs w:val="24"/>
          <w:lang w:val="en-US"/>
        </w:rPr>
        <w:t>COL4</w:t>
      </w:r>
      <w:r w:rsidRPr="001779BD">
        <w:rPr>
          <w:rFonts w:ascii="Times New Roman" w:hAnsi="Times New Roman" w:cs="Times New Roman"/>
          <w:sz w:val="24"/>
          <w:szCs w:val="24"/>
          <w:lang w:val="en-US"/>
        </w:rPr>
        <w:t xml:space="preserve"> detection using image analysis was used to outline and quantify the total number of vascular structures. All vessels with area greater than 25µ</w:t>
      </w:r>
      <w:r w:rsidRPr="001779BD">
        <w:rPr>
          <w:rFonts w:ascii="Times New Roman" w:hAnsi="Times New Roman" w:cs="Times New Roman"/>
          <w:sz w:val="24"/>
          <w:szCs w:val="24"/>
          <w:vertAlign w:val="superscript"/>
          <w:lang w:val="en-US"/>
        </w:rPr>
        <w:t>2</w:t>
      </w:r>
      <w:r w:rsidRPr="001779BD">
        <w:rPr>
          <w:rFonts w:ascii="Times New Roman" w:hAnsi="Times New Roman" w:cs="Times New Roman"/>
          <w:sz w:val="24"/>
          <w:szCs w:val="24"/>
          <w:lang w:val="en-US"/>
        </w:rPr>
        <w:t xml:space="preserve">, including irregularly shaped vessels (as shown with arrow in </w:t>
      </w:r>
      <w:r>
        <w:rPr>
          <w:rFonts w:ascii="Times New Roman" w:hAnsi="Times New Roman" w:cs="Times New Roman"/>
          <w:sz w:val="24"/>
          <w:szCs w:val="24"/>
          <w:lang w:val="en-US"/>
        </w:rPr>
        <w:t>(E)</w:t>
      </w:r>
      <w:r w:rsidRPr="001779BD">
        <w:rPr>
          <w:rFonts w:ascii="Times New Roman" w:hAnsi="Times New Roman" w:cs="Times New Roman"/>
          <w:sz w:val="24"/>
          <w:szCs w:val="24"/>
          <w:lang w:val="en-US"/>
        </w:rPr>
        <w:t xml:space="preserve"> and at higher magnification in </w:t>
      </w:r>
      <w:r>
        <w:rPr>
          <w:rFonts w:ascii="Times New Roman" w:hAnsi="Times New Roman" w:cs="Times New Roman"/>
          <w:sz w:val="24"/>
          <w:szCs w:val="24"/>
          <w:lang w:val="en-US"/>
        </w:rPr>
        <w:t>(</w:t>
      </w:r>
      <w:r w:rsidRPr="001779BD">
        <w:rPr>
          <w:rFonts w:ascii="Times New Roman" w:hAnsi="Times New Roman" w:cs="Times New Roman"/>
          <w:sz w:val="24"/>
          <w:szCs w:val="24"/>
          <w:lang w:val="en-US"/>
        </w:rPr>
        <w:t>F</w:t>
      </w:r>
      <w:r>
        <w:rPr>
          <w:rFonts w:ascii="Times New Roman" w:hAnsi="Times New Roman" w:cs="Times New Roman"/>
          <w:sz w:val="24"/>
          <w:szCs w:val="24"/>
          <w:lang w:val="en-US"/>
        </w:rPr>
        <w:t>)</w:t>
      </w:r>
      <w:r w:rsidRPr="001779BD">
        <w:rPr>
          <w:rFonts w:ascii="Times New Roman" w:hAnsi="Times New Roman" w:cs="Times New Roman"/>
          <w:sz w:val="24"/>
          <w:szCs w:val="24"/>
          <w:lang w:val="en-US"/>
        </w:rPr>
        <w:t>) had vessels diameter calculations using a python script generating random tangential intersects across the vessel lumen (as shown in</w:t>
      </w:r>
      <w:r>
        <w:rPr>
          <w:rFonts w:ascii="Times New Roman" w:hAnsi="Times New Roman" w:cs="Times New Roman"/>
          <w:sz w:val="24"/>
          <w:szCs w:val="24"/>
          <w:lang w:val="en-US"/>
        </w:rPr>
        <w:t xml:space="preserve"> a further example in (</w:t>
      </w:r>
      <w:r w:rsidRPr="001779BD">
        <w:rPr>
          <w:rFonts w:ascii="Times New Roman" w:hAnsi="Times New Roman" w:cs="Times New Roman"/>
          <w:sz w:val="24"/>
          <w:szCs w:val="24"/>
          <w:lang w:val="en-US"/>
        </w:rPr>
        <w:t>G)</w:t>
      </w:r>
      <w:r>
        <w:rPr>
          <w:rFonts w:ascii="Times New Roman" w:hAnsi="Times New Roman" w:cs="Times New Roman"/>
          <w:sz w:val="24"/>
          <w:szCs w:val="24"/>
          <w:lang w:val="en-US"/>
        </w:rPr>
        <w:t>)</w:t>
      </w:r>
      <w:r w:rsidRPr="001779BD">
        <w:rPr>
          <w:rFonts w:ascii="Times New Roman" w:hAnsi="Times New Roman" w:cs="Times New Roman"/>
          <w:sz w:val="24"/>
          <w:szCs w:val="24"/>
          <w:lang w:val="en-US"/>
        </w:rPr>
        <w:t xml:space="preserve"> from which the median value was calculated (illustration in G does not correspond to th</w:t>
      </w:r>
      <w:r>
        <w:rPr>
          <w:rFonts w:ascii="Times New Roman" w:hAnsi="Times New Roman" w:cs="Times New Roman"/>
          <w:sz w:val="24"/>
          <w:szCs w:val="24"/>
          <w:lang w:val="en-US"/>
        </w:rPr>
        <w:t>e vessel</w:t>
      </w:r>
      <w:r w:rsidRPr="001779BD">
        <w:rPr>
          <w:rFonts w:ascii="Times New Roman" w:hAnsi="Times New Roman" w:cs="Times New Roman"/>
          <w:sz w:val="24"/>
          <w:szCs w:val="24"/>
          <w:lang w:val="en-US"/>
        </w:rPr>
        <w:t xml:space="preserve"> shown in F). </w:t>
      </w:r>
    </w:p>
    <w:p w14:paraId="3C6A42DE" w14:textId="77777777" w:rsidR="00B53455" w:rsidRDefault="00B53455" w:rsidP="00B53455">
      <w:pPr>
        <w:spacing w:line="360" w:lineRule="auto"/>
        <w:jc w:val="both"/>
        <w:rPr>
          <w:rFonts w:ascii="Times New Roman" w:hAnsi="Times New Roman" w:cs="Times New Roman"/>
          <w:sz w:val="24"/>
          <w:szCs w:val="24"/>
          <w:lang w:val="en-US"/>
        </w:rPr>
      </w:pPr>
    </w:p>
    <w:p w14:paraId="539422AD" w14:textId="77777777" w:rsidR="00B53455" w:rsidRPr="001779BD" w:rsidRDefault="00B53455" w:rsidP="00B53455">
      <w:pPr>
        <w:spacing w:line="360" w:lineRule="auto"/>
        <w:jc w:val="both"/>
        <w:rPr>
          <w:rFonts w:ascii="Times New Roman" w:hAnsi="Times New Roman" w:cs="Times New Roman"/>
          <w:sz w:val="24"/>
          <w:szCs w:val="24"/>
          <w:lang w:val="en-US"/>
        </w:rPr>
      </w:pPr>
      <w:r>
        <w:rPr>
          <w:noProof/>
        </w:rPr>
        <w:lastRenderedPageBreak/>
        <w:drawing>
          <wp:inline distT="0" distB="0" distL="0" distR="0" wp14:anchorId="4423B9D1" wp14:editId="1F4BBAC2">
            <wp:extent cx="3695700" cy="6619875"/>
            <wp:effectExtent l="0" t="0" r="0" b="9525"/>
            <wp:docPr id="1526320792" name="Picture 7" descr="A close-up of several images of a brai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6320792" name="Picture 7" descr="A close-up of several images of a brain&#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695700" cy="6619875"/>
                    </a:xfrm>
                    <a:prstGeom prst="rect">
                      <a:avLst/>
                    </a:prstGeom>
                    <a:noFill/>
                    <a:ln>
                      <a:noFill/>
                    </a:ln>
                  </pic:spPr>
                </pic:pic>
              </a:graphicData>
            </a:graphic>
          </wp:inline>
        </w:drawing>
      </w:r>
    </w:p>
    <w:p w14:paraId="7503337E" w14:textId="77777777" w:rsidR="00B53455" w:rsidRPr="001779BD" w:rsidRDefault="00B53455" w:rsidP="00B53455">
      <w:pPr>
        <w:spacing w:line="360" w:lineRule="auto"/>
        <w:jc w:val="both"/>
        <w:rPr>
          <w:rFonts w:ascii="Times New Roman" w:hAnsi="Times New Roman" w:cs="Times New Roman"/>
          <w:b/>
          <w:bCs/>
          <w:sz w:val="24"/>
          <w:szCs w:val="24"/>
          <w:lang w:val="en-US"/>
        </w:rPr>
      </w:pPr>
      <w:r w:rsidRPr="001779BD">
        <w:rPr>
          <w:rFonts w:ascii="Times New Roman" w:hAnsi="Times New Roman" w:cs="Times New Roman"/>
          <w:b/>
          <w:bCs/>
          <w:sz w:val="24"/>
          <w:szCs w:val="24"/>
          <w:lang w:val="en-US"/>
        </w:rPr>
        <w:t>Supplemental Figure 2. White matter regions of interest</w:t>
      </w:r>
    </w:p>
    <w:p w14:paraId="16DB5127" w14:textId="77777777" w:rsidR="00B53455" w:rsidRPr="001779BD" w:rsidRDefault="00B53455" w:rsidP="00B53455">
      <w:pPr>
        <w:spacing w:line="360" w:lineRule="auto"/>
        <w:jc w:val="both"/>
        <w:rPr>
          <w:rFonts w:ascii="Times New Roman" w:hAnsi="Times New Roman" w:cs="Times New Roman"/>
          <w:sz w:val="24"/>
          <w:szCs w:val="24"/>
          <w:lang w:val="en-US"/>
        </w:rPr>
      </w:pPr>
      <w:r w:rsidRPr="001779BD">
        <w:rPr>
          <w:rFonts w:ascii="Times New Roman" w:hAnsi="Times New Roman" w:cs="Times New Roman"/>
          <w:sz w:val="24"/>
          <w:szCs w:val="24"/>
          <w:lang w:val="en-US"/>
        </w:rPr>
        <w:t>A-C. Examples of the white matter regions of interest (ROI) drawn with Qu</w:t>
      </w:r>
      <w:r>
        <w:rPr>
          <w:rFonts w:ascii="Times New Roman" w:hAnsi="Times New Roman" w:cs="Times New Roman"/>
          <w:sz w:val="24"/>
          <w:szCs w:val="24"/>
          <w:lang w:val="en-US"/>
        </w:rPr>
        <w:t>p</w:t>
      </w:r>
      <w:r w:rsidRPr="001779BD">
        <w:rPr>
          <w:rFonts w:ascii="Times New Roman" w:hAnsi="Times New Roman" w:cs="Times New Roman"/>
          <w:sz w:val="24"/>
          <w:szCs w:val="24"/>
          <w:lang w:val="en-US"/>
        </w:rPr>
        <w:t>ath on sections labelled with PDGFR</w:t>
      </w:r>
      <w:r w:rsidRPr="001779BD">
        <w:rPr>
          <w:rFonts w:ascii="Times New Roman" w:hAnsi="Times New Roman" w:cs="Times New Roman"/>
          <w:sz w:val="24"/>
          <w:szCs w:val="24"/>
          <w:lang w:val="en-US"/>
        </w:rPr>
        <w:sym w:font="Symbol" w:char="F062"/>
      </w:r>
      <w:r w:rsidRPr="001779BD">
        <w:rPr>
          <w:rFonts w:ascii="Times New Roman" w:hAnsi="Times New Roman" w:cs="Times New Roman"/>
          <w:sz w:val="24"/>
          <w:szCs w:val="24"/>
          <w:lang w:val="en-US"/>
        </w:rPr>
        <w:t xml:space="preserve"> (A), neurofilament light chain (B) and </w:t>
      </w:r>
      <w:r>
        <w:rPr>
          <w:rFonts w:ascii="Times New Roman" w:hAnsi="Times New Roman" w:cs="Times New Roman"/>
          <w:sz w:val="24"/>
          <w:szCs w:val="24"/>
          <w:lang w:val="en-US"/>
        </w:rPr>
        <w:t>COL4</w:t>
      </w:r>
      <w:r w:rsidRPr="001779BD">
        <w:rPr>
          <w:rFonts w:ascii="Times New Roman" w:hAnsi="Times New Roman" w:cs="Times New Roman"/>
          <w:sz w:val="24"/>
          <w:szCs w:val="24"/>
          <w:lang w:val="en-US"/>
        </w:rPr>
        <w:t xml:space="preserve"> (with vessel detection shown in yellow). Pink ROI is the superior temporal gyrus core ;  deep white matter (purple ROI). Turquoise ROI is the middle temporal gyrus core ; deep white matter (blue ROI). Green ROI is </w:t>
      </w:r>
      <w:r w:rsidRPr="001779BD">
        <w:rPr>
          <w:rFonts w:ascii="Times New Roman" w:hAnsi="Times New Roman" w:cs="Times New Roman"/>
          <w:sz w:val="24"/>
          <w:szCs w:val="24"/>
          <w:lang w:val="en-US"/>
        </w:rPr>
        <w:lastRenderedPageBreak/>
        <w:t xml:space="preserve">the inferior temporal gyrus core ; deep white matter (dark green ROI). </w:t>
      </w:r>
      <w:r>
        <w:rPr>
          <w:rFonts w:ascii="Times New Roman" w:hAnsi="Times New Roman" w:cs="Times New Roman"/>
          <w:sz w:val="24"/>
          <w:szCs w:val="24"/>
          <w:lang w:val="en-US"/>
        </w:rPr>
        <w:t>Tissue artefacts were excluded from analysis (grey lines).</w:t>
      </w:r>
    </w:p>
    <w:p w14:paraId="76C4F9B1" w14:textId="77777777" w:rsidR="00B53455" w:rsidRDefault="00B53455" w:rsidP="00B53455">
      <w:pPr>
        <w:spacing w:line="360" w:lineRule="auto"/>
        <w:jc w:val="both"/>
        <w:rPr>
          <w:rFonts w:ascii="Times New Roman" w:hAnsi="Times New Roman" w:cs="Times New Roman"/>
          <w:b/>
          <w:bCs/>
          <w:sz w:val="24"/>
          <w:szCs w:val="24"/>
          <w:lang w:val="en-US"/>
        </w:rPr>
      </w:pPr>
      <w:r>
        <w:rPr>
          <w:noProof/>
        </w:rPr>
        <w:drawing>
          <wp:inline distT="0" distB="0" distL="0" distR="0" wp14:anchorId="6DBAC213" wp14:editId="30B4374F">
            <wp:extent cx="3124753" cy="6086475"/>
            <wp:effectExtent l="0" t="0" r="0" b="0"/>
            <wp:docPr id="1380887882" name="Picture 8" descr="A close-up of different colors of grani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0887882" name="Picture 8" descr="A close-up of different colors of granite&#10;&#10;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129705" cy="6096120"/>
                    </a:xfrm>
                    <a:prstGeom prst="rect">
                      <a:avLst/>
                    </a:prstGeom>
                    <a:noFill/>
                    <a:ln>
                      <a:noFill/>
                    </a:ln>
                  </pic:spPr>
                </pic:pic>
              </a:graphicData>
            </a:graphic>
          </wp:inline>
        </w:drawing>
      </w:r>
    </w:p>
    <w:p w14:paraId="7DABE1CD" w14:textId="77777777" w:rsidR="00B53455" w:rsidRPr="001779BD" w:rsidRDefault="00B53455" w:rsidP="00B53455">
      <w:pPr>
        <w:spacing w:line="360" w:lineRule="auto"/>
        <w:jc w:val="both"/>
        <w:rPr>
          <w:rFonts w:ascii="Times New Roman" w:hAnsi="Times New Roman" w:cs="Times New Roman"/>
          <w:b/>
          <w:bCs/>
          <w:sz w:val="24"/>
          <w:szCs w:val="24"/>
          <w:lang w:val="en-US"/>
        </w:rPr>
      </w:pPr>
      <w:r w:rsidRPr="001779BD">
        <w:rPr>
          <w:rFonts w:ascii="Times New Roman" w:hAnsi="Times New Roman" w:cs="Times New Roman"/>
          <w:b/>
          <w:bCs/>
          <w:sz w:val="24"/>
          <w:szCs w:val="24"/>
          <w:lang w:val="en-US"/>
        </w:rPr>
        <w:t>Supplemental Figure 3. Image analysis automated detection</w:t>
      </w:r>
    </w:p>
    <w:p w14:paraId="460261E5" w14:textId="77777777" w:rsidR="00B53455" w:rsidRDefault="00B53455" w:rsidP="00B53455">
      <w:pPr>
        <w:spacing w:line="360" w:lineRule="auto"/>
        <w:jc w:val="both"/>
        <w:rPr>
          <w:rFonts w:ascii="Times New Roman" w:hAnsi="Times New Roman" w:cs="Times New Roman"/>
          <w:sz w:val="24"/>
          <w:szCs w:val="24"/>
          <w:lang w:val="en-US"/>
        </w:rPr>
      </w:pPr>
      <w:r w:rsidRPr="001779BD">
        <w:rPr>
          <w:rFonts w:ascii="Times New Roman" w:hAnsi="Times New Roman" w:cs="Times New Roman"/>
          <w:sz w:val="24"/>
          <w:szCs w:val="24"/>
          <w:lang w:val="en-US"/>
        </w:rPr>
        <w:t xml:space="preserve">Examples of automated detection of MAG, Iba1 and Tensacin C shown on the left </w:t>
      </w:r>
      <w:r>
        <w:rPr>
          <w:rFonts w:ascii="Times New Roman" w:hAnsi="Times New Roman" w:cs="Times New Roman"/>
          <w:sz w:val="24"/>
          <w:szCs w:val="24"/>
          <w:lang w:val="en-US"/>
        </w:rPr>
        <w:t xml:space="preserve">with DAB staining and </w:t>
      </w:r>
      <w:r w:rsidRPr="001779BD">
        <w:rPr>
          <w:rFonts w:ascii="Times New Roman" w:hAnsi="Times New Roman" w:cs="Times New Roman"/>
          <w:sz w:val="24"/>
          <w:szCs w:val="24"/>
          <w:lang w:val="en-US"/>
        </w:rPr>
        <w:t>with different thresholds on the right side. Cell-pose method for estimation of neuronal number</w:t>
      </w:r>
      <w:r>
        <w:rPr>
          <w:rFonts w:ascii="Times New Roman" w:hAnsi="Times New Roman" w:cs="Times New Roman"/>
          <w:sz w:val="24"/>
          <w:szCs w:val="24"/>
          <w:lang w:val="en-US"/>
        </w:rPr>
        <w:t xml:space="preserve"> on NeuN stain</w:t>
      </w:r>
      <w:r w:rsidRPr="001779BD">
        <w:rPr>
          <w:rFonts w:ascii="Times New Roman" w:hAnsi="Times New Roman" w:cs="Times New Roman"/>
          <w:sz w:val="24"/>
          <w:szCs w:val="24"/>
          <w:lang w:val="en-US"/>
        </w:rPr>
        <w:t xml:space="preserve"> is show in the cortex (left) compared to the white matter (right) with single, separate cells outlined in yellow. Cell-pose method for detection of white matter </w:t>
      </w:r>
      <w:r w:rsidRPr="001779BD">
        <w:rPr>
          <w:rFonts w:ascii="Times New Roman" w:hAnsi="Times New Roman" w:cs="Times New Roman"/>
          <w:sz w:val="24"/>
          <w:szCs w:val="24"/>
          <w:lang w:val="en-US"/>
        </w:rPr>
        <w:lastRenderedPageBreak/>
        <w:t xml:space="preserve">oligodendroglia is shown </w:t>
      </w:r>
      <w:r>
        <w:rPr>
          <w:rFonts w:ascii="Times New Roman" w:hAnsi="Times New Roman" w:cs="Times New Roman"/>
          <w:sz w:val="24"/>
          <w:szCs w:val="24"/>
          <w:lang w:val="en-US"/>
        </w:rPr>
        <w:t xml:space="preserve">with OLIG2 </w:t>
      </w:r>
      <w:r w:rsidRPr="001779BD">
        <w:rPr>
          <w:rFonts w:ascii="Times New Roman" w:hAnsi="Times New Roman" w:cs="Times New Roman"/>
          <w:sz w:val="24"/>
          <w:szCs w:val="24"/>
          <w:lang w:val="en-US"/>
        </w:rPr>
        <w:t>on the bottom right (single cells outlined in red)</w:t>
      </w:r>
      <w:r>
        <w:rPr>
          <w:rFonts w:ascii="Times New Roman" w:hAnsi="Times New Roman" w:cs="Times New Roman"/>
          <w:sz w:val="24"/>
          <w:szCs w:val="24"/>
          <w:lang w:val="en-US"/>
        </w:rPr>
        <w:t xml:space="preserve"> with original DAB stain bottom left</w:t>
      </w:r>
      <w:r w:rsidRPr="001779BD">
        <w:rPr>
          <w:rFonts w:ascii="Times New Roman" w:hAnsi="Times New Roman" w:cs="Times New Roman"/>
          <w:sz w:val="24"/>
          <w:szCs w:val="24"/>
          <w:lang w:val="en-US"/>
        </w:rPr>
        <w:t xml:space="preserve">. </w:t>
      </w:r>
    </w:p>
    <w:p w14:paraId="647261BC" w14:textId="77777777" w:rsidR="00B53455" w:rsidRDefault="00B53455" w:rsidP="00B53455">
      <w:pPr>
        <w:spacing w:line="360" w:lineRule="auto"/>
        <w:jc w:val="both"/>
        <w:rPr>
          <w:rFonts w:ascii="Times New Roman" w:hAnsi="Times New Roman" w:cs="Times New Roman"/>
          <w:sz w:val="24"/>
          <w:szCs w:val="24"/>
          <w:lang w:val="en-US"/>
        </w:rPr>
      </w:pPr>
      <w:r>
        <w:rPr>
          <w:noProof/>
        </w:rPr>
        <w:drawing>
          <wp:inline distT="0" distB="0" distL="0" distR="0" wp14:anchorId="0CBA9477" wp14:editId="696D4061">
            <wp:extent cx="5731510" cy="3173730"/>
            <wp:effectExtent l="0" t="0" r="2540" b="7620"/>
            <wp:docPr id="1567487588"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31510" cy="3173730"/>
                    </a:xfrm>
                    <a:prstGeom prst="rect">
                      <a:avLst/>
                    </a:prstGeom>
                    <a:noFill/>
                    <a:ln>
                      <a:noFill/>
                    </a:ln>
                  </pic:spPr>
                </pic:pic>
              </a:graphicData>
            </a:graphic>
          </wp:inline>
        </w:drawing>
      </w:r>
    </w:p>
    <w:p w14:paraId="131C5772" w14:textId="77777777" w:rsidR="00B53455" w:rsidRPr="001779BD" w:rsidRDefault="00B53455" w:rsidP="00B53455">
      <w:pPr>
        <w:spacing w:line="360" w:lineRule="auto"/>
        <w:jc w:val="both"/>
        <w:rPr>
          <w:rFonts w:ascii="Times New Roman" w:hAnsi="Times New Roman" w:cs="Times New Roman"/>
          <w:sz w:val="24"/>
          <w:szCs w:val="24"/>
          <w:lang w:val="en-US"/>
        </w:rPr>
      </w:pPr>
    </w:p>
    <w:p w14:paraId="41536457" w14:textId="77777777" w:rsidR="00B53455" w:rsidRPr="001779BD" w:rsidRDefault="00B53455" w:rsidP="00B53455">
      <w:pPr>
        <w:spacing w:line="360" w:lineRule="auto"/>
        <w:rPr>
          <w:rFonts w:ascii="Times New Roman" w:hAnsi="Times New Roman" w:cs="Times New Roman"/>
          <w:b/>
          <w:bCs/>
          <w:i/>
          <w:iCs/>
          <w:sz w:val="24"/>
          <w:szCs w:val="24"/>
          <w:lang w:val="en-US"/>
        </w:rPr>
      </w:pPr>
      <w:r w:rsidRPr="001779BD">
        <w:rPr>
          <w:rFonts w:ascii="Times New Roman" w:hAnsi="Times New Roman" w:cs="Times New Roman"/>
          <w:b/>
          <w:bCs/>
          <w:i/>
          <w:iCs/>
          <w:sz w:val="24"/>
          <w:szCs w:val="24"/>
          <w:lang w:val="en-US"/>
        </w:rPr>
        <w:t>S</w:t>
      </w:r>
      <w:r w:rsidRPr="00D545CC">
        <w:rPr>
          <w:rFonts w:ascii="Times New Roman" w:hAnsi="Times New Roman" w:cs="Times New Roman"/>
          <w:b/>
          <w:bCs/>
          <w:sz w:val="24"/>
          <w:szCs w:val="24"/>
          <w:lang w:val="en-US"/>
        </w:rPr>
        <w:t>upplemental Figure 4:</w:t>
      </w:r>
      <w:r w:rsidRPr="00D545CC">
        <w:rPr>
          <w:rFonts w:ascii="Times New Roman" w:hAnsi="Times New Roman" w:cs="Times New Roman"/>
          <w:sz w:val="24"/>
          <w:szCs w:val="24"/>
        </w:rPr>
        <w:t xml:space="preserve"> </w:t>
      </w:r>
      <w:r w:rsidRPr="00D545CC">
        <w:rPr>
          <w:rFonts w:ascii="Times New Roman" w:hAnsi="Times New Roman" w:cs="Times New Roman"/>
          <w:b/>
          <w:bCs/>
          <w:sz w:val="24"/>
          <w:szCs w:val="24"/>
          <w:lang w:val="en-US"/>
        </w:rPr>
        <w:t>Vascular measurements methods, SMA analysis</w:t>
      </w:r>
    </w:p>
    <w:p w14:paraId="373D32BA" w14:textId="77777777" w:rsidR="00B53455" w:rsidRDefault="00B53455" w:rsidP="00B53455">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w:t>
      </w:r>
      <w:r w:rsidRPr="001779BD">
        <w:rPr>
          <w:rFonts w:ascii="Times New Roman" w:hAnsi="Times New Roman" w:cs="Times New Roman"/>
          <w:sz w:val="24"/>
          <w:szCs w:val="24"/>
          <w:lang w:val="en-US"/>
        </w:rPr>
        <w:t>A</w:t>
      </w:r>
      <w:r>
        <w:rPr>
          <w:rFonts w:ascii="Times New Roman" w:hAnsi="Times New Roman" w:cs="Times New Roman"/>
          <w:sz w:val="24"/>
          <w:szCs w:val="24"/>
          <w:lang w:val="en-US"/>
        </w:rPr>
        <w:t>)</w:t>
      </w:r>
      <w:r w:rsidRPr="001779BD">
        <w:rPr>
          <w:rFonts w:ascii="Times New Roman" w:hAnsi="Times New Roman" w:cs="Times New Roman"/>
          <w:sz w:val="24"/>
          <w:szCs w:val="24"/>
          <w:lang w:val="en-US"/>
        </w:rPr>
        <w:t>. For each large region of interest (ROI) of the core and deep white matter of the superior temporal gyrus (pink shades), mid temporal gyrus (blue shades) and inferior temporal gyrus (green shades) smaller region</w:t>
      </w:r>
      <w:r>
        <w:rPr>
          <w:rFonts w:ascii="Times New Roman" w:hAnsi="Times New Roman" w:cs="Times New Roman"/>
          <w:sz w:val="24"/>
          <w:szCs w:val="24"/>
          <w:lang w:val="en-US"/>
        </w:rPr>
        <w:t>s</w:t>
      </w:r>
      <w:r w:rsidRPr="001779BD">
        <w:rPr>
          <w:rFonts w:ascii="Times New Roman" w:hAnsi="Times New Roman" w:cs="Times New Roman"/>
          <w:sz w:val="24"/>
          <w:szCs w:val="24"/>
          <w:lang w:val="en-US"/>
        </w:rPr>
        <w:t xml:space="preserve"> of interest were randomly placed (each small box 0.25</w:t>
      </w:r>
      <w:r>
        <w:rPr>
          <w:rFonts w:ascii="Times New Roman" w:hAnsi="Times New Roman" w:cs="Times New Roman"/>
          <w:sz w:val="24"/>
          <w:szCs w:val="24"/>
          <w:lang w:val="en-US"/>
        </w:rPr>
        <w:t xml:space="preserve"> </w:t>
      </w:r>
      <w:r w:rsidRPr="001779BD">
        <w:rPr>
          <w:rFonts w:ascii="Times New Roman" w:hAnsi="Times New Roman" w:cs="Times New Roman"/>
          <w:sz w:val="24"/>
          <w:szCs w:val="24"/>
          <w:lang w:val="en-US"/>
        </w:rPr>
        <w:t>mm</w:t>
      </w:r>
      <w:r w:rsidRPr="001779BD">
        <w:rPr>
          <w:rFonts w:ascii="Times New Roman" w:hAnsi="Times New Roman" w:cs="Times New Roman"/>
          <w:sz w:val="24"/>
          <w:szCs w:val="24"/>
          <w:vertAlign w:val="superscript"/>
          <w:lang w:val="en-US"/>
        </w:rPr>
        <w:t>2</w:t>
      </w:r>
      <w:r w:rsidRPr="001779BD">
        <w:rPr>
          <w:rFonts w:ascii="Times New Roman" w:hAnsi="Times New Roman" w:cs="Times New Roman"/>
          <w:sz w:val="24"/>
          <w:szCs w:val="24"/>
          <w:lang w:val="en-US"/>
        </w:rPr>
        <w:t xml:space="preserve">) to represent in total 10-20% of the large region area. In a pilot study of five cases (three TLE and 2 controls) comparison of vascular density data from evaluation of the larger ROI compared to small ROI showed good agreement using </w:t>
      </w:r>
      <w:r>
        <w:rPr>
          <w:rFonts w:ascii="Times New Roman" w:hAnsi="Times New Roman" w:cs="Times New Roman"/>
          <w:sz w:val="24"/>
          <w:szCs w:val="24"/>
          <w:lang w:val="en-US"/>
        </w:rPr>
        <w:t>(</w:t>
      </w:r>
      <w:r w:rsidRPr="001779BD">
        <w:rPr>
          <w:rFonts w:ascii="Times New Roman" w:hAnsi="Times New Roman" w:cs="Times New Roman"/>
          <w:sz w:val="24"/>
          <w:szCs w:val="24"/>
          <w:lang w:val="en-US"/>
        </w:rPr>
        <w:t>B</w:t>
      </w:r>
      <w:r>
        <w:rPr>
          <w:rFonts w:ascii="Times New Roman" w:hAnsi="Times New Roman" w:cs="Times New Roman"/>
          <w:sz w:val="24"/>
          <w:szCs w:val="24"/>
          <w:lang w:val="en-US"/>
        </w:rPr>
        <w:t xml:space="preserve">) </w:t>
      </w:r>
      <w:r w:rsidRPr="001779BD">
        <w:rPr>
          <w:rFonts w:ascii="Times New Roman" w:hAnsi="Times New Roman" w:cs="Times New Roman"/>
          <w:sz w:val="24"/>
          <w:szCs w:val="24"/>
          <w:lang w:val="en-US"/>
        </w:rPr>
        <w:t xml:space="preserve">Bland Altman plot (green dots = core, red dots = deep) and </w:t>
      </w:r>
      <w:r>
        <w:rPr>
          <w:rFonts w:ascii="Times New Roman" w:hAnsi="Times New Roman" w:cs="Times New Roman"/>
          <w:sz w:val="24"/>
          <w:szCs w:val="24"/>
          <w:lang w:val="en-US"/>
        </w:rPr>
        <w:t>(</w:t>
      </w:r>
      <w:r w:rsidRPr="001779BD">
        <w:rPr>
          <w:rFonts w:ascii="Times New Roman" w:hAnsi="Times New Roman" w:cs="Times New Roman"/>
          <w:sz w:val="24"/>
          <w:szCs w:val="24"/>
          <w:lang w:val="en-US"/>
        </w:rPr>
        <w:t>C</w:t>
      </w:r>
      <w:r>
        <w:rPr>
          <w:rFonts w:ascii="Times New Roman" w:hAnsi="Times New Roman" w:cs="Times New Roman"/>
          <w:sz w:val="24"/>
          <w:szCs w:val="24"/>
          <w:lang w:val="en-US"/>
        </w:rPr>
        <w:t>)</w:t>
      </w:r>
      <w:r w:rsidRPr="001779BD">
        <w:rPr>
          <w:rFonts w:ascii="Times New Roman" w:hAnsi="Times New Roman" w:cs="Times New Roman"/>
          <w:sz w:val="24"/>
          <w:szCs w:val="24"/>
          <w:lang w:val="en-US"/>
        </w:rPr>
        <w:t xml:space="preserve"> Spearman’s correlation (see also supplemental methods). </w:t>
      </w:r>
      <w:r>
        <w:rPr>
          <w:rFonts w:ascii="Times New Roman" w:hAnsi="Times New Roman" w:cs="Times New Roman"/>
          <w:sz w:val="24"/>
          <w:szCs w:val="24"/>
          <w:lang w:val="en-US"/>
        </w:rPr>
        <w:t>(</w:t>
      </w:r>
      <w:r w:rsidRPr="001779BD">
        <w:rPr>
          <w:rFonts w:ascii="Times New Roman" w:hAnsi="Times New Roman" w:cs="Times New Roman"/>
          <w:sz w:val="24"/>
          <w:szCs w:val="24"/>
          <w:lang w:val="en-US"/>
        </w:rPr>
        <w:t>D</w:t>
      </w:r>
      <w:r>
        <w:rPr>
          <w:rFonts w:ascii="Times New Roman" w:hAnsi="Times New Roman" w:cs="Times New Roman"/>
          <w:sz w:val="24"/>
          <w:szCs w:val="24"/>
          <w:lang w:val="en-US"/>
        </w:rPr>
        <w:t>)</w:t>
      </w:r>
      <w:r w:rsidRPr="001779BD">
        <w:rPr>
          <w:rFonts w:ascii="Times New Roman" w:hAnsi="Times New Roman" w:cs="Times New Roman"/>
          <w:sz w:val="24"/>
          <w:szCs w:val="24"/>
          <w:lang w:val="en-US"/>
        </w:rPr>
        <w:t>. SMA+ vessels with discontinuous labelling on automated detection using Qupath were occasionally overcounted as separate vascular structures and therefore an additional step tagging these vessels as</w:t>
      </w:r>
      <w:r>
        <w:rPr>
          <w:rFonts w:ascii="Times New Roman" w:hAnsi="Times New Roman" w:cs="Times New Roman"/>
          <w:sz w:val="24"/>
          <w:szCs w:val="24"/>
          <w:lang w:val="en-US"/>
        </w:rPr>
        <w:t xml:space="preserve"> (E)</w:t>
      </w:r>
      <w:r w:rsidRPr="001779BD">
        <w:rPr>
          <w:rFonts w:ascii="Times New Roman" w:hAnsi="Times New Roman" w:cs="Times New Roman"/>
          <w:sz w:val="24"/>
          <w:szCs w:val="24"/>
          <w:lang w:val="en-US"/>
        </w:rPr>
        <w:t xml:space="preserve"> </w:t>
      </w:r>
      <w:r>
        <w:rPr>
          <w:rFonts w:ascii="Times New Roman" w:hAnsi="Times New Roman" w:cs="Times New Roman"/>
          <w:sz w:val="24"/>
          <w:szCs w:val="24"/>
          <w:lang w:val="en-US"/>
        </w:rPr>
        <w:t>T</w:t>
      </w:r>
      <w:r w:rsidRPr="001779BD">
        <w:rPr>
          <w:rFonts w:ascii="Times New Roman" w:hAnsi="Times New Roman" w:cs="Times New Roman"/>
          <w:sz w:val="24"/>
          <w:szCs w:val="24"/>
          <w:lang w:val="en-US"/>
        </w:rPr>
        <w:t xml:space="preserve">ype 1 (circumferential SMA) or </w:t>
      </w:r>
      <w:r>
        <w:rPr>
          <w:rFonts w:ascii="Times New Roman" w:hAnsi="Times New Roman" w:cs="Times New Roman"/>
          <w:sz w:val="24"/>
          <w:szCs w:val="24"/>
          <w:lang w:val="en-US"/>
        </w:rPr>
        <w:t>(F) T</w:t>
      </w:r>
      <w:r w:rsidRPr="001779BD">
        <w:rPr>
          <w:rFonts w:ascii="Times New Roman" w:hAnsi="Times New Roman" w:cs="Times New Roman"/>
          <w:sz w:val="24"/>
          <w:szCs w:val="24"/>
          <w:lang w:val="en-US"/>
        </w:rPr>
        <w:t xml:space="preserve">ype </w:t>
      </w:r>
      <w:r>
        <w:rPr>
          <w:rFonts w:ascii="Times New Roman" w:hAnsi="Times New Roman" w:cs="Times New Roman"/>
          <w:sz w:val="24"/>
          <w:szCs w:val="24"/>
          <w:lang w:val="en-US"/>
        </w:rPr>
        <w:t>2</w:t>
      </w:r>
      <w:r w:rsidRPr="001779BD">
        <w:rPr>
          <w:rFonts w:ascii="Times New Roman" w:hAnsi="Times New Roman" w:cs="Times New Roman"/>
          <w:sz w:val="24"/>
          <w:szCs w:val="24"/>
          <w:lang w:val="en-US"/>
        </w:rPr>
        <w:t xml:space="preserve"> (discontinuous SMA) was </w:t>
      </w:r>
      <w:r>
        <w:rPr>
          <w:rFonts w:ascii="Times New Roman" w:hAnsi="Times New Roman" w:cs="Times New Roman"/>
          <w:sz w:val="24"/>
          <w:szCs w:val="24"/>
          <w:lang w:val="en-US"/>
        </w:rPr>
        <w:t>carried out</w:t>
      </w:r>
      <w:r w:rsidRPr="001779BD">
        <w:rPr>
          <w:rFonts w:ascii="Times New Roman" w:hAnsi="Times New Roman" w:cs="Times New Roman"/>
          <w:sz w:val="24"/>
          <w:szCs w:val="24"/>
          <w:lang w:val="en-US"/>
        </w:rPr>
        <w:t xml:space="preserve"> and mean densities and vessel diameter calculated for each region. </w:t>
      </w:r>
    </w:p>
    <w:p w14:paraId="41CFCA3C" w14:textId="77777777" w:rsidR="00B53455" w:rsidRDefault="00B53455" w:rsidP="00B53455">
      <w:pPr>
        <w:spacing w:line="360" w:lineRule="auto"/>
        <w:jc w:val="both"/>
        <w:rPr>
          <w:rFonts w:ascii="Times New Roman" w:hAnsi="Times New Roman" w:cs="Times New Roman"/>
          <w:sz w:val="24"/>
          <w:szCs w:val="24"/>
          <w:lang w:val="en-US"/>
        </w:rPr>
      </w:pPr>
    </w:p>
    <w:p w14:paraId="5B8E3045" w14:textId="77777777" w:rsidR="00B53455" w:rsidRDefault="00B53455" w:rsidP="00B53455">
      <w:pPr>
        <w:spacing w:line="360" w:lineRule="auto"/>
        <w:jc w:val="both"/>
        <w:rPr>
          <w:rFonts w:ascii="Times New Roman" w:hAnsi="Times New Roman" w:cs="Times New Roman"/>
          <w:sz w:val="24"/>
          <w:szCs w:val="24"/>
          <w:lang w:val="en-US"/>
        </w:rPr>
      </w:pPr>
    </w:p>
    <w:p w14:paraId="78DEA40D" w14:textId="77777777" w:rsidR="00B53455" w:rsidRPr="001779BD" w:rsidRDefault="00B53455" w:rsidP="00B53455">
      <w:pPr>
        <w:spacing w:line="360" w:lineRule="auto"/>
        <w:jc w:val="both"/>
        <w:rPr>
          <w:rFonts w:ascii="Times New Roman" w:hAnsi="Times New Roman" w:cs="Times New Roman"/>
          <w:sz w:val="24"/>
          <w:szCs w:val="24"/>
          <w:lang w:val="en-US"/>
        </w:rPr>
      </w:pPr>
      <w:r>
        <w:rPr>
          <w:noProof/>
        </w:rPr>
        <w:drawing>
          <wp:inline distT="0" distB="0" distL="0" distR="0" wp14:anchorId="2648B7E7" wp14:editId="78B240CF">
            <wp:extent cx="5731510" cy="1285875"/>
            <wp:effectExtent l="0" t="0" r="2540" b="9525"/>
            <wp:docPr id="1774373281" name="Picture 10" descr="A close-up of a cel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4373281" name="Picture 10" descr="A close-up of a cell&#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31510" cy="1285875"/>
                    </a:xfrm>
                    <a:prstGeom prst="rect">
                      <a:avLst/>
                    </a:prstGeom>
                    <a:noFill/>
                    <a:ln>
                      <a:noFill/>
                    </a:ln>
                  </pic:spPr>
                </pic:pic>
              </a:graphicData>
            </a:graphic>
          </wp:inline>
        </w:drawing>
      </w:r>
    </w:p>
    <w:p w14:paraId="10487086" w14:textId="77777777" w:rsidR="00B53455" w:rsidRPr="001779BD" w:rsidRDefault="00B53455" w:rsidP="00B53455">
      <w:pPr>
        <w:spacing w:line="360" w:lineRule="auto"/>
        <w:rPr>
          <w:rFonts w:ascii="Times New Roman" w:hAnsi="Times New Roman" w:cs="Times New Roman"/>
          <w:b/>
          <w:bCs/>
          <w:sz w:val="24"/>
          <w:szCs w:val="24"/>
          <w:lang w:val="en-US"/>
        </w:rPr>
      </w:pPr>
      <w:r w:rsidRPr="001779BD">
        <w:rPr>
          <w:rFonts w:ascii="Times New Roman" w:hAnsi="Times New Roman" w:cs="Times New Roman"/>
          <w:b/>
          <w:bCs/>
          <w:sz w:val="24"/>
          <w:szCs w:val="24"/>
          <w:lang w:val="en-US"/>
        </w:rPr>
        <w:t xml:space="preserve">Supplemental </w:t>
      </w:r>
      <w:r>
        <w:rPr>
          <w:rFonts w:ascii="Times New Roman" w:hAnsi="Times New Roman" w:cs="Times New Roman"/>
          <w:b/>
          <w:bCs/>
          <w:sz w:val="24"/>
          <w:szCs w:val="24"/>
          <w:lang w:val="en-US"/>
        </w:rPr>
        <w:t>F</w:t>
      </w:r>
      <w:r w:rsidRPr="001779BD">
        <w:rPr>
          <w:rFonts w:ascii="Times New Roman" w:hAnsi="Times New Roman" w:cs="Times New Roman"/>
          <w:b/>
          <w:bCs/>
          <w:sz w:val="24"/>
          <w:szCs w:val="24"/>
          <w:lang w:val="en-US"/>
        </w:rPr>
        <w:t>igure 5: NeuN, Tenascin and neurofilament labelling</w:t>
      </w:r>
    </w:p>
    <w:p w14:paraId="46118A70" w14:textId="77777777" w:rsidR="00B53455" w:rsidRDefault="00B53455" w:rsidP="00B53455">
      <w:pPr>
        <w:spacing w:line="360" w:lineRule="auto"/>
        <w:jc w:val="both"/>
        <w:rPr>
          <w:rFonts w:ascii="Times New Roman" w:hAnsi="Times New Roman" w:cs="Times New Roman"/>
          <w:sz w:val="24"/>
          <w:szCs w:val="24"/>
          <w:lang w:val="en-US"/>
        </w:rPr>
      </w:pPr>
      <w:r w:rsidRPr="001779BD">
        <w:rPr>
          <w:rFonts w:ascii="Times New Roman" w:hAnsi="Times New Roman" w:cs="Times New Roman"/>
          <w:sz w:val="24"/>
          <w:szCs w:val="24"/>
          <w:lang w:val="en-US"/>
        </w:rPr>
        <w:t xml:space="preserve">(A). NeuN labels single interstitial neurons in both core and deep white matter in TLE and control groups. (B). Tenascin C shows predominant expression in the white matter (lower figure), focally extending into the cortex around blood vessels and glial cells (top figure). (C). Relatively uniform patterns of axonal labelling were noted in core and deep WHITE MATTER in TLE with neurofilament markers (compared to myelin markers) for neurofilament light chain NF-L, (D) medium (NF-M) and (E) heavy chain (NF-H); these are shown on serial sections with the same vessel indicated with an asterisk in each figure.  </w:t>
      </w:r>
    </w:p>
    <w:p w14:paraId="29F8C8A6" w14:textId="77777777" w:rsidR="00B53455" w:rsidRPr="001779BD" w:rsidRDefault="00B53455" w:rsidP="00B53455">
      <w:pPr>
        <w:spacing w:line="360" w:lineRule="auto"/>
        <w:jc w:val="both"/>
        <w:rPr>
          <w:rFonts w:ascii="Times New Roman" w:hAnsi="Times New Roman" w:cs="Times New Roman"/>
          <w:sz w:val="24"/>
          <w:szCs w:val="24"/>
          <w:lang w:val="en-US"/>
        </w:rPr>
      </w:pPr>
      <w:r>
        <w:rPr>
          <w:noProof/>
        </w:rPr>
        <w:lastRenderedPageBreak/>
        <w:drawing>
          <wp:inline distT="0" distB="0" distL="0" distR="0" wp14:anchorId="4C7EA295" wp14:editId="69EB0882">
            <wp:extent cx="5731510" cy="8592820"/>
            <wp:effectExtent l="0" t="0" r="2540" b="0"/>
            <wp:docPr id="846126916" name="Picture 11" descr="A collage of different colored ba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6126916" name="Picture 11" descr="A collage of different colored bars&#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31510" cy="8592820"/>
                    </a:xfrm>
                    <a:prstGeom prst="rect">
                      <a:avLst/>
                    </a:prstGeom>
                    <a:noFill/>
                    <a:ln>
                      <a:noFill/>
                    </a:ln>
                  </pic:spPr>
                </pic:pic>
              </a:graphicData>
            </a:graphic>
          </wp:inline>
        </w:drawing>
      </w:r>
    </w:p>
    <w:p w14:paraId="4836599A" w14:textId="77777777" w:rsidR="00B53455" w:rsidRPr="001779BD" w:rsidRDefault="00B53455" w:rsidP="00B53455">
      <w:pPr>
        <w:spacing w:line="360" w:lineRule="auto"/>
        <w:jc w:val="both"/>
        <w:rPr>
          <w:rFonts w:ascii="Times New Roman" w:hAnsi="Times New Roman" w:cs="Times New Roman"/>
          <w:b/>
          <w:bCs/>
          <w:sz w:val="24"/>
          <w:szCs w:val="24"/>
          <w:lang w:val="en-US"/>
        </w:rPr>
      </w:pPr>
      <w:r w:rsidRPr="001779BD">
        <w:rPr>
          <w:rFonts w:ascii="Times New Roman" w:hAnsi="Times New Roman" w:cs="Times New Roman"/>
          <w:b/>
          <w:bCs/>
          <w:sz w:val="24"/>
          <w:szCs w:val="24"/>
          <w:lang w:val="en-US"/>
        </w:rPr>
        <w:lastRenderedPageBreak/>
        <w:t>Supplemental Figure 6: Vascular measurements results</w:t>
      </w:r>
    </w:p>
    <w:p w14:paraId="681845DB" w14:textId="77777777" w:rsidR="00B53455" w:rsidRDefault="00B53455" w:rsidP="00B53455">
      <w:pPr>
        <w:spacing w:line="360" w:lineRule="auto"/>
        <w:jc w:val="both"/>
        <w:rPr>
          <w:rFonts w:ascii="Times New Roman" w:hAnsi="Times New Roman" w:cs="Times New Roman"/>
          <w:sz w:val="24"/>
          <w:szCs w:val="24"/>
          <w:lang w:val="en-US"/>
        </w:rPr>
      </w:pPr>
      <w:r w:rsidRPr="00262FF7">
        <w:rPr>
          <w:rFonts w:ascii="Times New Roman" w:hAnsi="Times New Roman" w:cs="Times New Roman"/>
          <w:sz w:val="24"/>
          <w:szCs w:val="24"/>
          <w:lang w:val="en-US"/>
        </w:rPr>
        <w:t xml:space="preserve">(A) </w:t>
      </w:r>
      <w:r>
        <w:rPr>
          <w:rFonts w:ascii="Times New Roman" w:hAnsi="Times New Roman" w:cs="Times New Roman"/>
          <w:sz w:val="24"/>
          <w:szCs w:val="24"/>
          <w:lang w:val="en-US"/>
        </w:rPr>
        <w:t>COL4</w:t>
      </w:r>
      <w:r w:rsidRPr="00262FF7">
        <w:rPr>
          <w:rFonts w:ascii="Times New Roman" w:hAnsi="Times New Roman" w:cs="Times New Roman"/>
          <w:sz w:val="24"/>
          <w:szCs w:val="24"/>
          <w:lang w:val="en-US"/>
        </w:rPr>
        <w:t xml:space="preserve"> vascular densities / mm</w:t>
      </w:r>
      <w:r w:rsidRPr="00262FF7">
        <w:rPr>
          <w:rFonts w:ascii="Times New Roman" w:hAnsi="Times New Roman" w:cs="Times New Roman"/>
          <w:sz w:val="24"/>
          <w:szCs w:val="24"/>
          <w:vertAlign w:val="superscript"/>
          <w:lang w:val="en-US"/>
        </w:rPr>
        <w:t>2</w:t>
      </w:r>
      <w:r w:rsidRPr="00262FF7">
        <w:rPr>
          <w:rFonts w:ascii="Times New Roman" w:hAnsi="Times New Roman" w:cs="Times New Roman"/>
          <w:sz w:val="24"/>
          <w:szCs w:val="24"/>
          <w:lang w:val="en-US"/>
        </w:rPr>
        <w:t xml:space="preserve"> and (B) SMA total vascular density /mm</w:t>
      </w:r>
      <w:r w:rsidRPr="00262FF7">
        <w:rPr>
          <w:rFonts w:ascii="Times New Roman" w:hAnsi="Times New Roman" w:cs="Times New Roman"/>
          <w:sz w:val="24"/>
          <w:szCs w:val="24"/>
          <w:vertAlign w:val="superscript"/>
          <w:lang w:val="en-US"/>
        </w:rPr>
        <w:t>2</w:t>
      </w:r>
      <w:r w:rsidRPr="00262FF7">
        <w:rPr>
          <w:rFonts w:ascii="Times New Roman" w:hAnsi="Times New Roman" w:cs="Times New Roman"/>
          <w:sz w:val="24"/>
          <w:szCs w:val="24"/>
          <w:lang w:val="en-US"/>
        </w:rPr>
        <w:t xml:space="preserve"> (standard deviation in error bars) for all regions of interest/ROI (Superior temporal gyrus (STG) core and deep white matter (red shades) and middle temporal gyrus (MTG) core and deep white matter (blue shades)) in TLE, non-epilepsy controls (NEC) and epilepsy control (EPC) groups. (C) PDGFR</w:t>
      </w:r>
      <w:r w:rsidRPr="00262FF7">
        <w:rPr>
          <w:rFonts w:ascii="Times New Roman" w:hAnsi="Times New Roman" w:cs="Times New Roman"/>
          <w:sz w:val="24"/>
          <w:szCs w:val="24"/>
          <w:lang w:val="en-US"/>
        </w:rPr>
        <w:sym w:font="Symbol" w:char="F062"/>
      </w:r>
      <w:r w:rsidRPr="00262FF7">
        <w:rPr>
          <w:rFonts w:ascii="Times New Roman" w:hAnsi="Times New Roman" w:cs="Times New Roman"/>
          <w:sz w:val="24"/>
          <w:szCs w:val="24"/>
          <w:lang w:val="en-US"/>
        </w:rPr>
        <w:t xml:space="preserve"> vessel types :  Vessels were categorized into ultra-small capillaries (less than 5 microns diameter), capillaries (5-</w:t>
      </w:r>
      <w:r w:rsidRPr="00262FF7">
        <w:rPr>
          <w:rFonts w:ascii="Times New Roman" w:hAnsi="Times New Roman" w:cs="Times New Roman"/>
          <w:sz w:val="24"/>
          <w:szCs w:val="24"/>
          <w:lang w:val="en-US"/>
        </w:rPr>
        <w:sym w:font="Symbol" w:char="F0A3"/>
      </w:r>
      <w:r w:rsidRPr="00262FF7">
        <w:rPr>
          <w:rFonts w:ascii="Times New Roman" w:hAnsi="Times New Roman" w:cs="Times New Roman"/>
          <w:sz w:val="24"/>
          <w:szCs w:val="24"/>
          <w:lang w:val="en-US"/>
        </w:rPr>
        <w:t>10 microns diameter), small arterioles (10-</w:t>
      </w:r>
      <w:r w:rsidRPr="00262FF7">
        <w:rPr>
          <w:rFonts w:ascii="Times New Roman" w:hAnsi="Times New Roman" w:cs="Times New Roman"/>
          <w:sz w:val="24"/>
          <w:szCs w:val="24"/>
          <w:lang w:val="en-US"/>
        </w:rPr>
        <w:sym w:font="Symbol" w:char="F0A3"/>
      </w:r>
      <w:r w:rsidRPr="00262FF7">
        <w:rPr>
          <w:rFonts w:ascii="Times New Roman" w:hAnsi="Times New Roman" w:cs="Times New Roman"/>
          <w:sz w:val="24"/>
          <w:szCs w:val="24"/>
          <w:lang w:val="en-US"/>
        </w:rPr>
        <w:t>25 microns diameter) and arterioles (&gt; 25 microns diameter) in superior temporal gyrus core and deep white matter (STGC, STGD) and middle temporal gyrus core and deep white matter (MTGC, MTGD) and the relative density (graphs on left) and proportion (graphs on right) of vessel types calculated in TLE, non-epilepsy controls (NEC) and epilepsy control groups (EPC). In the superior temporal gyrus: Kruskal Wallis non-parametric tests between groups showed higher ultra-small capillary densities and relative proportions in the NEC group in the STGC (p=0.03) and STGD white matter (p=0.007) with higher small and larger arteriole measures in the STGD in the EPC group (p=0.04). In the middle temporal gyrus, differences were only observed in the MTGD between groups with lower ultra-small capillary density and proportions (p= 0.01) but higher capillary (p=0.04), small arteriole (p=0.035) and larger arteriole densities (p=0.018)</w:t>
      </w:r>
      <w:r w:rsidRPr="00262FF7">
        <w:rPr>
          <w:rFonts w:ascii="Times New Roman" w:hAnsi="Times New Roman" w:cs="Times New Roman"/>
          <w:sz w:val="24"/>
          <w:szCs w:val="24"/>
        </w:rPr>
        <w:t xml:space="preserve"> </w:t>
      </w:r>
      <w:r w:rsidRPr="00262FF7">
        <w:rPr>
          <w:rFonts w:ascii="Times New Roman" w:hAnsi="Times New Roman" w:cs="Times New Roman"/>
          <w:sz w:val="24"/>
          <w:szCs w:val="24"/>
          <w:lang w:val="en-US"/>
        </w:rPr>
        <w:t>in the TLE than NEC group. The bars with two arms represent Mann-Whitney tests (two groups as shown) and one arm Kruskal Wallis (for three groups). (D-G).  PDGFR</w:t>
      </w:r>
      <w:r w:rsidRPr="00262FF7">
        <w:rPr>
          <w:rFonts w:ascii="Times New Roman" w:hAnsi="Times New Roman" w:cs="Times New Roman"/>
          <w:sz w:val="24"/>
          <w:szCs w:val="24"/>
          <w:lang w:val="en-US"/>
        </w:rPr>
        <w:sym w:font="Symbol" w:char="F062"/>
      </w:r>
      <w:r w:rsidRPr="00262FF7">
        <w:rPr>
          <w:rFonts w:ascii="Times New Roman" w:hAnsi="Times New Roman" w:cs="Times New Roman"/>
          <w:sz w:val="24"/>
          <w:szCs w:val="24"/>
          <w:lang w:val="en-US"/>
        </w:rPr>
        <w:t xml:space="preserve"> vessel densities and diameters classified as type 1 or type 2 vessels in ROI between the three groups (see also data in Supplemental Table 2). (H-K). SMA vessel densities and diameters classified as type 1 or type 2 vessels in ROI between the three groups (see also data in Supplemental Table 2). </w:t>
      </w:r>
      <w:r>
        <w:rPr>
          <w:rFonts w:ascii="Times New Roman" w:hAnsi="Times New Roman" w:cs="Times New Roman"/>
          <w:sz w:val="24"/>
          <w:szCs w:val="24"/>
          <w:lang w:val="en-US"/>
        </w:rPr>
        <w:t>(</w:t>
      </w:r>
      <w:r w:rsidRPr="00262FF7">
        <w:rPr>
          <w:rFonts w:ascii="Times New Roman" w:hAnsi="Times New Roman" w:cs="Times New Roman"/>
          <w:sz w:val="24"/>
          <w:szCs w:val="24"/>
          <w:lang w:val="en-US"/>
        </w:rPr>
        <w:t>L</w:t>
      </w:r>
      <w:r>
        <w:rPr>
          <w:rFonts w:ascii="Times New Roman" w:hAnsi="Times New Roman" w:cs="Times New Roman"/>
          <w:sz w:val="24"/>
          <w:szCs w:val="24"/>
          <w:lang w:val="en-US"/>
        </w:rPr>
        <w:t>)</w:t>
      </w:r>
      <w:r w:rsidRPr="00262FF7">
        <w:rPr>
          <w:rFonts w:ascii="Times New Roman" w:hAnsi="Times New Roman" w:cs="Times New Roman"/>
          <w:sz w:val="24"/>
          <w:szCs w:val="24"/>
          <w:lang w:val="en-US"/>
        </w:rPr>
        <w:t>. Double label SMA/PDGFR</w:t>
      </w:r>
      <w:r w:rsidRPr="00262FF7">
        <w:rPr>
          <w:rFonts w:ascii="Times New Roman" w:hAnsi="Times New Roman" w:cs="Times New Roman"/>
          <w:sz w:val="24"/>
          <w:szCs w:val="24"/>
          <w:lang w:val="en-US"/>
        </w:rPr>
        <w:sym w:font="Symbol" w:char="F062"/>
      </w:r>
      <w:r w:rsidRPr="00262FF7">
        <w:rPr>
          <w:rFonts w:ascii="Times New Roman" w:hAnsi="Times New Roman" w:cs="Times New Roman"/>
          <w:sz w:val="24"/>
          <w:szCs w:val="24"/>
          <w:lang w:val="en-US"/>
        </w:rPr>
        <w:t xml:space="preserve"> quantitative analysis.  Vessels in ROI in the core or deep white matter of STG and MTG were counted in the eight cases as: SMA+/PDGFR</w:t>
      </w:r>
      <w:r w:rsidRPr="00262FF7">
        <w:rPr>
          <w:rFonts w:ascii="Times New Roman" w:hAnsi="Times New Roman" w:cs="Times New Roman"/>
          <w:sz w:val="24"/>
          <w:szCs w:val="24"/>
          <w:lang w:val="en-US"/>
        </w:rPr>
        <w:sym w:font="Symbol" w:char="F062"/>
      </w:r>
      <w:r w:rsidRPr="00262FF7">
        <w:rPr>
          <w:rFonts w:ascii="Times New Roman" w:hAnsi="Times New Roman" w:cs="Times New Roman"/>
          <w:sz w:val="24"/>
          <w:szCs w:val="24"/>
          <w:lang w:val="en-US"/>
        </w:rPr>
        <w:t>+ (type 1) with continuous SMA peri-vascular coverage or SMA+/</w:t>
      </w:r>
      <w:bookmarkStart w:id="0" w:name="_Hlk154064078"/>
      <w:r w:rsidRPr="00262FF7">
        <w:rPr>
          <w:rFonts w:ascii="Times New Roman" w:hAnsi="Times New Roman" w:cs="Times New Roman"/>
          <w:sz w:val="24"/>
          <w:szCs w:val="24"/>
          <w:lang w:val="en-US"/>
        </w:rPr>
        <w:t>PDGFR</w:t>
      </w:r>
      <w:r w:rsidRPr="00262FF7">
        <w:rPr>
          <w:rFonts w:ascii="Times New Roman" w:hAnsi="Times New Roman" w:cs="Times New Roman"/>
          <w:sz w:val="24"/>
          <w:szCs w:val="24"/>
          <w:lang w:val="en-US"/>
        </w:rPr>
        <w:sym w:font="Symbol" w:char="F062"/>
      </w:r>
      <w:r w:rsidRPr="00262FF7">
        <w:rPr>
          <w:rFonts w:ascii="Times New Roman" w:hAnsi="Times New Roman" w:cs="Times New Roman"/>
          <w:sz w:val="24"/>
          <w:szCs w:val="24"/>
          <w:lang w:val="en-US"/>
        </w:rPr>
        <w:t xml:space="preserve">+ </w:t>
      </w:r>
      <w:bookmarkEnd w:id="0"/>
      <w:r w:rsidRPr="00262FF7">
        <w:rPr>
          <w:rFonts w:ascii="Times New Roman" w:hAnsi="Times New Roman" w:cs="Times New Roman"/>
          <w:sz w:val="24"/>
          <w:szCs w:val="24"/>
          <w:lang w:val="en-US"/>
        </w:rPr>
        <w:t>(type 2) with incomplete SMA coverage. Vessels only PDGFR</w:t>
      </w:r>
      <w:r w:rsidRPr="00262FF7">
        <w:rPr>
          <w:rFonts w:ascii="Times New Roman" w:hAnsi="Times New Roman" w:cs="Times New Roman"/>
          <w:sz w:val="24"/>
          <w:szCs w:val="24"/>
          <w:lang w:val="en-US"/>
        </w:rPr>
        <w:sym w:font="Symbol" w:char="F062"/>
      </w:r>
      <w:r w:rsidRPr="00262FF7">
        <w:rPr>
          <w:rFonts w:ascii="Times New Roman" w:hAnsi="Times New Roman" w:cs="Times New Roman"/>
          <w:sz w:val="24"/>
          <w:szCs w:val="24"/>
          <w:lang w:val="en-US"/>
        </w:rPr>
        <w:t>+ were counted but SMA+/ PDGFR</w:t>
      </w:r>
      <w:r w:rsidRPr="00262FF7">
        <w:rPr>
          <w:rFonts w:ascii="Times New Roman" w:hAnsi="Times New Roman" w:cs="Times New Roman"/>
          <w:sz w:val="24"/>
          <w:szCs w:val="24"/>
          <w:lang w:val="en-US"/>
        </w:rPr>
        <w:sym w:font="Symbol" w:char="F062"/>
      </w:r>
      <w:r w:rsidRPr="00262FF7">
        <w:rPr>
          <w:rFonts w:ascii="Times New Roman" w:hAnsi="Times New Roman" w:cs="Times New Roman"/>
          <w:sz w:val="24"/>
          <w:szCs w:val="24"/>
          <w:lang w:val="en-US"/>
        </w:rPr>
        <w:t>- vessels were not detected. The diameter of each counted vessel was also measured. Data is shown graphically with significantly higher type 2 vessels in TLE cases. The proportion of double-labelled vessels PDGFR</w:t>
      </w:r>
      <w:r w:rsidRPr="00262FF7">
        <w:rPr>
          <w:rFonts w:ascii="Times New Roman" w:hAnsi="Times New Roman" w:cs="Times New Roman"/>
          <w:sz w:val="24"/>
          <w:szCs w:val="24"/>
          <w:lang w:val="en-US"/>
        </w:rPr>
        <w:sym w:font="Symbol" w:char="F062"/>
      </w:r>
      <w:r w:rsidRPr="00262FF7">
        <w:rPr>
          <w:rFonts w:ascii="Times New Roman" w:hAnsi="Times New Roman" w:cs="Times New Roman"/>
          <w:sz w:val="24"/>
          <w:szCs w:val="24"/>
          <w:lang w:val="en-US"/>
        </w:rPr>
        <w:t>+/SMA+ was lower in TLE (p=0.028 Mann Whitney test). Significance shown in graphs * p&lt;0.05, ** p &lt;0.01 and *** p&lt;0.001</w:t>
      </w:r>
    </w:p>
    <w:p w14:paraId="063CC565" w14:textId="77777777" w:rsidR="00B53455" w:rsidRDefault="00B53455" w:rsidP="00B53455">
      <w:pPr>
        <w:spacing w:line="360" w:lineRule="auto"/>
        <w:jc w:val="both"/>
        <w:rPr>
          <w:rFonts w:ascii="Times New Roman" w:hAnsi="Times New Roman" w:cs="Times New Roman"/>
          <w:sz w:val="24"/>
          <w:szCs w:val="24"/>
          <w:lang w:val="en-US"/>
        </w:rPr>
      </w:pPr>
      <w:r>
        <w:rPr>
          <w:noProof/>
        </w:rPr>
        <w:lastRenderedPageBreak/>
        <w:drawing>
          <wp:inline distT="0" distB="0" distL="0" distR="0" wp14:anchorId="1A75095B" wp14:editId="16F4A0C8">
            <wp:extent cx="4491772" cy="6734175"/>
            <wp:effectExtent l="0" t="0" r="4445" b="0"/>
            <wp:docPr id="1032694150" name="Picture 12" descr="A diagram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2694150" name="Picture 12" descr="A diagram of a graph&#10;&#10;Description automatically generated with medium confidenc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500394" cy="6747101"/>
                    </a:xfrm>
                    <a:prstGeom prst="rect">
                      <a:avLst/>
                    </a:prstGeom>
                    <a:noFill/>
                    <a:ln>
                      <a:noFill/>
                    </a:ln>
                  </pic:spPr>
                </pic:pic>
              </a:graphicData>
            </a:graphic>
          </wp:inline>
        </w:drawing>
      </w:r>
    </w:p>
    <w:p w14:paraId="646D5735" w14:textId="77777777" w:rsidR="00B53455" w:rsidRPr="00262FF7" w:rsidRDefault="00B53455" w:rsidP="00B53455">
      <w:pPr>
        <w:spacing w:line="360" w:lineRule="auto"/>
        <w:jc w:val="both"/>
        <w:rPr>
          <w:rFonts w:ascii="Times New Roman" w:hAnsi="Times New Roman" w:cs="Times New Roman"/>
          <w:sz w:val="24"/>
          <w:szCs w:val="24"/>
          <w:lang w:val="en-US"/>
        </w:rPr>
      </w:pPr>
      <w:r>
        <w:rPr>
          <w:noProof/>
        </w:rPr>
        <w:lastRenderedPageBreak/>
        <w:drawing>
          <wp:inline distT="0" distB="0" distL="0" distR="0" wp14:anchorId="41C8DF64" wp14:editId="522EC4C9">
            <wp:extent cx="5731510" cy="8592820"/>
            <wp:effectExtent l="0" t="0" r="2540" b="0"/>
            <wp:docPr id="712673792" name="Picture 13" descr="A diagram of a variety of different types of wa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2673792" name="Picture 13" descr="A diagram of a variety of different types of water&#10;&#10;Description automatically generated with medium confidence"/>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31510" cy="8592820"/>
                    </a:xfrm>
                    <a:prstGeom prst="rect">
                      <a:avLst/>
                    </a:prstGeom>
                    <a:noFill/>
                    <a:ln>
                      <a:noFill/>
                    </a:ln>
                  </pic:spPr>
                </pic:pic>
              </a:graphicData>
            </a:graphic>
          </wp:inline>
        </w:drawing>
      </w:r>
    </w:p>
    <w:p w14:paraId="51B769D7" w14:textId="77777777" w:rsidR="00B53455" w:rsidRPr="001779BD" w:rsidRDefault="00B53455" w:rsidP="00B53455">
      <w:pPr>
        <w:spacing w:line="360" w:lineRule="auto"/>
        <w:jc w:val="both"/>
        <w:rPr>
          <w:rFonts w:ascii="Times New Roman" w:hAnsi="Times New Roman" w:cs="Times New Roman"/>
          <w:sz w:val="24"/>
          <w:szCs w:val="24"/>
          <w:lang w:val="en-US"/>
        </w:rPr>
      </w:pPr>
    </w:p>
    <w:p w14:paraId="046431EE" w14:textId="77777777" w:rsidR="00B53455" w:rsidRPr="00645F9C" w:rsidRDefault="00B53455" w:rsidP="00B53455">
      <w:pPr>
        <w:spacing w:line="360" w:lineRule="auto"/>
        <w:rPr>
          <w:rFonts w:ascii="Times New Roman" w:hAnsi="Times New Roman" w:cs="Times New Roman"/>
          <w:b/>
          <w:bCs/>
          <w:sz w:val="24"/>
          <w:szCs w:val="24"/>
          <w:lang w:val="en-US"/>
        </w:rPr>
      </w:pPr>
      <w:r w:rsidRPr="00645F9C">
        <w:rPr>
          <w:rFonts w:ascii="Times New Roman" w:hAnsi="Times New Roman" w:cs="Times New Roman"/>
          <w:b/>
          <w:bCs/>
          <w:sz w:val="24"/>
          <w:szCs w:val="24"/>
          <w:lang w:val="en-US"/>
        </w:rPr>
        <w:t>Supplemental Figure 7. Pathology correlations</w:t>
      </w:r>
    </w:p>
    <w:p w14:paraId="12DC1C41" w14:textId="77777777" w:rsidR="00B53455" w:rsidRPr="00925B5D" w:rsidRDefault="00B53455" w:rsidP="00B53455">
      <w:pPr>
        <w:spacing w:line="360" w:lineRule="auto"/>
        <w:jc w:val="both"/>
        <w:rPr>
          <w:rFonts w:ascii="Times New Roman" w:hAnsi="Times New Roman" w:cs="Times New Roman"/>
          <w:sz w:val="24"/>
          <w:szCs w:val="24"/>
          <w:lang w:val="en-US"/>
        </w:rPr>
      </w:pPr>
      <w:r w:rsidRPr="00925B5D">
        <w:rPr>
          <w:rFonts w:ascii="Times New Roman" w:hAnsi="Times New Roman" w:cs="Times New Roman"/>
          <w:sz w:val="24"/>
          <w:szCs w:val="24"/>
          <w:lang w:val="en-US"/>
        </w:rPr>
        <w:t xml:space="preserve">(A. B.) Pyramid graphical representation of pathology factors which showed significant differences between the superficial and deep white matter (data shown is average scores across all core and deep white matter regions) in non-epilepsy (NEC) and epilepsy control groups (EPC). Significance values shown as p values using Wilcoxon signed rank test. </w:t>
      </w:r>
    </w:p>
    <w:p w14:paraId="2134A436" w14:textId="77777777" w:rsidR="00B53455" w:rsidRDefault="00B53455" w:rsidP="00B53455">
      <w:pPr>
        <w:spacing w:line="360" w:lineRule="auto"/>
        <w:jc w:val="both"/>
        <w:rPr>
          <w:rFonts w:ascii="Times New Roman" w:hAnsi="Times New Roman" w:cs="Times New Roman"/>
          <w:sz w:val="24"/>
          <w:szCs w:val="24"/>
          <w:lang w:val="en-US"/>
        </w:rPr>
      </w:pPr>
      <w:r w:rsidRPr="00925B5D">
        <w:rPr>
          <w:rFonts w:ascii="Times New Roman" w:hAnsi="Times New Roman" w:cs="Times New Roman"/>
          <w:sz w:val="24"/>
          <w:szCs w:val="24"/>
          <w:lang w:val="en-US"/>
        </w:rPr>
        <w:t>(C, D.)  Heat Maps for Spearman’s correlations (r values shown in boxes) of pathology variable in Core (C) and</w:t>
      </w:r>
      <w:r w:rsidRPr="001779BD">
        <w:rPr>
          <w:rFonts w:ascii="Times New Roman" w:hAnsi="Times New Roman" w:cs="Times New Roman"/>
          <w:sz w:val="24"/>
          <w:szCs w:val="24"/>
          <w:lang w:val="en-US"/>
        </w:rPr>
        <w:t xml:space="preserve"> Deep (D) white matter. Positive correlations shown in red and negative correlations in blue (darker colors for greater correlation coefficient). Significant values are shown in yellow font (p&lt;0.05). There was an impression for clustering of vascular morphometry measures showing more frequent correlations with glial and myelin markers (outlined with black border) in both core and deep white matter. </w:t>
      </w:r>
    </w:p>
    <w:p w14:paraId="7B8C60BD" w14:textId="77777777" w:rsidR="00B53455" w:rsidRDefault="00B53455" w:rsidP="00B53455">
      <w:pPr>
        <w:spacing w:line="360" w:lineRule="auto"/>
        <w:jc w:val="both"/>
        <w:rPr>
          <w:rFonts w:ascii="Times New Roman" w:hAnsi="Times New Roman" w:cs="Times New Roman"/>
          <w:sz w:val="24"/>
          <w:szCs w:val="24"/>
          <w:lang w:val="en-US"/>
        </w:rPr>
      </w:pPr>
      <w:r>
        <w:rPr>
          <w:noProof/>
        </w:rPr>
        <w:lastRenderedPageBreak/>
        <w:drawing>
          <wp:inline distT="0" distB="0" distL="0" distR="0" wp14:anchorId="67403B78" wp14:editId="26364C61">
            <wp:extent cx="5505450" cy="8753475"/>
            <wp:effectExtent l="0" t="0" r="0" b="9525"/>
            <wp:docPr id="807967765" name="Picture 14" descr="A collage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7967765" name="Picture 14" descr="A collage of a graph&#10;&#10;Description automatically generated"/>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505450" cy="8753475"/>
                    </a:xfrm>
                    <a:prstGeom prst="rect">
                      <a:avLst/>
                    </a:prstGeom>
                    <a:noFill/>
                    <a:ln>
                      <a:noFill/>
                    </a:ln>
                  </pic:spPr>
                </pic:pic>
              </a:graphicData>
            </a:graphic>
          </wp:inline>
        </w:drawing>
      </w:r>
    </w:p>
    <w:p w14:paraId="53682A8B" w14:textId="77777777" w:rsidR="00B53455" w:rsidRDefault="00B53455" w:rsidP="00B53455">
      <w:pPr>
        <w:spacing w:line="360" w:lineRule="auto"/>
        <w:jc w:val="both"/>
        <w:rPr>
          <w:rFonts w:ascii="Times New Roman" w:hAnsi="Times New Roman" w:cs="Times New Roman"/>
          <w:sz w:val="24"/>
          <w:szCs w:val="24"/>
          <w:lang w:val="en-US"/>
        </w:rPr>
      </w:pPr>
      <w:r>
        <w:rPr>
          <w:noProof/>
        </w:rPr>
        <w:lastRenderedPageBreak/>
        <w:drawing>
          <wp:inline distT="0" distB="0" distL="0" distR="0" wp14:anchorId="0C1CDA4A" wp14:editId="49EF1370">
            <wp:extent cx="5731510" cy="8592820"/>
            <wp:effectExtent l="0" t="0" r="2540" b="0"/>
            <wp:docPr id="493727426" name="Picture 15"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3727426" name="Picture 15" descr="A screenshot of a graph&#10;&#10;Description automatically generated"/>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31510" cy="8592820"/>
                    </a:xfrm>
                    <a:prstGeom prst="rect">
                      <a:avLst/>
                    </a:prstGeom>
                    <a:noFill/>
                    <a:ln>
                      <a:noFill/>
                    </a:ln>
                  </pic:spPr>
                </pic:pic>
              </a:graphicData>
            </a:graphic>
          </wp:inline>
        </w:drawing>
      </w:r>
    </w:p>
    <w:p w14:paraId="5E350850" w14:textId="77777777" w:rsidR="00B53455" w:rsidRPr="001779BD" w:rsidRDefault="00B53455" w:rsidP="00B53455">
      <w:pPr>
        <w:spacing w:line="360" w:lineRule="auto"/>
        <w:jc w:val="both"/>
        <w:rPr>
          <w:rFonts w:ascii="Times New Roman" w:hAnsi="Times New Roman" w:cs="Times New Roman"/>
          <w:sz w:val="24"/>
          <w:szCs w:val="24"/>
          <w:lang w:val="en-US"/>
        </w:rPr>
      </w:pPr>
    </w:p>
    <w:p w14:paraId="338CBB88" w14:textId="77777777" w:rsidR="00B53455" w:rsidRPr="00645F9C" w:rsidRDefault="00B53455" w:rsidP="00B53455">
      <w:pPr>
        <w:spacing w:line="360" w:lineRule="auto"/>
        <w:rPr>
          <w:rFonts w:ascii="Times New Roman" w:hAnsi="Times New Roman" w:cs="Times New Roman"/>
          <w:b/>
          <w:bCs/>
          <w:sz w:val="24"/>
          <w:szCs w:val="24"/>
          <w:lang w:val="en-US"/>
        </w:rPr>
      </w:pPr>
      <w:r w:rsidRPr="00645F9C">
        <w:rPr>
          <w:rFonts w:ascii="Times New Roman" w:hAnsi="Times New Roman" w:cs="Times New Roman"/>
          <w:b/>
          <w:bCs/>
          <w:sz w:val="24"/>
          <w:szCs w:val="24"/>
          <w:lang w:val="en-US"/>
        </w:rPr>
        <w:t xml:space="preserve">Supplemental Figure 8. </w:t>
      </w:r>
      <w:r>
        <w:rPr>
          <w:rFonts w:ascii="Times New Roman" w:hAnsi="Times New Roman" w:cs="Times New Roman"/>
          <w:b/>
          <w:bCs/>
          <w:sz w:val="24"/>
          <w:szCs w:val="24"/>
          <w:lang w:val="en-US"/>
        </w:rPr>
        <w:t>Hippocampal sclerosis (</w:t>
      </w:r>
      <w:r w:rsidRPr="00645F9C">
        <w:rPr>
          <w:rFonts w:ascii="Times New Roman" w:hAnsi="Times New Roman" w:cs="Times New Roman"/>
          <w:b/>
          <w:bCs/>
          <w:sz w:val="24"/>
          <w:szCs w:val="24"/>
          <w:lang w:val="en-US"/>
        </w:rPr>
        <w:t>HS</w:t>
      </w:r>
      <w:r>
        <w:rPr>
          <w:rFonts w:ascii="Times New Roman" w:hAnsi="Times New Roman" w:cs="Times New Roman"/>
          <w:b/>
          <w:bCs/>
          <w:sz w:val="24"/>
          <w:szCs w:val="24"/>
          <w:lang w:val="en-US"/>
        </w:rPr>
        <w:t>)</w:t>
      </w:r>
      <w:r w:rsidRPr="00645F9C">
        <w:rPr>
          <w:rFonts w:ascii="Times New Roman" w:hAnsi="Times New Roman" w:cs="Times New Roman"/>
          <w:b/>
          <w:bCs/>
          <w:sz w:val="24"/>
          <w:szCs w:val="24"/>
          <w:lang w:val="en-US"/>
        </w:rPr>
        <w:t xml:space="preserve"> compared to no-HS cases</w:t>
      </w:r>
    </w:p>
    <w:p w14:paraId="39031B69" w14:textId="77777777" w:rsidR="00B53455" w:rsidRDefault="00B53455" w:rsidP="00B53455">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w:t>
      </w:r>
      <w:r w:rsidRPr="00925B5D">
        <w:rPr>
          <w:rFonts w:ascii="Times New Roman" w:hAnsi="Times New Roman" w:cs="Times New Roman"/>
          <w:sz w:val="24"/>
          <w:szCs w:val="24"/>
          <w:lang w:val="en-US"/>
        </w:rPr>
        <w:t>A</w:t>
      </w:r>
      <w:r>
        <w:rPr>
          <w:rFonts w:ascii="Times New Roman" w:hAnsi="Times New Roman" w:cs="Times New Roman"/>
          <w:sz w:val="24"/>
          <w:szCs w:val="24"/>
          <w:lang w:val="en-US"/>
        </w:rPr>
        <w:t>)</w:t>
      </w:r>
      <w:r w:rsidRPr="00925B5D">
        <w:rPr>
          <w:rFonts w:ascii="Times New Roman" w:hAnsi="Times New Roman" w:cs="Times New Roman"/>
          <w:sz w:val="24"/>
          <w:szCs w:val="24"/>
          <w:lang w:val="en-US"/>
        </w:rPr>
        <w:t>. Bar graphs of pathology measures in HS and non-HS cases for PLP and PDGFR</w:t>
      </w:r>
      <w:r w:rsidRPr="00925B5D">
        <w:rPr>
          <w:rFonts w:ascii="Times New Roman" w:hAnsi="Times New Roman" w:cs="Times New Roman"/>
          <w:sz w:val="24"/>
          <w:szCs w:val="24"/>
          <w:lang w:val="en-US"/>
        </w:rPr>
        <w:sym w:font="Symbol" w:char="F062"/>
      </w:r>
      <w:r w:rsidRPr="00925B5D">
        <w:rPr>
          <w:rFonts w:ascii="Times New Roman" w:hAnsi="Times New Roman" w:cs="Times New Roman"/>
          <w:sz w:val="24"/>
          <w:szCs w:val="24"/>
          <w:lang w:val="en-US"/>
        </w:rPr>
        <w:t xml:space="preserve"> T</w:t>
      </w:r>
      <w:r>
        <w:rPr>
          <w:rFonts w:ascii="Times New Roman" w:hAnsi="Times New Roman" w:cs="Times New Roman"/>
          <w:sz w:val="24"/>
          <w:szCs w:val="24"/>
          <w:lang w:val="en-US"/>
        </w:rPr>
        <w:t>ype</w:t>
      </w:r>
      <w:r w:rsidRPr="00925B5D">
        <w:rPr>
          <w:rFonts w:ascii="Times New Roman" w:hAnsi="Times New Roman" w:cs="Times New Roman"/>
          <w:sz w:val="24"/>
          <w:szCs w:val="24"/>
          <w:lang w:val="en-US"/>
        </w:rPr>
        <w:t xml:space="preserve"> 1 vascular diameter in the core white matter showing significant differences between groups (p&lt;0.05); other pathology variables did not show a difference in deep or core white matter regions. </w:t>
      </w:r>
      <w:r>
        <w:rPr>
          <w:rFonts w:ascii="Times New Roman" w:hAnsi="Times New Roman" w:cs="Times New Roman"/>
          <w:sz w:val="24"/>
          <w:szCs w:val="24"/>
          <w:lang w:val="en-US"/>
        </w:rPr>
        <w:t>(</w:t>
      </w:r>
      <w:r w:rsidRPr="00925B5D">
        <w:rPr>
          <w:rFonts w:ascii="Times New Roman" w:hAnsi="Times New Roman" w:cs="Times New Roman"/>
          <w:sz w:val="24"/>
          <w:szCs w:val="24"/>
          <w:lang w:val="en-US"/>
        </w:rPr>
        <w:t>B</w:t>
      </w:r>
      <w:r>
        <w:rPr>
          <w:rFonts w:ascii="Times New Roman" w:hAnsi="Times New Roman" w:cs="Times New Roman"/>
          <w:sz w:val="24"/>
          <w:szCs w:val="24"/>
          <w:lang w:val="en-US"/>
        </w:rPr>
        <w:t>)</w:t>
      </w:r>
      <w:r w:rsidRPr="00925B5D">
        <w:rPr>
          <w:rFonts w:ascii="Times New Roman" w:hAnsi="Times New Roman" w:cs="Times New Roman"/>
          <w:sz w:val="24"/>
          <w:szCs w:val="24"/>
          <w:lang w:val="en-US"/>
        </w:rPr>
        <w:t xml:space="preserve">  Gene expression showed reduced </w:t>
      </w:r>
      <w:r>
        <w:rPr>
          <w:rFonts w:ascii="Times New Roman" w:hAnsi="Times New Roman" w:cs="Times New Roman"/>
          <w:sz w:val="24"/>
          <w:szCs w:val="24"/>
          <w:lang w:val="en-US"/>
        </w:rPr>
        <w:t>Olig2</w:t>
      </w:r>
      <w:r w:rsidRPr="00925B5D">
        <w:rPr>
          <w:rFonts w:ascii="Times New Roman" w:hAnsi="Times New Roman" w:cs="Times New Roman"/>
          <w:sz w:val="24"/>
          <w:szCs w:val="24"/>
          <w:lang w:val="en-US"/>
        </w:rPr>
        <w:t xml:space="preserve"> and MAG (C) in deep white matter (</w:t>
      </w:r>
      <w:r>
        <w:rPr>
          <w:rFonts w:ascii="Times New Roman" w:hAnsi="Times New Roman" w:cs="Times New Roman"/>
          <w:sz w:val="24"/>
          <w:szCs w:val="24"/>
          <w:lang w:val="en-US"/>
        </w:rPr>
        <w:t>p</w:t>
      </w:r>
      <w:r w:rsidRPr="00925B5D">
        <w:rPr>
          <w:rFonts w:ascii="Times New Roman" w:hAnsi="Times New Roman" w:cs="Times New Roman"/>
          <w:sz w:val="24"/>
          <w:szCs w:val="24"/>
          <w:lang w:val="en-US"/>
        </w:rPr>
        <w:t xml:space="preserve">&lt;0.05) in HS compared to non-lesional surgical epilepsy cases. </w:t>
      </w:r>
      <w:r>
        <w:rPr>
          <w:rFonts w:ascii="Times New Roman" w:hAnsi="Times New Roman" w:cs="Times New Roman"/>
          <w:sz w:val="24"/>
          <w:szCs w:val="24"/>
          <w:lang w:val="en-US"/>
        </w:rPr>
        <w:t>(</w:t>
      </w:r>
      <w:r w:rsidRPr="00925B5D">
        <w:rPr>
          <w:rFonts w:ascii="Times New Roman" w:hAnsi="Times New Roman" w:cs="Times New Roman"/>
          <w:sz w:val="24"/>
          <w:szCs w:val="24"/>
          <w:lang w:val="en-US"/>
        </w:rPr>
        <w:t>E and F</w:t>
      </w:r>
      <w:r>
        <w:rPr>
          <w:rFonts w:ascii="Times New Roman" w:hAnsi="Times New Roman" w:cs="Times New Roman"/>
          <w:sz w:val="24"/>
          <w:szCs w:val="24"/>
          <w:lang w:val="en-US"/>
        </w:rPr>
        <w:t>)</w:t>
      </w:r>
      <w:r w:rsidRPr="00925B5D">
        <w:rPr>
          <w:rFonts w:ascii="Times New Roman" w:hAnsi="Times New Roman" w:cs="Times New Roman"/>
          <w:sz w:val="24"/>
          <w:szCs w:val="24"/>
          <w:lang w:val="en-US"/>
        </w:rPr>
        <w:t xml:space="preserve">. The expression of genes known to interact with MAG such as MBP, SOX10 and NGFR, were significantly reduced in HS cases compared to no-HS cases (P&lt;0.05; refer to the line graph in (E) for a visualization illustration, and table in (F) for specific fold change reduction). The network map extracted from STRING DB (a functional protein association network database </w:t>
      </w:r>
      <w:r w:rsidRPr="00925B5D">
        <w:rPr>
          <w:rFonts w:ascii="Times New Roman" w:hAnsi="Times New Roman" w:cs="Times New Roman"/>
          <w:sz w:val="24"/>
          <w:szCs w:val="24"/>
          <w:lang w:val="en-US"/>
        </w:rPr>
        <w:fldChar w:fldCharType="begin">
          <w:fldData xml:space="preserve">PEVuZE5vdGU+PENpdGU+PEF1dGhvcj5TemtsYXJjenlrPC9BdXRob3I+PFllYXI+MjAyMzwvWWVh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</w:fldData>
        </w:fldChar>
      </w:r>
      <w:r>
        <w:rPr>
          <w:rFonts w:ascii="Times New Roman" w:hAnsi="Times New Roman" w:cs="Times New Roman"/>
          <w:sz w:val="24"/>
          <w:szCs w:val="24"/>
          <w:lang w:val="en-US"/>
        </w:rPr>
        <w:instrText xml:space="preserve"> ADDIN EN.CITE </w:instrText>
      </w:r>
      <w:r>
        <w:rPr>
          <w:rFonts w:ascii="Times New Roman" w:hAnsi="Times New Roman" w:cs="Times New Roman"/>
          <w:sz w:val="24"/>
          <w:szCs w:val="24"/>
          <w:lang w:val="en-US"/>
        </w:rPr>
        <w:fldChar w:fldCharType="begin">
          <w:fldData xml:space="preserve">PEVuZE5vdGU+PENpdGU+PEF1dGhvcj5TemtsYXJjenlrPC9BdXRob3I+PFllYXI+MjAyMzwvWWVh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</w:fldData>
        </w:fldChar>
      </w:r>
      <w:r>
        <w:rPr>
          <w:rFonts w:ascii="Times New Roman" w:hAnsi="Times New Roman" w:cs="Times New Roman"/>
          <w:sz w:val="24"/>
          <w:szCs w:val="24"/>
          <w:lang w:val="en-US"/>
        </w:rPr>
        <w:instrText xml:space="preserve"> ADDIN EN.CITE.DATA </w:instrText>
      </w:r>
      <w:r>
        <w:rPr>
          <w:rFonts w:ascii="Times New Roman" w:hAnsi="Times New Roman" w:cs="Times New Roman"/>
          <w:sz w:val="24"/>
          <w:szCs w:val="24"/>
          <w:lang w:val="en-US"/>
        </w:rPr>
      </w:r>
      <w:r>
        <w:rPr>
          <w:rFonts w:ascii="Times New Roman" w:hAnsi="Times New Roman" w:cs="Times New Roman"/>
          <w:sz w:val="24"/>
          <w:szCs w:val="24"/>
          <w:lang w:val="en-US"/>
        </w:rPr>
        <w:fldChar w:fldCharType="end"/>
      </w:r>
      <w:r w:rsidRPr="00925B5D">
        <w:rPr>
          <w:rFonts w:ascii="Times New Roman" w:hAnsi="Times New Roman" w:cs="Times New Roman"/>
          <w:sz w:val="24"/>
          <w:szCs w:val="24"/>
          <w:lang w:val="en-US"/>
        </w:rPr>
      </w:r>
      <w:r w:rsidRPr="00925B5D">
        <w:rPr>
          <w:rFonts w:ascii="Times New Roman" w:hAnsi="Times New Roman" w:cs="Times New Roman"/>
          <w:sz w:val="24"/>
          <w:szCs w:val="24"/>
          <w:lang w:val="en-US"/>
        </w:rPr>
        <w:fldChar w:fldCharType="separate"/>
      </w:r>
      <w:r>
        <w:rPr>
          <w:rFonts w:ascii="Times New Roman" w:hAnsi="Times New Roman" w:cs="Times New Roman"/>
          <w:noProof/>
          <w:sz w:val="24"/>
          <w:szCs w:val="24"/>
          <w:lang w:val="en-US"/>
        </w:rPr>
        <w:t>[65]</w:t>
      </w:r>
      <w:r w:rsidRPr="00925B5D">
        <w:rPr>
          <w:rFonts w:ascii="Times New Roman" w:hAnsi="Times New Roman" w:cs="Times New Roman"/>
          <w:sz w:val="24"/>
          <w:szCs w:val="24"/>
          <w:lang w:val="en-US"/>
        </w:rPr>
        <w:fldChar w:fldCharType="end"/>
      </w:r>
      <w:r w:rsidRPr="00925B5D">
        <w:rPr>
          <w:rFonts w:ascii="Times New Roman" w:hAnsi="Times New Roman" w:cs="Times New Roman"/>
          <w:sz w:val="24"/>
          <w:szCs w:val="24"/>
          <w:lang w:val="en-US"/>
        </w:rPr>
        <w:t xml:space="preserve"> (F, left) shows the close interaction between MAG and MBP, SOX10, NGFR. </w:t>
      </w:r>
      <w:r>
        <w:rPr>
          <w:rFonts w:ascii="Times New Roman" w:hAnsi="Times New Roman" w:cs="Times New Roman"/>
          <w:sz w:val="24"/>
          <w:szCs w:val="24"/>
          <w:lang w:val="en-US"/>
        </w:rPr>
        <w:t>(</w:t>
      </w:r>
      <w:r w:rsidRPr="00925B5D">
        <w:rPr>
          <w:rFonts w:ascii="Times New Roman" w:hAnsi="Times New Roman" w:cs="Times New Roman"/>
          <w:sz w:val="24"/>
          <w:szCs w:val="24"/>
          <w:lang w:val="en-US"/>
        </w:rPr>
        <w:t>G</w:t>
      </w:r>
      <w:r>
        <w:rPr>
          <w:rFonts w:ascii="Times New Roman" w:hAnsi="Times New Roman" w:cs="Times New Roman"/>
          <w:sz w:val="24"/>
          <w:szCs w:val="24"/>
          <w:lang w:val="en-US"/>
        </w:rPr>
        <w:t>)</w:t>
      </w:r>
      <w:r w:rsidRPr="00925B5D">
        <w:rPr>
          <w:rFonts w:ascii="Times New Roman" w:hAnsi="Times New Roman" w:cs="Times New Roman"/>
          <w:sz w:val="24"/>
          <w:szCs w:val="24"/>
          <w:lang w:val="en-US"/>
        </w:rPr>
        <w:t xml:space="preserve">. Series of correlation plots to illustrate the distribution of MAG and gene of interests, and their relationships in HS (grey) and no-HS groups (red). A positive association was observed between MAG and genes associated with myelination and angiogenesis in HS and no-HS groups (P&lt;0.001, blue boxes), including MBP (Pearson’s coefficient, HS, no-HS dataset; 0.951, 0.953), NGFR (0.853, 0.778), </w:t>
      </w:r>
      <w:r>
        <w:rPr>
          <w:rFonts w:ascii="Times New Roman" w:hAnsi="Times New Roman" w:cs="Times New Roman"/>
          <w:sz w:val="24"/>
          <w:szCs w:val="24"/>
          <w:lang w:val="en-US"/>
        </w:rPr>
        <w:t>OLIG2</w:t>
      </w:r>
      <w:r w:rsidRPr="00925B5D">
        <w:rPr>
          <w:rFonts w:ascii="Times New Roman" w:hAnsi="Times New Roman" w:cs="Times New Roman"/>
          <w:sz w:val="24"/>
          <w:szCs w:val="24"/>
          <w:lang w:val="en-US"/>
        </w:rPr>
        <w:t xml:space="preserve"> (0.931, 0.929), PLLP (0.992, 0.977), SOX10 (0.943, 0.12). PTPRN2 (-0.695, -0.697) and RTN4 (-0.577, -0.670) negatively correlated with MAG expression in HS and no-HS cases (P&lt;0.001; orange boxes). </w:t>
      </w:r>
      <w:r>
        <w:rPr>
          <w:rFonts w:ascii="Times New Roman" w:hAnsi="Times New Roman" w:cs="Times New Roman"/>
          <w:sz w:val="24"/>
          <w:szCs w:val="24"/>
          <w:lang w:val="en-US"/>
        </w:rPr>
        <w:t>(</w:t>
      </w:r>
      <w:r w:rsidRPr="00925B5D">
        <w:rPr>
          <w:rFonts w:ascii="Times New Roman" w:hAnsi="Times New Roman" w:cs="Times New Roman"/>
          <w:sz w:val="24"/>
          <w:szCs w:val="24"/>
          <w:lang w:val="en-US"/>
        </w:rPr>
        <w:t>H</w:t>
      </w:r>
      <w:r>
        <w:rPr>
          <w:rFonts w:ascii="Times New Roman" w:hAnsi="Times New Roman" w:cs="Times New Roman"/>
          <w:sz w:val="24"/>
          <w:szCs w:val="24"/>
          <w:lang w:val="en-US"/>
        </w:rPr>
        <w:t>)</w:t>
      </w:r>
      <w:r w:rsidRPr="00925B5D">
        <w:rPr>
          <w:rFonts w:ascii="Times New Roman" w:hAnsi="Times New Roman" w:cs="Times New Roman"/>
          <w:sz w:val="24"/>
          <w:szCs w:val="24"/>
          <w:lang w:val="en-US"/>
        </w:rPr>
        <w:t xml:space="preserve">. Covariate plots where pathways scores, calculated by nSolver, were plotted against pathology groups (HS or no-HS). The graph indicated that the pathway scores for myelination, angiogenesis, activated microglia, autophagy, lipid metabolism, cytokines, chromatin modification were lower in HS cases compared to no-HS cases, while the opposite was observed by other pathways.   </w:t>
      </w:r>
    </w:p>
    <w:p w14:paraId="473F5E2A" w14:textId="77777777" w:rsidR="00B53455" w:rsidRPr="00925B5D" w:rsidRDefault="00B53455" w:rsidP="00B53455">
      <w:pPr>
        <w:spacing w:line="360" w:lineRule="auto"/>
        <w:jc w:val="both"/>
        <w:rPr>
          <w:rFonts w:ascii="Times New Roman" w:hAnsi="Times New Roman" w:cs="Times New Roman"/>
          <w:sz w:val="24"/>
          <w:szCs w:val="24"/>
          <w:lang w:val="en-US"/>
        </w:rPr>
      </w:pPr>
      <w:r>
        <w:rPr>
          <w:noProof/>
        </w:rPr>
        <w:lastRenderedPageBreak/>
        <w:drawing>
          <wp:inline distT="0" distB="0" distL="0" distR="0" wp14:anchorId="73C97F42" wp14:editId="1424036F">
            <wp:extent cx="5731510" cy="8592820"/>
            <wp:effectExtent l="0" t="0" r="2540" b="0"/>
            <wp:docPr id="2101708818" name="Picture 16" descr="A diagram of different colored lin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1708818" name="Picture 16" descr="A diagram of different colored lines&#10;&#10;Description automatically generated with medium confidence"/>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31510" cy="8592820"/>
                    </a:xfrm>
                    <a:prstGeom prst="rect">
                      <a:avLst/>
                    </a:prstGeom>
                    <a:noFill/>
                    <a:ln>
                      <a:noFill/>
                    </a:ln>
                  </pic:spPr>
                </pic:pic>
              </a:graphicData>
            </a:graphic>
          </wp:inline>
        </w:drawing>
      </w:r>
    </w:p>
    <w:p w14:paraId="650C54FC" w14:textId="77777777" w:rsidR="00B53455" w:rsidRPr="00645F9C" w:rsidRDefault="00B53455" w:rsidP="00B53455">
      <w:pPr>
        <w:spacing w:line="360" w:lineRule="auto"/>
        <w:jc w:val="both"/>
        <w:rPr>
          <w:rFonts w:ascii="Times New Roman" w:hAnsi="Times New Roman" w:cs="Times New Roman"/>
          <w:b/>
          <w:bCs/>
          <w:sz w:val="24"/>
          <w:szCs w:val="24"/>
          <w:lang w:val="en-US"/>
        </w:rPr>
      </w:pPr>
      <w:r w:rsidRPr="00645F9C">
        <w:rPr>
          <w:rFonts w:ascii="Times New Roman" w:hAnsi="Times New Roman" w:cs="Times New Roman"/>
          <w:b/>
          <w:bCs/>
          <w:sz w:val="24"/>
          <w:szCs w:val="24"/>
          <w:lang w:val="en-US"/>
        </w:rPr>
        <w:lastRenderedPageBreak/>
        <w:t>Supplemental F</w:t>
      </w:r>
      <w:r>
        <w:rPr>
          <w:rFonts w:ascii="Times New Roman" w:hAnsi="Times New Roman" w:cs="Times New Roman"/>
          <w:b/>
          <w:bCs/>
          <w:sz w:val="24"/>
          <w:szCs w:val="24"/>
          <w:lang w:val="en-US"/>
        </w:rPr>
        <w:t>igure</w:t>
      </w:r>
      <w:r w:rsidRPr="00645F9C">
        <w:rPr>
          <w:rFonts w:ascii="Times New Roman" w:hAnsi="Times New Roman" w:cs="Times New Roman"/>
          <w:b/>
          <w:bCs/>
          <w:sz w:val="24"/>
          <w:szCs w:val="24"/>
          <w:lang w:val="en-US"/>
        </w:rPr>
        <w:t xml:space="preserve"> 9. Clinical correlations of pathology measures with age.</w:t>
      </w:r>
    </w:p>
    <w:p w14:paraId="6F8016F4" w14:textId="25253EAF" w:rsidR="00E8638D" w:rsidRDefault="00B53455" w:rsidP="00B53455">
      <w:r w:rsidRPr="00ED7C7A">
        <w:rPr>
          <w:rFonts w:ascii="Times New Roman" w:hAnsi="Times New Roman" w:cs="Times New Roman"/>
          <w:sz w:val="24"/>
          <w:szCs w:val="24"/>
          <w:lang w:val="en-US"/>
        </w:rPr>
        <w:t>(A-C). Age at surgery:  Correlated positively with SMA vascular diameter in the core white matter across all gyri (A) and with neurofilament-medium (NF-M) inversely in the deep white matter (B) whereas PDGFR</w:t>
      </w:r>
      <w:r w:rsidRPr="00ED7C7A">
        <w:rPr>
          <w:rFonts w:ascii="Times New Roman" w:hAnsi="Times New Roman" w:cs="Times New Roman"/>
          <w:sz w:val="24"/>
          <w:szCs w:val="24"/>
          <w:lang w:val="en-US"/>
        </w:rPr>
        <w:sym w:font="Symbol" w:char="F062"/>
      </w:r>
      <w:r w:rsidRPr="00ED7C7A">
        <w:rPr>
          <w:rFonts w:ascii="Times New Roman" w:hAnsi="Times New Roman" w:cs="Times New Roman"/>
          <w:sz w:val="24"/>
          <w:szCs w:val="24"/>
          <w:lang w:val="en-US"/>
        </w:rPr>
        <w:t xml:space="preserve"> type 1 vascular densities in the deep white matter positively correlated with age. </w:t>
      </w:r>
      <w:r>
        <w:rPr>
          <w:rFonts w:ascii="Times New Roman" w:hAnsi="Times New Roman" w:cs="Times New Roman"/>
          <w:sz w:val="24"/>
          <w:szCs w:val="24"/>
          <w:lang w:val="en-US"/>
        </w:rPr>
        <w:t>(</w:t>
      </w:r>
      <w:r w:rsidRPr="00ED7C7A">
        <w:rPr>
          <w:rFonts w:ascii="Times New Roman" w:hAnsi="Times New Roman" w:cs="Times New Roman"/>
          <w:sz w:val="24"/>
          <w:szCs w:val="24"/>
          <w:lang w:val="en-US"/>
        </w:rPr>
        <w:t>D-F</w:t>
      </w:r>
      <w:r>
        <w:rPr>
          <w:rFonts w:ascii="Times New Roman" w:hAnsi="Times New Roman" w:cs="Times New Roman"/>
          <w:sz w:val="24"/>
          <w:szCs w:val="24"/>
          <w:lang w:val="en-US"/>
        </w:rPr>
        <w:t>)</w:t>
      </w:r>
      <w:r w:rsidRPr="00ED7C7A">
        <w:rPr>
          <w:rFonts w:ascii="Times New Roman" w:hAnsi="Times New Roman" w:cs="Times New Roman"/>
          <w:sz w:val="24"/>
          <w:szCs w:val="24"/>
          <w:lang w:val="en-US"/>
        </w:rPr>
        <w:t xml:space="preserve">. Duration of epilepsy: </w:t>
      </w:r>
      <w:r>
        <w:rPr>
          <w:rFonts w:ascii="Times New Roman" w:hAnsi="Times New Roman" w:cs="Times New Roman"/>
          <w:sz w:val="24"/>
          <w:szCs w:val="24"/>
          <w:lang w:val="en-US"/>
        </w:rPr>
        <w:t>COL4</w:t>
      </w:r>
      <w:r w:rsidRPr="00ED7C7A">
        <w:rPr>
          <w:rFonts w:ascii="Times New Roman" w:hAnsi="Times New Roman" w:cs="Times New Roman"/>
          <w:sz w:val="24"/>
          <w:szCs w:val="24"/>
          <w:lang w:val="en-US"/>
        </w:rPr>
        <w:t xml:space="preserve"> vascular density negatively correlated with duration in the core (D) and neurofilament-heavy chain labelling (NF-H) and (E) PDGFR</w:t>
      </w:r>
      <w:r w:rsidRPr="00ED7C7A">
        <w:rPr>
          <w:rFonts w:ascii="Times New Roman" w:hAnsi="Times New Roman" w:cs="Times New Roman"/>
          <w:sz w:val="24"/>
          <w:szCs w:val="24"/>
          <w:lang w:val="en-US"/>
        </w:rPr>
        <w:sym w:font="Symbol" w:char="F062"/>
      </w:r>
      <w:r w:rsidRPr="00ED7C7A">
        <w:rPr>
          <w:rFonts w:ascii="Times New Roman" w:hAnsi="Times New Roman" w:cs="Times New Roman"/>
          <w:sz w:val="24"/>
          <w:szCs w:val="24"/>
          <w:lang w:val="en-US"/>
        </w:rPr>
        <w:t xml:space="preserve"> type </w:t>
      </w:r>
      <w:r>
        <w:rPr>
          <w:rFonts w:ascii="Times New Roman" w:hAnsi="Times New Roman" w:cs="Times New Roman"/>
          <w:sz w:val="24"/>
          <w:szCs w:val="24"/>
          <w:lang w:val="en-US"/>
        </w:rPr>
        <w:t>2</w:t>
      </w:r>
      <w:r w:rsidRPr="00ED7C7A">
        <w:rPr>
          <w:rFonts w:ascii="Times New Roman" w:hAnsi="Times New Roman" w:cs="Times New Roman"/>
          <w:sz w:val="24"/>
          <w:szCs w:val="24"/>
          <w:lang w:val="en-US"/>
        </w:rPr>
        <w:t xml:space="preserve"> vascular densities (F) in the deep white matter  (all Spearman’s correlation</w:t>
      </w:r>
      <w:r>
        <w:rPr>
          <w:rFonts w:ascii="Times New Roman" w:hAnsi="Times New Roman" w:cs="Times New Roman"/>
          <w:sz w:val="24"/>
          <w:szCs w:val="24"/>
          <w:lang w:val="en-US"/>
        </w:rPr>
        <w:t>s</w:t>
      </w:r>
      <w:r w:rsidRPr="00ED7C7A">
        <w:rPr>
          <w:rFonts w:ascii="Times New Roman" w:hAnsi="Times New Roman" w:cs="Times New Roman"/>
          <w:sz w:val="24"/>
          <w:szCs w:val="24"/>
          <w:lang w:val="en-US"/>
        </w:rPr>
        <w:t>, R</w:t>
      </w:r>
      <w:r w:rsidRPr="00ED7C7A">
        <w:rPr>
          <w:rFonts w:ascii="Times New Roman" w:hAnsi="Times New Roman" w:cs="Times New Roman"/>
          <w:sz w:val="24"/>
          <w:szCs w:val="24"/>
          <w:vertAlign w:val="superscript"/>
          <w:lang w:val="en-US"/>
        </w:rPr>
        <w:t>2</w:t>
      </w:r>
      <w:r w:rsidRPr="00ED7C7A">
        <w:rPr>
          <w:rFonts w:ascii="Times New Roman" w:hAnsi="Times New Roman" w:cs="Times New Roman"/>
          <w:sz w:val="24"/>
          <w:szCs w:val="24"/>
          <w:lang w:val="en-US"/>
        </w:rPr>
        <w:t xml:space="preserve"> value indicated on graphs, </w:t>
      </w:r>
      <w:r>
        <w:rPr>
          <w:rFonts w:ascii="Times New Roman" w:hAnsi="Times New Roman" w:cs="Times New Roman"/>
          <w:sz w:val="24"/>
          <w:szCs w:val="24"/>
          <w:lang w:val="en-US"/>
        </w:rPr>
        <w:t xml:space="preserve">using </w:t>
      </w:r>
      <w:r w:rsidRPr="00ED7C7A">
        <w:rPr>
          <w:rFonts w:ascii="Times New Roman" w:hAnsi="Times New Roman" w:cs="Times New Roman"/>
          <w:sz w:val="24"/>
          <w:szCs w:val="24"/>
          <w:lang w:val="en-US"/>
        </w:rPr>
        <w:t>graph pad</w:t>
      </w:r>
      <w:r>
        <w:rPr>
          <w:rFonts w:ascii="Times New Roman" w:hAnsi="Times New Roman" w:cs="Times New Roman"/>
          <w:sz w:val="24"/>
          <w:szCs w:val="24"/>
          <w:lang w:val="en-US"/>
        </w:rPr>
        <w:t xml:space="preserve"> statistical analysis</w:t>
      </w:r>
      <w:r w:rsidRPr="00ED7C7A">
        <w:rPr>
          <w:rFonts w:ascii="Times New Roman" w:hAnsi="Times New Roman" w:cs="Times New Roman"/>
          <w:sz w:val="24"/>
          <w:szCs w:val="24"/>
          <w:lang w:val="en-US"/>
        </w:rPr>
        <w:t xml:space="preserve"> ; p values &lt;0.05 to 0.005). (G).</w:t>
      </w:r>
      <w:r w:rsidRPr="008C3D0D">
        <w:rPr>
          <w:rFonts w:ascii="Times New Roman" w:hAnsi="Times New Roman" w:cs="Times New Roman"/>
          <w:sz w:val="24"/>
          <w:szCs w:val="24"/>
          <w:lang w:val="en-US"/>
        </w:rPr>
        <w:t xml:space="preserve"> Visual illustration showing the expression of targeted genes in cases with age of surgery over or under 40 years. The older cohort (green) show lower expression of EGFR (P=0.003), MAG, PLLP, </w:t>
      </w:r>
      <w:r>
        <w:rPr>
          <w:rFonts w:ascii="Times New Roman" w:hAnsi="Times New Roman" w:cs="Times New Roman"/>
          <w:sz w:val="24"/>
          <w:szCs w:val="24"/>
          <w:lang w:val="en-US"/>
        </w:rPr>
        <w:t>OLIG2</w:t>
      </w:r>
      <w:r w:rsidRPr="008C3D0D">
        <w:rPr>
          <w:rFonts w:ascii="Times New Roman" w:hAnsi="Times New Roman" w:cs="Times New Roman"/>
          <w:sz w:val="24"/>
          <w:szCs w:val="24"/>
          <w:lang w:val="en-US"/>
        </w:rPr>
        <w:t xml:space="preserve"> mRNA compared to the younger cohort (purple) whereas the gene expression of PDGFR</w:t>
      </w:r>
      <w:r>
        <w:rPr>
          <w:rFonts w:ascii="Times New Roman" w:hAnsi="Times New Roman" w:cs="Times New Roman"/>
          <w:sz w:val="24"/>
          <w:szCs w:val="24"/>
          <w:lang w:val="en-US"/>
        </w:rPr>
        <w:sym w:font="Symbol" w:char="F062"/>
      </w:r>
      <w:r w:rsidRPr="008C3D0D">
        <w:rPr>
          <w:rFonts w:ascii="Times New Roman" w:hAnsi="Times New Roman" w:cs="Times New Roman"/>
          <w:sz w:val="24"/>
          <w:szCs w:val="24"/>
          <w:lang w:val="en-US"/>
        </w:rPr>
        <w:t xml:space="preserve"> is higher in the younger cohort than the older cohort.</w:t>
      </w:r>
    </w:p>
    <w:sectPr w:rsidR="00E8638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ymbol">
    <w:panose1 w:val="05050102010706020507"/>
    <w:charset w:val="02"/>
    <w:family w:val="roman"/>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3455"/>
    <w:rsid w:val="000C76F0"/>
    <w:rsid w:val="00B53455"/>
    <w:rsid w:val="00E8638D"/>
    <w:rsid w:val="00F031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70C964"/>
  <w15:chartTrackingRefBased/>
  <w15:docId w15:val="{D1D6BEE8-2DC7-4115-8476-EDEC96F662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3455"/>
    <w:pPr>
      <w:spacing w:line="259" w:lineRule="auto"/>
    </w:pPr>
    <w:rPr>
      <w:kern w:val="0"/>
      <w:sz w:val="22"/>
      <w:szCs w:val="22"/>
      <w:lang w:val="en-GB"/>
      <w14:ligatures w14:val="none"/>
    </w:rPr>
  </w:style>
  <w:style w:type="paragraph" w:styleId="Heading1">
    <w:name w:val="heading 1"/>
    <w:basedOn w:val="Normal"/>
    <w:next w:val="Normal"/>
    <w:link w:val="Heading1Char"/>
    <w:uiPriority w:val="9"/>
    <w:qFormat/>
    <w:rsid w:val="00B53455"/>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B53455"/>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B53455"/>
    <w:pPr>
      <w:keepNext/>
      <w:keepLines/>
      <w:spacing w:before="160" w:after="80" w:line="278" w:lineRule="auto"/>
      <w:outlineLvl w:val="2"/>
    </w:pPr>
    <w:rPr>
      <w:rFonts w:eastAsiaTheme="majorEastAsia"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B53455"/>
    <w:pPr>
      <w:keepNext/>
      <w:keepLines/>
      <w:spacing w:before="80" w:after="40" w:line="278" w:lineRule="auto"/>
      <w:outlineLvl w:val="3"/>
    </w:pPr>
    <w:rPr>
      <w:rFonts w:eastAsiaTheme="majorEastAsia" w:cstheme="majorBidi"/>
      <w:i/>
      <w:iCs/>
      <w:color w:val="0F4761" w:themeColor="accent1" w:themeShade="BF"/>
      <w:kern w:val="2"/>
      <w:sz w:val="24"/>
      <w:szCs w:val="24"/>
      <w:lang w:val="en-US"/>
      <w14:ligatures w14:val="standardContextual"/>
    </w:rPr>
  </w:style>
  <w:style w:type="paragraph" w:styleId="Heading5">
    <w:name w:val="heading 5"/>
    <w:basedOn w:val="Normal"/>
    <w:next w:val="Normal"/>
    <w:link w:val="Heading5Char"/>
    <w:uiPriority w:val="9"/>
    <w:semiHidden/>
    <w:unhideWhenUsed/>
    <w:qFormat/>
    <w:rsid w:val="00B53455"/>
    <w:pPr>
      <w:keepNext/>
      <w:keepLines/>
      <w:spacing w:before="80" w:after="40" w:line="278" w:lineRule="auto"/>
      <w:outlineLvl w:val="4"/>
    </w:pPr>
    <w:rPr>
      <w:rFonts w:eastAsiaTheme="majorEastAsia" w:cstheme="majorBidi"/>
      <w:color w:val="0F4761" w:themeColor="accent1" w:themeShade="BF"/>
      <w:kern w:val="2"/>
      <w:sz w:val="24"/>
      <w:szCs w:val="24"/>
      <w:lang w:val="en-US"/>
      <w14:ligatures w14:val="standardContextual"/>
    </w:rPr>
  </w:style>
  <w:style w:type="paragraph" w:styleId="Heading6">
    <w:name w:val="heading 6"/>
    <w:basedOn w:val="Normal"/>
    <w:next w:val="Normal"/>
    <w:link w:val="Heading6Char"/>
    <w:uiPriority w:val="9"/>
    <w:semiHidden/>
    <w:unhideWhenUsed/>
    <w:qFormat/>
    <w:rsid w:val="00B53455"/>
    <w:pPr>
      <w:keepNext/>
      <w:keepLines/>
      <w:spacing w:before="40" w:after="0" w:line="278" w:lineRule="auto"/>
      <w:outlineLvl w:val="5"/>
    </w:pPr>
    <w:rPr>
      <w:rFonts w:eastAsiaTheme="majorEastAsia" w:cstheme="majorBidi"/>
      <w:i/>
      <w:iCs/>
      <w:color w:val="595959" w:themeColor="text1" w:themeTint="A6"/>
      <w:kern w:val="2"/>
      <w:sz w:val="24"/>
      <w:szCs w:val="24"/>
      <w:lang w:val="en-US"/>
      <w14:ligatures w14:val="standardContextual"/>
    </w:rPr>
  </w:style>
  <w:style w:type="paragraph" w:styleId="Heading7">
    <w:name w:val="heading 7"/>
    <w:basedOn w:val="Normal"/>
    <w:next w:val="Normal"/>
    <w:link w:val="Heading7Char"/>
    <w:uiPriority w:val="9"/>
    <w:semiHidden/>
    <w:unhideWhenUsed/>
    <w:qFormat/>
    <w:rsid w:val="00B53455"/>
    <w:pPr>
      <w:keepNext/>
      <w:keepLines/>
      <w:spacing w:before="40" w:after="0" w:line="278" w:lineRule="auto"/>
      <w:outlineLvl w:val="6"/>
    </w:pPr>
    <w:rPr>
      <w:rFonts w:eastAsiaTheme="majorEastAsia" w:cstheme="majorBidi"/>
      <w:color w:val="595959" w:themeColor="text1" w:themeTint="A6"/>
      <w:kern w:val="2"/>
      <w:sz w:val="24"/>
      <w:szCs w:val="24"/>
      <w:lang w:val="en-US"/>
      <w14:ligatures w14:val="standardContextual"/>
    </w:rPr>
  </w:style>
  <w:style w:type="paragraph" w:styleId="Heading8">
    <w:name w:val="heading 8"/>
    <w:basedOn w:val="Normal"/>
    <w:next w:val="Normal"/>
    <w:link w:val="Heading8Char"/>
    <w:uiPriority w:val="9"/>
    <w:semiHidden/>
    <w:unhideWhenUsed/>
    <w:qFormat/>
    <w:rsid w:val="00B53455"/>
    <w:pPr>
      <w:keepNext/>
      <w:keepLines/>
      <w:spacing w:after="0" w:line="278" w:lineRule="auto"/>
      <w:outlineLvl w:val="7"/>
    </w:pPr>
    <w:rPr>
      <w:rFonts w:eastAsiaTheme="majorEastAsia" w:cstheme="majorBidi"/>
      <w:i/>
      <w:iCs/>
      <w:color w:val="272727" w:themeColor="text1" w:themeTint="D8"/>
      <w:kern w:val="2"/>
      <w:sz w:val="24"/>
      <w:szCs w:val="24"/>
      <w:lang w:val="en-US"/>
      <w14:ligatures w14:val="standardContextual"/>
    </w:rPr>
  </w:style>
  <w:style w:type="paragraph" w:styleId="Heading9">
    <w:name w:val="heading 9"/>
    <w:basedOn w:val="Normal"/>
    <w:next w:val="Normal"/>
    <w:link w:val="Heading9Char"/>
    <w:uiPriority w:val="9"/>
    <w:semiHidden/>
    <w:unhideWhenUsed/>
    <w:qFormat/>
    <w:rsid w:val="00B53455"/>
    <w:pPr>
      <w:keepNext/>
      <w:keepLines/>
      <w:spacing w:after="0" w:line="278" w:lineRule="auto"/>
      <w:outlineLvl w:val="8"/>
    </w:pPr>
    <w:rPr>
      <w:rFonts w:eastAsiaTheme="majorEastAsia" w:cstheme="majorBidi"/>
      <w:color w:val="272727" w:themeColor="text1" w:themeTint="D8"/>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5345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5345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5345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5345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5345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5345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5345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5345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53455"/>
    <w:rPr>
      <w:rFonts w:eastAsiaTheme="majorEastAsia" w:cstheme="majorBidi"/>
      <w:color w:val="272727" w:themeColor="text1" w:themeTint="D8"/>
    </w:rPr>
  </w:style>
  <w:style w:type="paragraph" w:styleId="Title">
    <w:name w:val="Title"/>
    <w:basedOn w:val="Normal"/>
    <w:next w:val="Normal"/>
    <w:link w:val="TitleChar"/>
    <w:uiPriority w:val="10"/>
    <w:qFormat/>
    <w:rsid w:val="00B53455"/>
    <w:pPr>
      <w:spacing w:after="80" w:line="240"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B5345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53455"/>
    <w:pPr>
      <w:numPr>
        <w:ilvl w:val="1"/>
      </w:numPr>
      <w:spacing w:line="278" w:lineRule="auto"/>
    </w:pPr>
    <w:rPr>
      <w:rFonts w:eastAsiaTheme="majorEastAsia"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B5345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53455"/>
    <w:pPr>
      <w:spacing w:before="160" w:line="278" w:lineRule="auto"/>
      <w:jc w:val="center"/>
    </w:pPr>
    <w:rPr>
      <w:i/>
      <w:iCs/>
      <w:color w:val="404040" w:themeColor="text1" w:themeTint="BF"/>
      <w:kern w:val="2"/>
      <w:sz w:val="24"/>
      <w:szCs w:val="24"/>
      <w:lang w:val="en-US"/>
      <w14:ligatures w14:val="standardContextual"/>
    </w:rPr>
  </w:style>
  <w:style w:type="character" w:customStyle="1" w:styleId="QuoteChar">
    <w:name w:val="Quote Char"/>
    <w:basedOn w:val="DefaultParagraphFont"/>
    <w:link w:val="Quote"/>
    <w:uiPriority w:val="29"/>
    <w:rsid w:val="00B53455"/>
    <w:rPr>
      <w:i/>
      <w:iCs/>
      <w:color w:val="404040" w:themeColor="text1" w:themeTint="BF"/>
    </w:rPr>
  </w:style>
  <w:style w:type="paragraph" w:styleId="ListParagraph">
    <w:name w:val="List Paragraph"/>
    <w:basedOn w:val="Normal"/>
    <w:uiPriority w:val="34"/>
    <w:qFormat/>
    <w:rsid w:val="00B53455"/>
    <w:pPr>
      <w:spacing w:line="278" w:lineRule="auto"/>
      <w:ind w:left="720"/>
      <w:contextualSpacing/>
    </w:pPr>
    <w:rPr>
      <w:kern w:val="2"/>
      <w:sz w:val="24"/>
      <w:szCs w:val="24"/>
      <w:lang w:val="en-US"/>
      <w14:ligatures w14:val="standardContextual"/>
    </w:rPr>
  </w:style>
  <w:style w:type="character" w:styleId="IntenseEmphasis">
    <w:name w:val="Intense Emphasis"/>
    <w:basedOn w:val="DefaultParagraphFont"/>
    <w:uiPriority w:val="21"/>
    <w:qFormat/>
    <w:rsid w:val="00B53455"/>
    <w:rPr>
      <w:i/>
      <w:iCs/>
      <w:color w:val="0F4761" w:themeColor="accent1" w:themeShade="BF"/>
    </w:rPr>
  </w:style>
  <w:style w:type="paragraph" w:styleId="IntenseQuote">
    <w:name w:val="Intense Quote"/>
    <w:basedOn w:val="Normal"/>
    <w:next w:val="Normal"/>
    <w:link w:val="IntenseQuoteChar"/>
    <w:uiPriority w:val="30"/>
    <w:qFormat/>
    <w:rsid w:val="00B53455"/>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lang w:val="en-US"/>
      <w14:ligatures w14:val="standardContextual"/>
    </w:rPr>
  </w:style>
  <w:style w:type="character" w:customStyle="1" w:styleId="IntenseQuoteChar">
    <w:name w:val="Intense Quote Char"/>
    <w:basedOn w:val="DefaultParagraphFont"/>
    <w:link w:val="IntenseQuote"/>
    <w:uiPriority w:val="30"/>
    <w:rsid w:val="00B53455"/>
    <w:rPr>
      <w:i/>
      <w:iCs/>
      <w:color w:val="0F4761" w:themeColor="accent1" w:themeShade="BF"/>
    </w:rPr>
  </w:style>
  <w:style w:type="character" w:styleId="IntenseReference">
    <w:name w:val="Intense Reference"/>
    <w:basedOn w:val="DefaultParagraphFont"/>
    <w:uiPriority w:val="32"/>
    <w:qFormat/>
    <w:rsid w:val="00B5345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fontTable" Target="fontTable.xml"/><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16</Pages>
  <Words>1717</Words>
  <Characters>9793</Characters>
  <Application>Microsoft Office Word</Application>
  <DocSecurity>0</DocSecurity>
  <Lines>81</Lines>
  <Paragraphs>22</Paragraphs>
  <ScaleCrop>false</ScaleCrop>
  <Company/>
  <LinksUpToDate>false</LinksUpToDate>
  <CharactersWithSpaces>11488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2024-08-28T05:06:00Z</dcterms:created>
  <dcterms:modified xsi:type="dcterms:W3CDTF">2024-08-28T05:06:00Z</dcterms:modified>
</cp:coreProperties>
</file>