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E6106D" w14:textId="77777777" w:rsidR="00DD4852" w:rsidRPr="00655323" w:rsidRDefault="00DD4852" w:rsidP="00DD4852">
      <w:pPr>
        <w:pStyle w:val="NoSpacing"/>
        <w:spacing w:line="480" w:lineRule="auto"/>
        <w:ind w:left="57" w:right="57"/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</w:pPr>
      <w:r w:rsidRPr="00655323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 xml:space="preserve">APPENDIX </w:t>
      </w:r>
    </w:p>
    <w:p w14:paraId="2910E4C4" w14:textId="77777777" w:rsidR="00DD4852" w:rsidRPr="00655323" w:rsidRDefault="00DD4852" w:rsidP="00DD4852">
      <w:pPr>
        <w:pStyle w:val="NoSpacing"/>
        <w:spacing w:line="480" w:lineRule="auto"/>
        <w:ind w:left="57" w:right="57"/>
        <w:rPr>
          <w:rFonts w:asciiTheme="minorHAnsi" w:hAnsiTheme="minorHAnsi" w:cstheme="minorHAnsi"/>
          <w:sz w:val="24"/>
          <w:szCs w:val="24"/>
          <w:lang w:val="en-US"/>
        </w:rPr>
      </w:pPr>
      <w:r w:rsidRPr="00655323">
        <w:rPr>
          <w:rFonts w:asciiTheme="minorHAnsi" w:hAnsiTheme="minorHAnsi" w:cstheme="minorHAnsi"/>
          <w:b/>
          <w:sz w:val="24"/>
          <w:szCs w:val="24"/>
          <w:lang w:val="en-US"/>
        </w:rPr>
        <w:t>Table A</w:t>
      </w:r>
      <w:r w:rsidRPr="00655323">
        <w:rPr>
          <w:rFonts w:asciiTheme="minorHAnsi" w:hAnsiTheme="minorHAnsi" w:cstheme="minorHAnsi"/>
          <w:sz w:val="24"/>
          <w:szCs w:val="24"/>
          <w:lang w:val="en-US"/>
        </w:rPr>
        <w:t>. Results from the multivariable logistic regression analysis predicting the incidence of post-operative delirium (N=93 participants).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992"/>
        <w:gridCol w:w="1984"/>
        <w:gridCol w:w="1276"/>
      </w:tblGrid>
      <w:tr w:rsidR="00DD4852" w:rsidRPr="00655323" w14:paraId="3D99A500" w14:textId="77777777" w:rsidTr="00621030">
        <w:tc>
          <w:tcPr>
            <w:tcW w:w="4390" w:type="dxa"/>
          </w:tcPr>
          <w:p w14:paraId="0824EB67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Characteristics</w:t>
            </w:r>
          </w:p>
        </w:tc>
        <w:tc>
          <w:tcPr>
            <w:tcW w:w="992" w:type="dxa"/>
          </w:tcPr>
          <w:p w14:paraId="0B678ABD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OR</w:t>
            </w:r>
          </w:p>
        </w:tc>
        <w:tc>
          <w:tcPr>
            <w:tcW w:w="1984" w:type="dxa"/>
          </w:tcPr>
          <w:p w14:paraId="1E42309B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95% CI</w:t>
            </w:r>
          </w:p>
        </w:tc>
        <w:tc>
          <w:tcPr>
            <w:tcW w:w="1276" w:type="dxa"/>
          </w:tcPr>
          <w:p w14:paraId="6C4F69C5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p-value</w:t>
            </w:r>
          </w:p>
        </w:tc>
      </w:tr>
      <w:tr w:rsidR="00DD4852" w:rsidRPr="00655323" w14:paraId="1B6D4854" w14:textId="77777777" w:rsidTr="00621030">
        <w:tc>
          <w:tcPr>
            <w:tcW w:w="4390" w:type="dxa"/>
          </w:tcPr>
          <w:p w14:paraId="4A5BC359" w14:textId="77777777" w:rsidR="00DD4852" w:rsidRPr="00655323" w:rsidRDefault="00DD4852" w:rsidP="00621030">
            <w:pPr>
              <w:spacing w:line="480" w:lineRule="auto"/>
              <w:ind w:left="57" w:right="57"/>
              <w:rPr>
                <w:rFonts w:asciiTheme="minorHAnsi" w:eastAsia="Times New Roman" w:hAnsiTheme="minorHAnsi" w:cstheme="minorHAnsi"/>
                <w:b/>
                <w:bCs/>
                <w:noProof/>
                <w:color w:val="000000"/>
              </w:rPr>
            </w:pPr>
            <w:r w:rsidRPr="00655323">
              <w:rPr>
                <w:rFonts w:asciiTheme="minorHAnsi" w:hAnsiTheme="minorHAnsi" w:cstheme="minorHAnsi"/>
                <w:b/>
                <w:i/>
                <w:lang w:val="en-US"/>
              </w:rPr>
              <w:t>Cognitive performance</w:t>
            </w:r>
            <w:r w:rsidRPr="00655323">
              <w:rPr>
                <w:rFonts w:asciiTheme="minorHAnsi" w:eastAsia="Times New Roman" w:hAnsiTheme="minorHAnsi" w:cstheme="minorHAnsi"/>
                <w:bCs/>
                <w:noProof/>
                <w:color w:val="000000"/>
              </w:rPr>
              <w:t xml:space="preserve"> *</w:t>
            </w:r>
          </w:p>
        </w:tc>
        <w:tc>
          <w:tcPr>
            <w:tcW w:w="992" w:type="dxa"/>
          </w:tcPr>
          <w:p w14:paraId="3D61F8B6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0.8</w:t>
            </w:r>
          </w:p>
        </w:tc>
        <w:tc>
          <w:tcPr>
            <w:tcW w:w="1984" w:type="dxa"/>
          </w:tcPr>
          <w:p w14:paraId="728F2D9D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0.7-0.9</w:t>
            </w:r>
          </w:p>
        </w:tc>
        <w:tc>
          <w:tcPr>
            <w:tcW w:w="1276" w:type="dxa"/>
          </w:tcPr>
          <w:p w14:paraId="79D5D585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.001</w:t>
            </w:r>
          </w:p>
        </w:tc>
      </w:tr>
      <w:tr w:rsidR="00DD4852" w:rsidRPr="00655323" w14:paraId="152CB282" w14:textId="77777777" w:rsidTr="00621030">
        <w:tc>
          <w:tcPr>
            <w:tcW w:w="4390" w:type="dxa"/>
          </w:tcPr>
          <w:p w14:paraId="4A7C7F7A" w14:textId="77777777" w:rsidR="00DD4852" w:rsidRPr="00655323" w:rsidRDefault="00DD4852" w:rsidP="00621030">
            <w:pPr>
              <w:spacing w:line="480" w:lineRule="auto"/>
              <w:ind w:left="57" w:right="57"/>
              <w:rPr>
                <w:rFonts w:asciiTheme="minorHAnsi" w:eastAsia="Times New Roman" w:hAnsiTheme="minorHAnsi" w:cstheme="minorHAnsi"/>
                <w:bCs/>
                <w:noProof/>
                <w:color w:val="000000"/>
                <w:lang w:val="en-US"/>
              </w:rPr>
            </w:pPr>
            <w:r w:rsidRPr="00655323">
              <w:rPr>
                <w:rFonts w:asciiTheme="minorHAnsi" w:hAnsiTheme="minorHAnsi" w:cstheme="minorHAnsi"/>
                <w:b/>
                <w:i/>
                <w:lang w:val="en-US"/>
              </w:rPr>
              <w:t xml:space="preserve">Surgical risk score by  </w:t>
            </w:r>
            <w:r w:rsidRPr="00655323">
              <w:rPr>
                <w:rFonts w:asciiTheme="minorHAnsi" w:eastAsia="Times New Roman" w:hAnsiTheme="minorHAnsi" w:cstheme="minorHAnsi"/>
                <w:b/>
                <w:bCs/>
                <w:i/>
                <w:noProof/>
                <w:color w:val="000000"/>
                <w:lang w:val="en-US"/>
              </w:rPr>
              <w:t>STS</w:t>
            </w:r>
            <w:r w:rsidRPr="00655323">
              <w:rPr>
                <w:rFonts w:asciiTheme="minorHAnsi" w:eastAsia="Times New Roman" w:hAnsiTheme="minorHAnsi" w:cstheme="minorHAnsi"/>
                <w:bCs/>
                <w:noProof/>
                <w:color w:val="000000"/>
                <w:lang w:val="en-US"/>
              </w:rPr>
              <w:t xml:space="preserve"> †</w:t>
            </w:r>
          </w:p>
          <w:p w14:paraId="253357AB" w14:textId="77777777" w:rsidR="00DD4852" w:rsidRPr="00655323" w:rsidRDefault="00DD4852" w:rsidP="00DD4852">
            <w:pPr>
              <w:pStyle w:val="ListParagraph"/>
              <w:numPr>
                <w:ilvl w:val="1"/>
                <w:numId w:val="1"/>
              </w:numPr>
              <w:spacing w:line="480" w:lineRule="auto"/>
              <w:ind w:left="458" w:right="57" w:hanging="283"/>
              <w:rPr>
                <w:rFonts w:asciiTheme="minorHAnsi" w:eastAsia="Times New Roman" w:hAnsiTheme="minorHAnsi" w:cstheme="minorHAnsi"/>
                <w:bCs/>
                <w:noProof/>
                <w:color w:val="000000"/>
                <w:sz w:val="24"/>
                <w:lang w:val="en-US"/>
              </w:rPr>
            </w:pPr>
            <w:r w:rsidRPr="00655323">
              <w:rPr>
                <w:rFonts w:asciiTheme="minorHAnsi" w:eastAsia="Times New Roman" w:hAnsiTheme="minorHAnsi" w:cstheme="minorHAnsi"/>
                <w:bCs/>
                <w:noProof/>
                <w:color w:val="000000"/>
                <w:sz w:val="24"/>
                <w:lang w:val="en-US"/>
              </w:rPr>
              <w:t>Intermediate (STS risk score &gt;3 &amp; ≤ 8)</w:t>
            </w:r>
          </w:p>
          <w:p w14:paraId="3DB707A0" w14:textId="77777777" w:rsidR="00DD4852" w:rsidRPr="00655323" w:rsidRDefault="00DD4852" w:rsidP="00DD4852">
            <w:pPr>
              <w:pStyle w:val="ListParagraph"/>
              <w:numPr>
                <w:ilvl w:val="1"/>
                <w:numId w:val="1"/>
              </w:numPr>
              <w:spacing w:line="480" w:lineRule="auto"/>
              <w:ind w:left="458" w:right="57" w:hanging="283"/>
              <w:rPr>
                <w:rFonts w:asciiTheme="minorHAnsi" w:eastAsia="Times New Roman" w:hAnsiTheme="minorHAnsi" w:cstheme="minorHAnsi"/>
                <w:bCs/>
                <w:noProof/>
                <w:color w:val="000000"/>
                <w:sz w:val="24"/>
                <w:lang w:val="en-US"/>
              </w:rPr>
            </w:pPr>
            <w:r w:rsidRPr="00655323">
              <w:rPr>
                <w:rFonts w:asciiTheme="minorHAnsi" w:eastAsia="Times New Roman" w:hAnsiTheme="minorHAnsi" w:cstheme="minorHAnsi"/>
                <w:bCs/>
                <w:noProof/>
                <w:color w:val="000000"/>
                <w:sz w:val="24"/>
                <w:lang w:val="en-US"/>
              </w:rPr>
              <w:t>High (STS risk score &gt;8)</w:t>
            </w:r>
          </w:p>
          <w:p w14:paraId="31AC4A0F" w14:textId="77777777" w:rsidR="00DD4852" w:rsidRPr="00655323" w:rsidRDefault="00DD4852" w:rsidP="00621030">
            <w:pPr>
              <w:spacing w:line="480" w:lineRule="auto"/>
              <w:ind w:left="57" w:right="57"/>
              <w:rPr>
                <w:rFonts w:asciiTheme="minorHAnsi" w:eastAsia="Times New Roman" w:hAnsiTheme="minorHAnsi" w:cstheme="minorHAnsi"/>
                <w:bCs/>
                <w:i/>
                <w:noProof/>
                <w:color w:val="000000"/>
                <w:lang w:val="en-US"/>
              </w:rPr>
            </w:pPr>
            <w:r w:rsidRPr="00655323">
              <w:rPr>
                <w:rFonts w:asciiTheme="minorHAnsi" w:eastAsia="Times New Roman" w:hAnsiTheme="minorHAnsi" w:cstheme="minorHAnsi"/>
                <w:bCs/>
                <w:i/>
                <w:noProof/>
                <w:color w:val="000000"/>
                <w:lang w:val="en-US"/>
              </w:rPr>
              <w:t xml:space="preserve"> (ref is Low risk, STS score ≤3)</w:t>
            </w:r>
          </w:p>
        </w:tc>
        <w:tc>
          <w:tcPr>
            <w:tcW w:w="992" w:type="dxa"/>
          </w:tcPr>
          <w:p w14:paraId="39A1FF7C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 w14:paraId="16D31051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4.3</w:t>
            </w:r>
          </w:p>
          <w:p w14:paraId="3A25A5DA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16.5</w:t>
            </w:r>
          </w:p>
        </w:tc>
        <w:tc>
          <w:tcPr>
            <w:tcW w:w="1984" w:type="dxa"/>
          </w:tcPr>
          <w:p w14:paraId="51587F66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 w14:paraId="4B1C58C6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1.2-15.1</w:t>
            </w:r>
          </w:p>
          <w:p w14:paraId="19869347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2.0-138.2</w:t>
            </w:r>
          </w:p>
        </w:tc>
        <w:tc>
          <w:tcPr>
            <w:tcW w:w="1276" w:type="dxa"/>
          </w:tcPr>
          <w:p w14:paraId="5ACCBB1F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 w14:paraId="7B33742B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.025</w:t>
            </w:r>
          </w:p>
          <w:p w14:paraId="7FFC82A3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.010</w:t>
            </w:r>
          </w:p>
        </w:tc>
      </w:tr>
      <w:tr w:rsidR="00DD4852" w:rsidRPr="00655323" w14:paraId="4E7653AC" w14:textId="77777777" w:rsidTr="00621030">
        <w:tc>
          <w:tcPr>
            <w:tcW w:w="4390" w:type="dxa"/>
          </w:tcPr>
          <w:p w14:paraId="6EC8F27A" w14:textId="77777777" w:rsidR="00DD4852" w:rsidRPr="00655323" w:rsidRDefault="00DD4852" w:rsidP="00621030">
            <w:pPr>
              <w:spacing w:line="480" w:lineRule="auto"/>
              <w:ind w:left="57" w:right="57"/>
              <w:rPr>
                <w:rFonts w:asciiTheme="minorHAnsi" w:hAnsiTheme="minorHAnsi" w:cstheme="minorHAnsi"/>
                <w:b/>
                <w:i/>
                <w:lang w:val="en-US"/>
              </w:rPr>
            </w:pPr>
            <w:r w:rsidRPr="00655323">
              <w:rPr>
                <w:rFonts w:asciiTheme="minorHAnsi" w:hAnsiTheme="minorHAnsi" w:cstheme="minorHAnsi"/>
                <w:b/>
                <w:i/>
                <w:lang w:val="en-US"/>
              </w:rPr>
              <w:t xml:space="preserve">Type of operation </w:t>
            </w:r>
            <w:r w:rsidRPr="00655323">
              <w:rPr>
                <w:rFonts w:ascii="Calibri" w:eastAsia="Times New Roman" w:hAnsi="Calibri" w:cs="Calibri"/>
                <w:bCs/>
                <w:noProof/>
                <w:color w:val="000000"/>
                <w:lang w:val="en-US"/>
              </w:rPr>
              <w:t>‡</w:t>
            </w:r>
          </w:p>
          <w:p w14:paraId="2E0B1693" w14:textId="77777777" w:rsidR="00DD4852" w:rsidRPr="00655323" w:rsidRDefault="00DD4852" w:rsidP="00621030">
            <w:pPr>
              <w:spacing w:line="480" w:lineRule="auto"/>
              <w:ind w:left="57" w:right="57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 xml:space="preserve">TAVR </w:t>
            </w:r>
          </w:p>
          <w:p w14:paraId="7A6DE0BD" w14:textId="77777777" w:rsidR="00DD4852" w:rsidRPr="00655323" w:rsidRDefault="00DD4852" w:rsidP="00621030">
            <w:pPr>
              <w:spacing w:line="480" w:lineRule="auto"/>
              <w:ind w:left="57" w:right="57"/>
              <w:rPr>
                <w:rFonts w:asciiTheme="minorHAnsi" w:hAnsiTheme="minorHAnsi" w:cstheme="minorHAnsi"/>
                <w:i/>
                <w:lang w:val="en-US"/>
              </w:rPr>
            </w:pPr>
            <w:r w:rsidRPr="00655323">
              <w:rPr>
                <w:rFonts w:asciiTheme="minorHAnsi" w:hAnsiTheme="minorHAnsi" w:cstheme="minorHAnsi"/>
                <w:i/>
                <w:lang w:val="en-US"/>
              </w:rPr>
              <w:t>(ref SAVR procedure)</w:t>
            </w:r>
          </w:p>
        </w:tc>
        <w:tc>
          <w:tcPr>
            <w:tcW w:w="992" w:type="dxa"/>
          </w:tcPr>
          <w:p w14:paraId="64539C9B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 w14:paraId="76ABE083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0.2</w:t>
            </w:r>
          </w:p>
        </w:tc>
        <w:tc>
          <w:tcPr>
            <w:tcW w:w="1984" w:type="dxa"/>
          </w:tcPr>
          <w:p w14:paraId="3AD10B9C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 w14:paraId="00B729A1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0.1-0.8</w:t>
            </w:r>
          </w:p>
        </w:tc>
        <w:tc>
          <w:tcPr>
            <w:tcW w:w="1276" w:type="dxa"/>
          </w:tcPr>
          <w:p w14:paraId="0DC4C3AF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</w:p>
          <w:p w14:paraId="5093BAE9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.020</w:t>
            </w:r>
          </w:p>
        </w:tc>
      </w:tr>
    </w:tbl>
    <w:p w14:paraId="2C74D988" w14:textId="77777777" w:rsidR="00DD4852" w:rsidRPr="00655323" w:rsidRDefault="00DD4852" w:rsidP="00DD4852">
      <w:pPr>
        <w:spacing w:line="480" w:lineRule="auto"/>
        <w:ind w:left="57" w:right="57"/>
        <w:rPr>
          <w:rFonts w:asciiTheme="minorHAnsi" w:eastAsia="Calibri" w:hAnsiTheme="minorHAnsi" w:cstheme="minorHAnsi"/>
          <w:noProof/>
          <w:lang w:val="en-US"/>
        </w:rPr>
      </w:pPr>
      <w:r w:rsidRPr="00655323">
        <w:rPr>
          <w:rFonts w:asciiTheme="minorHAnsi" w:eastAsia="Calibri" w:hAnsiTheme="minorHAnsi" w:cstheme="minorHAnsi"/>
          <w:noProof/>
          <w:lang w:val="en-US"/>
        </w:rPr>
        <w:t>OR: Odds ratio; 95% CI: 95% confidence intervals</w:t>
      </w:r>
    </w:p>
    <w:p w14:paraId="19CA0D67" w14:textId="77777777" w:rsidR="00DD4852" w:rsidRPr="00655323" w:rsidRDefault="00DD4852" w:rsidP="00DD4852">
      <w:pPr>
        <w:spacing w:line="480" w:lineRule="auto"/>
        <w:ind w:left="57" w:right="57"/>
        <w:rPr>
          <w:rFonts w:asciiTheme="minorHAnsi" w:eastAsia="Calibri" w:hAnsiTheme="minorHAnsi" w:cstheme="minorHAnsi"/>
          <w:lang w:val="en-US"/>
        </w:rPr>
      </w:pPr>
      <w:r w:rsidRPr="00655323">
        <w:rPr>
          <w:rFonts w:asciiTheme="minorHAnsi" w:eastAsia="Calibri" w:hAnsiTheme="minorHAnsi" w:cstheme="minorHAnsi"/>
          <w:noProof/>
          <w:lang w:val="en-US"/>
        </w:rPr>
        <w:t>(*) Using the</w:t>
      </w:r>
      <w:r w:rsidRPr="00655323">
        <w:rPr>
          <w:rFonts w:asciiTheme="minorHAnsi" w:eastAsia="Calibri" w:hAnsiTheme="minorHAnsi" w:cstheme="minorHAnsi"/>
          <w:b/>
          <w:noProof/>
          <w:lang w:val="en-US"/>
        </w:rPr>
        <w:t xml:space="preserve"> </w:t>
      </w:r>
      <w:r w:rsidRPr="00655323">
        <w:rPr>
          <w:rFonts w:asciiTheme="minorHAnsi" w:eastAsia="Calibri" w:hAnsiTheme="minorHAnsi" w:cstheme="minorHAnsi"/>
          <w:lang w:val="en-US"/>
        </w:rPr>
        <w:t xml:space="preserve">Mini Mental Status Examination MMSE) </w:t>
      </w:r>
      <w:r w:rsidRPr="00655323">
        <w:rPr>
          <w:rFonts w:asciiTheme="minorHAnsi" w:eastAsia="Calibri" w:hAnsiTheme="minorHAnsi" w:cstheme="minorHAnsi"/>
        </w:rPr>
        <w:fldChar w:fldCharType="begin"/>
      </w:r>
      <w:r w:rsidRPr="00655323">
        <w:rPr>
          <w:rFonts w:asciiTheme="minorHAnsi" w:eastAsia="Calibri" w:hAnsiTheme="minorHAnsi" w:cstheme="minorHAnsi"/>
        </w:rPr>
        <w:instrText xml:space="preserve"> ADDIN EN.CITE &lt;EndNote&gt;&lt;Cite&gt;&lt;Author&gt;Folstein&lt;/Author&gt;&lt;Year&gt;1975&lt;/Year&gt;&lt;RecNum&gt;38&lt;/RecNum&gt;&lt;DisplayText&gt;(38)&lt;/DisplayText&gt;&lt;record&gt;&lt;rec-number&gt;38&lt;/rec-number&gt;&lt;foreign-keys&gt;&lt;key app="EN" db-id="zddwzsdpbradwuedv9mv0r010as00z2avdre" timestamp="1595081590"&gt;38&lt;/key&gt;&lt;/foreign-keys&gt;&lt;ref-type name="Journal Article"&gt;17&lt;/ref-type&gt;&lt;contributors&gt;&lt;authors&gt;&lt;author&gt;Folstein, M. F.&lt;/author&gt;&lt;author&gt;Folstein, S. E.&lt;/author&gt;&lt;author&gt;McHugh, P. R.&lt;/author&gt;&lt;/authors&gt;&lt;/contributors&gt;&lt;titles&gt;&lt;title&gt;&amp;quot;Mini-mental state&amp;quot;. A practical method for grading the cognitive state of patients for the clinician&lt;/title&gt;&lt;secondary-title&gt;J Psychiatr Res&lt;/secondary-title&gt;&lt;/titles&gt;&lt;periodical&gt;&lt;full-title&gt;J Psychiatr Res&lt;/full-title&gt;&lt;/periodical&gt;&lt;pages&gt;189-98&lt;/pages&gt;&lt;volume&gt;12&lt;/volume&gt;&lt;number&gt;3&lt;/number&gt;&lt;edition&gt;1975/11/01&lt;/edition&gt;&lt;keywords&gt;&lt;keyword&gt;Adult&lt;/keyword&gt;&lt;keyword&gt;Affective Symptoms/diagnosis&lt;/keyword&gt;&lt;keyword&gt;Aged&lt;/keyword&gt;&lt;keyword&gt;Bipolar Disorder/diagnosis&lt;/keyword&gt;&lt;keyword&gt;*Cognition&lt;/keyword&gt;&lt;keyword&gt;Cognition Disorders/etiology&lt;/keyword&gt;&lt;keyword&gt;Craniocerebral Trauma/complications&lt;/keyword&gt;&lt;keyword&gt;Dementia/diagnosis&lt;/keyword&gt;&lt;keyword&gt;Depression/diagnosis&lt;/keyword&gt;&lt;keyword&gt;Diagnosis, Differential&lt;/keyword&gt;&lt;keyword&gt;Female&lt;/keyword&gt;&lt;keyword&gt;Humans&lt;/keyword&gt;&lt;keyword&gt;Male&lt;/keyword&gt;&lt;keyword&gt;Mental Disorders/*diagnosis&lt;/keyword&gt;&lt;keyword&gt;*Mental Status Schedule&lt;/keyword&gt;&lt;keyword&gt;Metabolic Diseases/complications&lt;/keyword&gt;&lt;keyword&gt;Middle Aged&lt;/keyword&gt;&lt;keyword&gt;Neurotic Disorders/diagnosis&lt;/keyword&gt;&lt;keyword&gt;*Psychiatric Status Rating Scales&lt;/keyword&gt;&lt;keyword&gt;Schizophrenia/diagnosis&lt;/keyword&gt;&lt;keyword&gt;Substance-Related Disorders/complications&lt;/keyword&gt;&lt;keyword&gt;Time Factors&lt;/keyword&gt;&lt;/keywords&gt;&lt;dates&gt;&lt;year&gt;1975&lt;/year&gt;&lt;pub-dates&gt;&lt;date&gt;Nov&lt;/date&gt;&lt;/pub-dates&gt;&lt;/dates&gt;&lt;isbn&gt;0022-3956 (Print)&amp;#xD;0022-3956 (Linking)&lt;/isbn&gt;&lt;accession-num&gt;1202204&lt;/accession-num&gt;&lt;urls&gt;&lt;related-urls&gt;&lt;url&gt;https://www.ncbi.nlm.nih.gov/pubmed/1202204&lt;/url&gt;&lt;/related-urls&gt;&lt;/urls&gt;&lt;electronic-resource-num&gt;10.1016/0022-3956(75)90026-6&lt;/electronic-resource-num&gt;&lt;/record&gt;&lt;/Cite&gt;&lt;/EndNote&gt;</w:instrText>
      </w:r>
      <w:r w:rsidRPr="00655323">
        <w:rPr>
          <w:rFonts w:asciiTheme="minorHAnsi" w:eastAsia="Calibri" w:hAnsiTheme="minorHAnsi" w:cstheme="minorHAnsi"/>
        </w:rPr>
        <w:fldChar w:fldCharType="separate"/>
      </w:r>
      <w:r w:rsidRPr="00655323">
        <w:rPr>
          <w:rFonts w:asciiTheme="minorHAnsi" w:eastAsia="Calibri" w:hAnsiTheme="minorHAnsi" w:cstheme="minorHAnsi"/>
          <w:noProof/>
        </w:rPr>
        <w:t>(38)</w:t>
      </w:r>
      <w:r w:rsidRPr="00655323">
        <w:rPr>
          <w:rFonts w:asciiTheme="minorHAnsi" w:eastAsia="Calibri" w:hAnsiTheme="minorHAnsi" w:cstheme="minorHAnsi"/>
        </w:rPr>
        <w:fldChar w:fldCharType="end"/>
      </w:r>
      <w:r w:rsidRPr="00655323">
        <w:rPr>
          <w:rFonts w:asciiTheme="minorHAnsi" w:eastAsia="Calibri" w:hAnsiTheme="minorHAnsi" w:cstheme="minorHAnsi"/>
        </w:rPr>
        <w:t xml:space="preserve"> score</w:t>
      </w:r>
      <w:r w:rsidRPr="00655323">
        <w:rPr>
          <w:rFonts w:asciiTheme="minorHAnsi" w:hAnsiTheme="minorHAnsi" w:cstheme="minorHAnsi"/>
          <w:lang w:val="en-US"/>
        </w:rPr>
        <w:t>;</w:t>
      </w:r>
      <w:r w:rsidRPr="00655323">
        <w:rPr>
          <w:rFonts w:asciiTheme="minorHAnsi" w:eastAsia="Calibri" w:hAnsiTheme="minorHAnsi" w:cstheme="minorHAnsi"/>
          <w:lang w:val="en-US"/>
        </w:rPr>
        <w:t xml:space="preserve"> scores range from 0 to 30, with higher score indicating better cognitive performance. </w:t>
      </w:r>
    </w:p>
    <w:p w14:paraId="7770D778" w14:textId="77777777" w:rsidR="00DD4852" w:rsidRPr="00655323" w:rsidRDefault="00DD4852" w:rsidP="00DD4852">
      <w:pPr>
        <w:spacing w:line="480" w:lineRule="auto"/>
        <w:ind w:left="57" w:right="57"/>
        <w:rPr>
          <w:rFonts w:asciiTheme="minorHAnsi" w:eastAsia="Calibri" w:hAnsiTheme="minorHAnsi" w:cstheme="minorHAnsi"/>
          <w:noProof/>
          <w:color w:val="000000"/>
          <w:lang w:val="en-US" w:eastAsia="fr-CH"/>
        </w:rPr>
      </w:pPr>
      <w:r w:rsidRPr="00655323">
        <w:rPr>
          <w:rFonts w:asciiTheme="minorHAnsi" w:eastAsia="Calibri" w:hAnsiTheme="minorHAnsi" w:cstheme="minorHAnsi"/>
          <w:noProof/>
          <w:color w:val="000000"/>
          <w:lang w:val="en-US" w:eastAsia="fr-CH"/>
        </w:rPr>
        <w:t>(†)</w:t>
      </w:r>
      <w:r w:rsidRPr="00655323">
        <w:rPr>
          <w:rFonts w:asciiTheme="minorHAnsi" w:eastAsia="Calibri" w:hAnsiTheme="minorHAnsi" w:cstheme="minorHAnsi"/>
          <w:b/>
          <w:noProof/>
          <w:color w:val="000000"/>
          <w:lang w:val="en-US" w:eastAsia="fr-CH"/>
        </w:rPr>
        <w:t xml:space="preserve"> </w:t>
      </w:r>
      <w:r w:rsidRPr="00655323">
        <w:rPr>
          <w:rFonts w:asciiTheme="minorHAnsi" w:eastAsia="Calibri" w:hAnsiTheme="minorHAnsi" w:cstheme="minorHAnsi"/>
          <w:noProof/>
          <w:color w:val="000000"/>
          <w:lang w:val="en-US" w:eastAsia="fr-CH"/>
        </w:rPr>
        <w:t>STS risk score = Society of Thoracic Surgeons</w:t>
      </w:r>
      <w:r w:rsidRPr="00655323">
        <w:rPr>
          <w:rFonts w:asciiTheme="minorHAnsi" w:eastAsia="Calibri" w:hAnsiTheme="minorHAnsi" w:cstheme="minorHAnsi"/>
          <w:b/>
          <w:noProof/>
          <w:color w:val="000000"/>
          <w:lang w:val="en-US" w:eastAsia="fr-CH"/>
        </w:rPr>
        <w:t xml:space="preserve"> </w:t>
      </w:r>
      <w:r w:rsidRPr="00655323">
        <w:rPr>
          <w:rFonts w:asciiTheme="minorHAnsi" w:eastAsia="Calibri" w:hAnsiTheme="minorHAnsi" w:cstheme="minorHAnsi"/>
          <w:noProof/>
          <w:color w:val="000000"/>
          <w:lang w:val="en-US" w:eastAsia="fr-CH"/>
        </w:rPr>
        <w:t xml:space="preserve">risk score in cardiac surgery </w:t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  <w:fldChar w:fldCharType="begin">
          <w:fldData xml:space="preserve">PEVuZE5vdGU+PENpdGU+PEF1dGhvcj5PJmFwb3M7QnJpZW48L0F1dGhvcj48WWVhcj4yMDA5PC9Z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</w:fldData>
        </w:fldChar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  <w:instrText xml:space="preserve"> ADDIN EN.CITE </w:instrText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  <w:fldChar w:fldCharType="begin">
          <w:fldData xml:space="preserve">PEVuZE5vdGU+PENpdGU+PEF1dGhvcj5PJmFwb3M7QnJpZW48L0F1dGhvcj48WWVhcj4yMDA5PC9Z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</w:fldData>
        </w:fldChar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  <w:instrText xml:space="preserve"> ADDIN EN.CITE.DATA </w:instrText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  <w:fldChar w:fldCharType="end"/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  <w:fldChar w:fldCharType="separate"/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  <w:t>(43)</w:t>
      </w:r>
      <w:r w:rsidRPr="00655323">
        <w:rPr>
          <w:rFonts w:asciiTheme="minorHAnsi" w:eastAsia="Calibri" w:hAnsiTheme="minorHAnsi" w:cstheme="minorHAnsi"/>
          <w:noProof/>
          <w:color w:val="000000"/>
          <w:lang w:eastAsia="fr-CH"/>
        </w:rPr>
        <w:fldChar w:fldCharType="end"/>
      </w:r>
      <w:r w:rsidRPr="00655323">
        <w:rPr>
          <w:rFonts w:asciiTheme="minorHAnsi" w:eastAsia="Calibri" w:hAnsiTheme="minorHAnsi" w:cstheme="minorHAnsi"/>
          <w:noProof/>
          <w:color w:val="000000"/>
          <w:lang w:val="en-US" w:eastAsia="fr-CH"/>
        </w:rPr>
        <w:t xml:space="preserve"> : </w:t>
      </w:r>
    </w:p>
    <w:p w14:paraId="3F07197E" w14:textId="77777777" w:rsidR="00DD4852" w:rsidRPr="00655323" w:rsidRDefault="00DD4852" w:rsidP="00DD4852">
      <w:pPr>
        <w:spacing w:line="480" w:lineRule="auto"/>
        <w:ind w:left="57" w:right="57"/>
        <w:rPr>
          <w:rFonts w:asciiTheme="minorHAnsi" w:eastAsia="Calibri" w:hAnsiTheme="minorHAnsi" w:cstheme="minorHAnsi"/>
          <w:noProof/>
          <w:color w:val="000000"/>
          <w:lang w:val="en-US" w:eastAsia="fr-CH"/>
        </w:rPr>
      </w:pPr>
      <w:r w:rsidRPr="00655323">
        <w:rPr>
          <w:rFonts w:asciiTheme="minorHAnsi" w:eastAsia="Calibri" w:hAnsiTheme="minorHAnsi" w:cstheme="minorHAnsi"/>
          <w:noProof/>
          <w:color w:val="000000"/>
          <w:lang w:val="en-US" w:eastAsia="fr-CH"/>
        </w:rPr>
        <w:t>"Low risk" if score ≤3; "Intermediate risk" if score &gt;3 and ≤8; "High risk" if score &gt;8</w:t>
      </w:r>
    </w:p>
    <w:p w14:paraId="0E69DD34" w14:textId="77777777" w:rsidR="00DD4852" w:rsidRPr="00655323" w:rsidRDefault="00DD4852" w:rsidP="00DD4852">
      <w:pPr>
        <w:spacing w:line="480" w:lineRule="auto"/>
        <w:ind w:left="57" w:right="57"/>
        <w:rPr>
          <w:rFonts w:asciiTheme="minorHAnsi" w:eastAsia="Calibri" w:hAnsiTheme="minorHAnsi" w:cstheme="minorHAnsi"/>
          <w:b/>
          <w:noProof/>
          <w:color w:val="000000"/>
          <w:lang w:val="en-US" w:eastAsia="fr-CH"/>
        </w:rPr>
      </w:pPr>
      <w:r w:rsidRPr="00655323">
        <w:rPr>
          <w:rFonts w:asciiTheme="minorHAnsi" w:eastAsia="Calibri" w:hAnsiTheme="minorHAnsi" w:cstheme="minorHAnsi"/>
          <w:noProof/>
          <w:color w:val="000000"/>
          <w:lang w:val="en-US" w:eastAsia="fr-CH"/>
        </w:rPr>
        <w:t>(</w:t>
      </w:r>
      <w:r w:rsidRPr="00655323">
        <w:rPr>
          <w:rFonts w:ascii="Calibri" w:eastAsia="Times New Roman" w:hAnsi="Calibri" w:cs="Calibri"/>
          <w:bCs/>
          <w:noProof/>
          <w:color w:val="000000"/>
          <w:lang w:val="en-US"/>
        </w:rPr>
        <w:t>‡) TAVR: Transthoracic aortic valve replacement; SAVR: Surgical aortic valve replacement</w:t>
      </w:r>
    </w:p>
    <w:p w14:paraId="0E57D2FC" w14:textId="77777777" w:rsidR="00DD4852" w:rsidRPr="00655323" w:rsidRDefault="00DD4852" w:rsidP="00DD4852">
      <w:pPr>
        <w:spacing w:line="480" w:lineRule="auto"/>
        <w:ind w:left="57" w:right="57"/>
        <w:rPr>
          <w:rFonts w:asciiTheme="minorHAnsi" w:eastAsia="Calibri" w:hAnsiTheme="minorHAnsi" w:cstheme="minorHAnsi"/>
          <w:noProof/>
          <w:lang w:val="en-US" w:eastAsia="fr-CH"/>
        </w:rPr>
      </w:pPr>
    </w:p>
    <w:p w14:paraId="5A45BEC6" w14:textId="77777777" w:rsidR="00DD4852" w:rsidRPr="00655323" w:rsidRDefault="00DD4852" w:rsidP="00DD4852">
      <w:pPr>
        <w:pStyle w:val="NoSpacing"/>
        <w:ind w:left="57" w:right="57"/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</w:pPr>
    </w:p>
    <w:p w14:paraId="40B498BB" w14:textId="77777777" w:rsidR="00DD4852" w:rsidRPr="00655323" w:rsidRDefault="00DD4852" w:rsidP="00DD4852">
      <w:pPr>
        <w:pStyle w:val="NoSpacing"/>
        <w:ind w:left="57" w:right="57"/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</w:pPr>
    </w:p>
    <w:p w14:paraId="6B541FDD" w14:textId="77777777" w:rsidR="00DD4852" w:rsidRPr="00655323" w:rsidRDefault="00DD4852" w:rsidP="00DD4852">
      <w:pPr>
        <w:pStyle w:val="NoSpacing"/>
        <w:ind w:left="57" w:right="57"/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</w:pPr>
    </w:p>
    <w:p w14:paraId="15574AA3" w14:textId="77777777" w:rsidR="00DD4852" w:rsidRPr="00655323" w:rsidRDefault="00DD4852" w:rsidP="00DD4852">
      <w:pPr>
        <w:rPr>
          <w:rFonts w:asciiTheme="minorHAnsi" w:eastAsia="Calibri" w:hAnsiTheme="minorHAnsi" w:cstheme="minorHAnsi"/>
          <w:b/>
          <w:u w:val="single"/>
          <w:lang w:val="en-US" w:eastAsia="en-US"/>
        </w:rPr>
      </w:pPr>
      <w:r w:rsidRPr="00655323">
        <w:rPr>
          <w:rFonts w:asciiTheme="minorHAnsi" w:hAnsiTheme="minorHAnsi" w:cstheme="minorHAnsi"/>
          <w:b/>
          <w:u w:val="single"/>
        </w:rPr>
        <w:br w:type="page"/>
      </w:r>
    </w:p>
    <w:p w14:paraId="50D711AD" w14:textId="77777777" w:rsidR="00DD4852" w:rsidRPr="00655323" w:rsidRDefault="00DD4852" w:rsidP="00DD4852">
      <w:pPr>
        <w:pStyle w:val="NoSpacing"/>
        <w:spacing w:line="480" w:lineRule="auto"/>
        <w:ind w:left="57" w:right="57"/>
        <w:rPr>
          <w:rFonts w:asciiTheme="minorHAnsi" w:hAnsiTheme="minorHAnsi" w:cstheme="minorHAnsi"/>
          <w:b/>
          <w:sz w:val="24"/>
          <w:szCs w:val="24"/>
          <w:lang w:val="en-US"/>
        </w:rPr>
      </w:pPr>
      <w:r w:rsidRPr="00655323">
        <w:rPr>
          <w:rFonts w:asciiTheme="minorHAnsi" w:hAnsiTheme="minorHAnsi" w:cstheme="minorHAnsi"/>
          <w:b/>
          <w:sz w:val="24"/>
          <w:szCs w:val="24"/>
          <w:lang w:val="en-US"/>
        </w:rPr>
        <w:lastRenderedPageBreak/>
        <w:t>APPENDIX B.</w:t>
      </w:r>
    </w:p>
    <w:p w14:paraId="65CDF81B" w14:textId="77777777" w:rsidR="00DD4852" w:rsidRPr="00655323" w:rsidRDefault="00DD4852" w:rsidP="00DD4852">
      <w:pPr>
        <w:pStyle w:val="NoSpacing"/>
        <w:spacing w:line="480" w:lineRule="auto"/>
        <w:ind w:left="57" w:right="57"/>
        <w:rPr>
          <w:rFonts w:asciiTheme="minorHAnsi" w:hAnsiTheme="minorHAnsi" w:cstheme="minorHAnsi"/>
          <w:sz w:val="24"/>
          <w:szCs w:val="24"/>
          <w:lang w:val="en-US"/>
        </w:rPr>
      </w:pPr>
      <w:r w:rsidRPr="00655323">
        <w:rPr>
          <w:rFonts w:asciiTheme="minorHAnsi" w:hAnsiTheme="minorHAnsi" w:cstheme="minorHAnsi"/>
          <w:b/>
          <w:sz w:val="24"/>
          <w:szCs w:val="24"/>
          <w:lang w:val="en-US"/>
        </w:rPr>
        <w:t xml:space="preserve">Table B. </w:t>
      </w:r>
      <w:r w:rsidRPr="00655323">
        <w:rPr>
          <w:rFonts w:asciiTheme="minorHAnsi" w:hAnsiTheme="minorHAnsi" w:cstheme="minorHAnsi"/>
          <w:sz w:val="24"/>
          <w:szCs w:val="24"/>
          <w:lang w:val="en-US"/>
        </w:rPr>
        <w:t>Results from the multivariable analysis predicting cognitive performance at the Mini Mental Status Exam (MMSE) in participants who completed the 3-month follow-up exam (N=77)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1418"/>
        <w:gridCol w:w="1417"/>
        <w:gridCol w:w="1134"/>
      </w:tblGrid>
      <w:tr w:rsidR="00DD4852" w:rsidRPr="00655323" w14:paraId="5D301A4B" w14:textId="77777777" w:rsidTr="00621030">
        <w:tc>
          <w:tcPr>
            <w:tcW w:w="4673" w:type="dxa"/>
          </w:tcPr>
          <w:p w14:paraId="29B410FB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Characteristics</w:t>
            </w:r>
          </w:p>
        </w:tc>
        <w:tc>
          <w:tcPr>
            <w:tcW w:w="1418" w:type="dxa"/>
          </w:tcPr>
          <w:p w14:paraId="7BFC399B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Coefficient*</w:t>
            </w:r>
          </w:p>
        </w:tc>
        <w:tc>
          <w:tcPr>
            <w:tcW w:w="1417" w:type="dxa"/>
          </w:tcPr>
          <w:p w14:paraId="163AFA01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95% CI</w:t>
            </w:r>
          </w:p>
        </w:tc>
        <w:tc>
          <w:tcPr>
            <w:tcW w:w="1134" w:type="dxa"/>
          </w:tcPr>
          <w:p w14:paraId="6F95B43A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p-value</w:t>
            </w:r>
          </w:p>
        </w:tc>
      </w:tr>
      <w:tr w:rsidR="00DD4852" w:rsidRPr="00655323" w14:paraId="2E184048" w14:textId="77777777" w:rsidTr="00621030">
        <w:tc>
          <w:tcPr>
            <w:tcW w:w="4673" w:type="dxa"/>
          </w:tcPr>
          <w:p w14:paraId="196D8797" w14:textId="77777777" w:rsidR="00DD4852" w:rsidRPr="00655323" w:rsidRDefault="00DD4852" w:rsidP="00621030">
            <w:pPr>
              <w:spacing w:line="480" w:lineRule="auto"/>
              <w:ind w:left="57" w:right="57"/>
              <w:rPr>
                <w:rFonts w:asciiTheme="minorHAnsi" w:eastAsia="Times New Roman" w:hAnsiTheme="minorHAnsi" w:cstheme="minorHAnsi"/>
                <w:b/>
                <w:bCs/>
                <w:i/>
                <w:noProof/>
                <w:color w:val="000000"/>
                <w:lang w:val="en-US"/>
              </w:rPr>
            </w:pPr>
            <w:r w:rsidRPr="00655323">
              <w:rPr>
                <w:rFonts w:asciiTheme="minorHAnsi" w:eastAsia="Calibri" w:hAnsiTheme="minorHAnsi" w:cstheme="minorHAnsi"/>
                <w:b/>
                <w:i/>
                <w:lang w:val="en-US"/>
              </w:rPr>
              <w:t>Post-operative delirium</w:t>
            </w:r>
          </w:p>
        </w:tc>
        <w:tc>
          <w:tcPr>
            <w:tcW w:w="1418" w:type="dxa"/>
          </w:tcPr>
          <w:p w14:paraId="19F76541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-1.11</w:t>
            </w:r>
          </w:p>
        </w:tc>
        <w:tc>
          <w:tcPr>
            <w:tcW w:w="1417" w:type="dxa"/>
          </w:tcPr>
          <w:p w14:paraId="42F42756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-3.03-0.80</w:t>
            </w:r>
          </w:p>
        </w:tc>
        <w:tc>
          <w:tcPr>
            <w:tcW w:w="1134" w:type="dxa"/>
          </w:tcPr>
          <w:p w14:paraId="2B95D4FA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.248</w:t>
            </w:r>
          </w:p>
        </w:tc>
      </w:tr>
      <w:tr w:rsidR="00DD4852" w:rsidRPr="00655323" w14:paraId="5D8BC4CD" w14:textId="77777777" w:rsidTr="00621030">
        <w:tc>
          <w:tcPr>
            <w:tcW w:w="4673" w:type="dxa"/>
          </w:tcPr>
          <w:p w14:paraId="7366CC3D" w14:textId="77777777" w:rsidR="00DD4852" w:rsidRPr="00655323" w:rsidRDefault="00DD4852" w:rsidP="00621030">
            <w:pPr>
              <w:spacing w:line="480" w:lineRule="auto"/>
              <w:ind w:left="57" w:right="57"/>
              <w:rPr>
                <w:rFonts w:asciiTheme="minorHAnsi" w:eastAsia="Times New Roman" w:hAnsiTheme="minorHAnsi" w:cstheme="minorHAnsi"/>
                <w:bCs/>
                <w:i/>
                <w:noProof/>
                <w:color w:val="000000"/>
                <w:lang w:val="en-US"/>
              </w:rPr>
            </w:pPr>
            <w:r w:rsidRPr="00655323">
              <w:rPr>
                <w:rFonts w:asciiTheme="minorHAnsi" w:hAnsiTheme="minorHAnsi" w:cstheme="minorHAnsi"/>
                <w:b/>
                <w:i/>
                <w:lang w:val="en-US"/>
              </w:rPr>
              <w:t>Cognitive performance at baseline</w:t>
            </w:r>
            <w:r w:rsidRPr="00655323">
              <w:rPr>
                <w:rFonts w:asciiTheme="minorHAnsi" w:eastAsia="Times New Roman" w:hAnsiTheme="minorHAnsi" w:cstheme="minorHAnsi"/>
                <w:bCs/>
                <w:noProof/>
                <w:color w:val="000000"/>
              </w:rPr>
              <w:t xml:space="preserve"> </w:t>
            </w:r>
            <w:r w:rsidRPr="00655323">
              <w:rPr>
                <w:rFonts w:asciiTheme="minorHAnsi" w:eastAsia="Calibri" w:hAnsiTheme="minorHAnsi" w:cstheme="minorHAnsi"/>
                <w:noProof/>
                <w:color w:val="000000"/>
                <w:lang w:val="en-US" w:eastAsia="fr-CH"/>
              </w:rPr>
              <w:t>†</w:t>
            </w:r>
          </w:p>
        </w:tc>
        <w:tc>
          <w:tcPr>
            <w:tcW w:w="1418" w:type="dxa"/>
          </w:tcPr>
          <w:p w14:paraId="49B6484E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0.51</w:t>
            </w:r>
          </w:p>
        </w:tc>
        <w:tc>
          <w:tcPr>
            <w:tcW w:w="1417" w:type="dxa"/>
          </w:tcPr>
          <w:p w14:paraId="7100B3D2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0.29-0.74</w:t>
            </w:r>
          </w:p>
        </w:tc>
        <w:tc>
          <w:tcPr>
            <w:tcW w:w="1134" w:type="dxa"/>
          </w:tcPr>
          <w:p w14:paraId="42FF772D" w14:textId="77777777" w:rsidR="00DD4852" w:rsidRPr="00655323" w:rsidRDefault="00DD4852" w:rsidP="00621030">
            <w:pPr>
              <w:spacing w:line="480" w:lineRule="auto"/>
              <w:ind w:left="57" w:right="57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655323">
              <w:rPr>
                <w:rFonts w:asciiTheme="minorHAnsi" w:hAnsiTheme="minorHAnsi" w:cstheme="minorHAnsi"/>
                <w:lang w:val="en-US"/>
              </w:rPr>
              <w:t>&lt;.001</w:t>
            </w:r>
          </w:p>
        </w:tc>
      </w:tr>
    </w:tbl>
    <w:p w14:paraId="5609C2F0" w14:textId="77777777" w:rsidR="00DD4852" w:rsidRPr="00655323" w:rsidRDefault="00DD4852" w:rsidP="00DD4852">
      <w:pPr>
        <w:spacing w:line="480" w:lineRule="auto"/>
        <w:ind w:left="57" w:right="57"/>
        <w:rPr>
          <w:rFonts w:asciiTheme="minorHAnsi" w:hAnsiTheme="minorHAnsi" w:cstheme="minorHAnsi"/>
          <w:lang w:val="en-US"/>
        </w:rPr>
      </w:pPr>
    </w:p>
    <w:p w14:paraId="4F88628E" w14:textId="77777777" w:rsidR="00DD4852" w:rsidRPr="00655323" w:rsidRDefault="00DD4852" w:rsidP="00DD4852">
      <w:pPr>
        <w:spacing w:line="480" w:lineRule="auto"/>
        <w:ind w:left="57" w:right="57"/>
        <w:rPr>
          <w:rFonts w:asciiTheme="minorHAnsi" w:hAnsiTheme="minorHAnsi" w:cstheme="minorHAnsi"/>
          <w:lang w:val="en-US"/>
        </w:rPr>
      </w:pPr>
      <w:r w:rsidRPr="00655323">
        <w:rPr>
          <w:rFonts w:asciiTheme="minorHAnsi" w:hAnsiTheme="minorHAnsi" w:cstheme="minorHAnsi"/>
          <w:lang w:val="en-US"/>
        </w:rPr>
        <w:t>(*) Coefficient from multivariable linear regression analysis</w:t>
      </w:r>
    </w:p>
    <w:p w14:paraId="3E39B49B" w14:textId="77777777" w:rsidR="00DD4852" w:rsidRPr="00B83AA3" w:rsidRDefault="00DD4852" w:rsidP="00DD4852">
      <w:pPr>
        <w:pStyle w:val="THESE"/>
        <w:rPr>
          <w:rFonts w:asciiTheme="minorHAnsi" w:hAnsiTheme="minorHAnsi" w:cstheme="minorHAnsi"/>
          <w:lang w:val="en-US"/>
        </w:rPr>
      </w:pPr>
      <w:r w:rsidRPr="00655323">
        <w:rPr>
          <w:rFonts w:asciiTheme="minorHAnsi" w:eastAsia="Calibri" w:hAnsiTheme="minorHAnsi" w:cstheme="minorHAnsi"/>
          <w:noProof/>
          <w:color w:val="000000"/>
          <w:lang w:val="en-US" w:eastAsia="fr-CH"/>
        </w:rPr>
        <w:t>(†) Cognitive performance at the Mini Mental Status Exam (MMSE) at initial assessment prior to intervention</w:t>
      </w:r>
    </w:p>
    <w:p w14:paraId="46D2820A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3264BA"/>
    <w:multiLevelType w:val="hybridMultilevel"/>
    <w:tmpl w:val="418263E8"/>
    <w:lvl w:ilvl="0" w:tplc="10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852"/>
    <w:rsid w:val="00114675"/>
    <w:rsid w:val="002B53FA"/>
    <w:rsid w:val="00A340D3"/>
    <w:rsid w:val="00CB39D0"/>
    <w:rsid w:val="00DD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10B878"/>
  <w15:chartTrackingRefBased/>
  <w15:docId w15:val="{5125C684-65C6-6D48-B517-03CD9A234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4852"/>
    <w:rPr>
      <w:rFonts w:ascii="Cambria" w:eastAsia="MS Mincho" w:hAnsi="Cambria" w:cs="Times New Roman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HESE">
    <w:name w:val="THESE"/>
    <w:basedOn w:val="Normal"/>
    <w:qFormat/>
    <w:rsid w:val="00DD4852"/>
    <w:pPr>
      <w:tabs>
        <w:tab w:val="left" w:pos="567"/>
        <w:tab w:val="left" w:pos="1134"/>
        <w:tab w:val="left" w:pos="2268"/>
        <w:tab w:val="left" w:pos="3402"/>
        <w:tab w:val="left" w:pos="5670"/>
      </w:tabs>
      <w:spacing w:line="480" w:lineRule="auto"/>
    </w:pPr>
    <w:rPr>
      <w:rFonts w:ascii="Arial" w:hAnsi="Arial"/>
      <w:lang w:val="fr-FR"/>
    </w:rPr>
  </w:style>
  <w:style w:type="paragraph" w:styleId="NoSpacing">
    <w:name w:val="No Spacing"/>
    <w:link w:val="NoSpacingChar"/>
    <w:uiPriority w:val="1"/>
    <w:qFormat/>
    <w:rsid w:val="00DD4852"/>
    <w:rPr>
      <w:rFonts w:ascii="Arial" w:eastAsia="Calibri" w:hAnsi="Arial" w:cs="Times New Roman"/>
      <w:sz w:val="20"/>
      <w:szCs w:val="22"/>
      <w:lang w:val="fr-CH"/>
    </w:rPr>
  </w:style>
  <w:style w:type="paragraph" w:styleId="ListParagraph">
    <w:name w:val="List Paragraph"/>
    <w:basedOn w:val="Normal"/>
    <w:uiPriority w:val="34"/>
    <w:qFormat/>
    <w:rsid w:val="00DD485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fr-CH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D4852"/>
    <w:rPr>
      <w:rFonts w:ascii="Arial" w:eastAsia="Calibri" w:hAnsi="Arial" w:cs="Times New Roman"/>
      <w:sz w:val="20"/>
      <w:szCs w:val="22"/>
      <w:lang w:val="fr-CH"/>
    </w:rPr>
  </w:style>
  <w:style w:type="table" w:styleId="TableGrid">
    <w:name w:val="Table Grid"/>
    <w:basedOn w:val="TableNormal"/>
    <w:uiPriority w:val="59"/>
    <w:rsid w:val="00DD4852"/>
    <w:rPr>
      <w:rFonts w:ascii="Arial" w:hAnsi="Arial"/>
      <w:sz w:val="2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530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2020-11-05T21:29:00Z</dcterms:created>
  <dcterms:modified xsi:type="dcterms:W3CDTF">2020-11-05T21:29:00Z</dcterms:modified>
</cp:coreProperties>
</file>