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B8F124" w14:textId="28FD24D6" w:rsidR="00BF0F5D" w:rsidRPr="002E4903" w:rsidRDefault="00BF0F5D" w:rsidP="00BF0F5D">
      <w:pPr>
        <w:pStyle w:val="a3"/>
        <w:wordWrap/>
        <w:adjustRightInd w:val="0"/>
        <w:snapToGrid w:val="0"/>
        <w:rPr>
          <w:rFonts w:ascii="Times New Roman" w:hAnsi="Times New Roman" w:cs="Times New Roman"/>
          <w:sz w:val="24"/>
        </w:rPr>
      </w:pPr>
      <w:r w:rsidRPr="002E4903">
        <w:rPr>
          <w:rFonts w:ascii="Times New Roman" w:hAnsi="Times New Roman" w:cs="Times New Roman"/>
          <w:b/>
          <w:sz w:val="24"/>
        </w:rPr>
        <w:t xml:space="preserve">Supplementary Table </w:t>
      </w:r>
      <w:r w:rsidR="0007623E">
        <w:rPr>
          <w:rFonts w:ascii="Times New Roman" w:hAnsi="Times New Roman" w:cs="Times New Roman"/>
          <w:b/>
          <w:sz w:val="24"/>
        </w:rPr>
        <w:t>4</w:t>
      </w:r>
      <w:r w:rsidRPr="002E4903">
        <w:rPr>
          <w:rFonts w:ascii="Times New Roman" w:hAnsi="Times New Roman" w:cs="Times New Roman"/>
          <w:sz w:val="24"/>
        </w:rPr>
        <w:t>. Combined genetic effects of eleven CHB susceptible loci</w:t>
      </w:r>
    </w:p>
    <w:tbl>
      <w:tblPr>
        <w:tblW w:w="0" w:type="auto"/>
        <w:tblInd w:w="99" w:type="dxa"/>
        <w:tblLayout w:type="fixed"/>
        <w:tblCellMar>
          <w:top w:w="15" w:type="dxa"/>
          <w:left w:w="99" w:type="dxa"/>
          <w:bottom w:w="15" w:type="dxa"/>
          <w:right w:w="99" w:type="dxa"/>
        </w:tblCellMar>
        <w:tblLook w:val="04A0" w:firstRow="1" w:lastRow="0" w:firstColumn="1" w:lastColumn="0" w:noHBand="0" w:noVBand="1"/>
      </w:tblPr>
      <w:tblGrid>
        <w:gridCol w:w="1531"/>
        <w:gridCol w:w="1502"/>
        <w:gridCol w:w="1503"/>
        <w:gridCol w:w="1701"/>
        <w:gridCol w:w="1276"/>
      </w:tblGrid>
      <w:tr w:rsidR="00BF0F5D" w:rsidRPr="002E4903" w14:paraId="4DCEDB11" w14:textId="77777777" w:rsidTr="00564B5C">
        <w:trPr>
          <w:trHeight w:val="510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07996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Risk score range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955F3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Number of subjects (%)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727412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proofErr w:type="gramStart"/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OR(</w:t>
            </w:r>
            <w:proofErr w:type="gramEnd"/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95%CI)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4DBC2DA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i/>
                <w:kern w:val="0"/>
                <w:szCs w:val="20"/>
              </w:rPr>
              <w:t>P</w:t>
            </w: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-value*</w:t>
            </w:r>
          </w:p>
        </w:tc>
      </w:tr>
      <w:tr w:rsidR="00BF0F5D" w:rsidRPr="002E4903" w14:paraId="5905F5FC" w14:textId="77777777" w:rsidTr="00564B5C">
        <w:trPr>
          <w:trHeight w:val="454"/>
        </w:trPr>
        <w:tc>
          <w:tcPr>
            <w:tcW w:w="153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B70C05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054E46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CHB</w:t>
            </w:r>
          </w:p>
        </w:tc>
        <w:tc>
          <w:tcPr>
            <w:tcW w:w="15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CBDD74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PC</w:t>
            </w: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FB52EE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9393F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BF0F5D" w:rsidRPr="002E4903" w14:paraId="50488D54" w14:textId="77777777" w:rsidTr="00564B5C">
        <w:trPr>
          <w:trHeight w:val="346"/>
        </w:trPr>
        <w:tc>
          <w:tcPr>
            <w:tcW w:w="15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BAA50E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맑은 고딕" w:eastAsia="맑은 고딕" w:hAnsi="맑은 고딕" w:cs="Times New Roman"/>
                <w:kern w:val="0"/>
                <w:szCs w:val="20"/>
              </w:rPr>
              <w:t>≤</w:t>
            </w: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7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5AE221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6 (0.63%)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A1CFE0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25 (3.29%)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B08D95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0.17 (0.06-0.42)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34525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1.00×10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-4</w:t>
            </w:r>
          </w:p>
        </w:tc>
      </w:tr>
      <w:tr w:rsidR="00BF0F5D" w:rsidRPr="002E4903" w14:paraId="1292A8E1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62BDBD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7 - 8.4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5B68F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38 (3.98%)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093696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103 (13.53%)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7FD98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0.26 (0.17-0.39)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C9035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2.31×10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-10</w:t>
            </w:r>
          </w:p>
        </w:tc>
      </w:tr>
      <w:tr w:rsidR="00BF0F5D" w:rsidRPr="002E4903" w14:paraId="517E9074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58C05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8.4 - 9.8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B94BD9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128 (13.40%)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9F87DF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206 (27.07%)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C26C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0.44 (0.33-0.58)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D8F6BD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1.94×10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-8</w:t>
            </w:r>
          </w:p>
        </w:tc>
      </w:tr>
      <w:tr w:rsidR="00BF0F5D" w:rsidRPr="002E4903" w14:paraId="70B92046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7890E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9.8 - 11.2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5CA552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290 (30.37%)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3F10B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207 (27.20%)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E71BCE2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819F8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-</w:t>
            </w:r>
          </w:p>
        </w:tc>
      </w:tr>
      <w:tr w:rsidR="00BF0F5D" w:rsidRPr="002E4903" w14:paraId="674C50FF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180DE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11.2 - 12.6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D9FCC1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249 (26.07%)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26DE7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130 (17.08%)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FEFF14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1.36 (1.03-1.80)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C52A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2.70×10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-2</w:t>
            </w:r>
          </w:p>
        </w:tc>
      </w:tr>
      <w:tr w:rsidR="00BF0F5D" w:rsidRPr="002E4903" w14:paraId="3BB27659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CC2F89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12.6 - 14</w:t>
            </w:r>
          </w:p>
        </w:tc>
        <w:tc>
          <w:tcPr>
            <w:tcW w:w="15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488000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148 (15.50%)</w:t>
            </w:r>
          </w:p>
        </w:tc>
        <w:tc>
          <w:tcPr>
            <w:tcW w:w="150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6342C3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70 (9.20%)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05069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1.50 (1.07-2.11)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DB6B5C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1.62×10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-2</w:t>
            </w:r>
          </w:p>
        </w:tc>
      </w:tr>
      <w:tr w:rsidR="00BF0F5D" w:rsidRPr="002E4903" w14:paraId="2B2BBF67" w14:textId="77777777" w:rsidTr="00564B5C">
        <w:trPr>
          <w:trHeight w:val="346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8730A93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&gt; 14</w:t>
            </w:r>
          </w:p>
        </w:tc>
        <w:tc>
          <w:tcPr>
            <w:tcW w:w="15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06985DE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96 (10.05%)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B414EA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20 (2.63%)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373D8BA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kern w:val="0"/>
                <w:szCs w:val="20"/>
              </w:rPr>
              <w:t>3.42 (2.05-5.72)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E4E414B" w14:textId="77777777" w:rsidR="00BF0F5D" w:rsidRPr="002E4903" w:rsidRDefault="00BF0F5D" w:rsidP="00564B5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</w:pP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</w:rPr>
              <w:t>2.62×10</w:t>
            </w:r>
            <w:r w:rsidRPr="002E4903">
              <w:rPr>
                <w:rFonts w:ascii="Times New Roman" w:eastAsia="맑은 고딕" w:hAnsi="Times New Roman" w:cs="Times New Roman"/>
                <w:b/>
                <w:bCs/>
                <w:kern w:val="0"/>
                <w:szCs w:val="20"/>
                <w:vertAlign w:val="superscript"/>
              </w:rPr>
              <w:t>-6</w:t>
            </w:r>
          </w:p>
        </w:tc>
      </w:tr>
    </w:tbl>
    <w:p w14:paraId="485A8E23" w14:textId="77777777" w:rsidR="00BF0F5D" w:rsidRPr="00DA359F" w:rsidRDefault="00BF0F5D" w:rsidP="00BF0F5D">
      <w:pPr>
        <w:pStyle w:val="a3"/>
        <w:rPr>
          <w:rFonts w:ascii="Times New Roman" w:hAnsi="Times New Roman"/>
          <w:kern w:val="0"/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>*</w:t>
      </w:r>
      <w:r w:rsidRPr="00DA359F">
        <w:rPr>
          <w:rFonts w:ascii="Times New Roman" w:hAnsi="Times New Roman"/>
          <w:i/>
          <w:kern w:val="0"/>
          <w:sz w:val="16"/>
          <w:szCs w:val="16"/>
        </w:rPr>
        <w:t>P</w:t>
      </w:r>
      <w:r w:rsidRPr="00DA359F">
        <w:rPr>
          <w:rFonts w:ascii="Times New Roman" w:hAnsi="Times New Roman"/>
          <w:kern w:val="0"/>
          <w:sz w:val="16"/>
          <w:szCs w:val="16"/>
        </w:rPr>
        <w:t xml:space="preserve">-value of logistic 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 xml:space="preserve">regression </w:t>
      </w:r>
      <w:r w:rsidRPr="00DA359F">
        <w:rPr>
          <w:rFonts w:ascii="Times New Roman" w:hAnsi="Times New Roman"/>
          <w:kern w:val="0"/>
          <w:sz w:val="16"/>
          <w:szCs w:val="16"/>
        </w:rPr>
        <w:t>analysis by adjusting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 xml:space="preserve"> for</w:t>
      </w:r>
      <w:r w:rsidRPr="00DA359F">
        <w:rPr>
          <w:rFonts w:ascii="Times New Roman" w:hAnsi="Times New Roman"/>
          <w:kern w:val="0"/>
          <w:sz w:val="16"/>
          <w:szCs w:val="16"/>
        </w:rPr>
        <w:t xml:space="preserve"> sex 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 xml:space="preserve">and age </w:t>
      </w:r>
      <w:r w:rsidRPr="00DA359F">
        <w:rPr>
          <w:rFonts w:ascii="Times New Roman" w:hAnsi="Times New Roman"/>
          <w:kern w:val="0"/>
          <w:sz w:val="16"/>
          <w:szCs w:val="16"/>
        </w:rPr>
        <w:t>as covariate</w:t>
      </w:r>
      <w:r w:rsidRPr="00DA359F">
        <w:rPr>
          <w:rFonts w:ascii="Times New Roman" w:hAnsi="Times New Roman" w:hint="eastAsia"/>
          <w:kern w:val="0"/>
          <w:sz w:val="16"/>
          <w:szCs w:val="16"/>
        </w:rPr>
        <w:t>s.</w:t>
      </w:r>
    </w:p>
    <w:p w14:paraId="550BA5A3" w14:textId="77777777" w:rsidR="00BF0F5D" w:rsidRPr="00DA359F" w:rsidRDefault="00BF0F5D" w:rsidP="00BF0F5D">
      <w:pPr>
        <w:pStyle w:val="a3"/>
        <w:rPr>
          <w:rFonts w:ascii="Times New Roman" w:hAnsi="Times New Roman"/>
          <w:kern w:val="0"/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 xml:space="preserve">Median risk score range (9.8 – 11.2) is used as a reference. </w:t>
      </w:r>
    </w:p>
    <w:p w14:paraId="3ADE3EA6" w14:textId="77777777" w:rsidR="00BF0F5D" w:rsidRPr="00DA359F" w:rsidRDefault="00BF0F5D" w:rsidP="00BF0F5D">
      <w:pPr>
        <w:pStyle w:val="a3"/>
        <w:rPr>
          <w:rFonts w:ascii="Times New Roman" w:hAnsi="Times New Roman"/>
          <w:kern w:val="0"/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 xml:space="preserve">Significant associations are shown in bold face. </w:t>
      </w:r>
    </w:p>
    <w:p w14:paraId="7B163760" w14:textId="77777777" w:rsidR="00E81D7E" w:rsidRPr="00DA359F" w:rsidRDefault="00BF0F5D" w:rsidP="00BF0F5D">
      <w:pPr>
        <w:pStyle w:val="a3"/>
        <w:rPr>
          <w:sz w:val="16"/>
          <w:szCs w:val="16"/>
        </w:rPr>
      </w:pPr>
      <w:r w:rsidRPr="00DA359F">
        <w:rPr>
          <w:rFonts w:ascii="Times New Roman" w:hAnsi="Times New Roman"/>
          <w:kern w:val="0"/>
          <w:sz w:val="16"/>
          <w:szCs w:val="16"/>
        </w:rPr>
        <w:t>CHB, chronic hepatitis B; PC, population control; OR, odds ratio; CI, confidence interval.</w:t>
      </w:r>
    </w:p>
    <w:sectPr w:rsidR="00E81D7E" w:rsidRPr="00DA359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480694" w14:textId="77777777" w:rsidR="00E86E75" w:rsidRDefault="00E86E75" w:rsidP="001A28C2">
      <w:pPr>
        <w:spacing w:after="0" w:line="240" w:lineRule="auto"/>
      </w:pPr>
      <w:r>
        <w:separator/>
      </w:r>
    </w:p>
  </w:endnote>
  <w:endnote w:type="continuationSeparator" w:id="0">
    <w:p w14:paraId="15CBFC0F" w14:textId="77777777" w:rsidR="00E86E75" w:rsidRDefault="00E86E75" w:rsidP="001A28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CBA2E" w14:textId="77777777" w:rsidR="00E86E75" w:rsidRDefault="00E86E75" w:rsidP="001A28C2">
      <w:pPr>
        <w:spacing w:after="0" w:line="240" w:lineRule="auto"/>
      </w:pPr>
      <w:r>
        <w:separator/>
      </w:r>
    </w:p>
  </w:footnote>
  <w:footnote w:type="continuationSeparator" w:id="0">
    <w:p w14:paraId="24C7F88D" w14:textId="77777777" w:rsidR="00E86E75" w:rsidRDefault="00E86E75" w:rsidP="001A28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F0F5D"/>
    <w:rsid w:val="0007623E"/>
    <w:rsid w:val="00101D58"/>
    <w:rsid w:val="001A28C2"/>
    <w:rsid w:val="003D412D"/>
    <w:rsid w:val="00BF0F5D"/>
    <w:rsid w:val="00DA359F"/>
    <w:rsid w:val="00E81D7E"/>
    <w:rsid w:val="00E86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4EA0F"/>
  <w15:chartTrackingRefBased/>
  <w15:docId w15:val="{3FEC6B20-CD45-4FE0-9EC7-E551A9F0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F5D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F0F5D"/>
    <w:pPr>
      <w:widowControl w:val="0"/>
      <w:wordWrap w:val="0"/>
      <w:autoSpaceDE w:val="0"/>
      <w:autoSpaceDN w:val="0"/>
      <w:spacing w:after="0" w:line="240" w:lineRule="auto"/>
    </w:pPr>
  </w:style>
  <w:style w:type="paragraph" w:styleId="a4">
    <w:name w:val="header"/>
    <w:basedOn w:val="a"/>
    <w:link w:val="Char"/>
    <w:uiPriority w:val="99"/>
    <w:unhideWhenUsed/>
    <w:rsid w:val="001A28C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1A28C2"/>
  </w:style>
  <w:style w:type="paragraph" w:styleId="a5">
    <w:name w:val="footer"/>
    <w:basedOn w:val="a"/>
    <w:link w:val="Char0"/>
    <w:uiPriority w:val="99"/>
    <w:unhideWhenUsed/>
    <w:rsid w:val="001A28C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1A28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CheongHS</dc:creator>
  <cp:keywords/>
  <dc:description/>
  <cp:lastModifiedBy>서정연</cp:lastModifiedBy>
  <cp:revision>4</cp:revision>
  <dcterms:created xsi:type="dcterms:W3CDTF">2018-04-25T09:12:00Z</dcterms:created>
  <dcterms:modified xsi:type="dcterms:W3CDTF">2020-09-21T14:25:00Z</dcterms:modified>
</cp:coreProperties>
</file>