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F5A373A" w14:textId="2E79EDF7" w:rsidR="00A82DD2" w:rsidRPr="002D6FB2" w:rsidRDefault="00A82DD2" w:rsidP="00A82DD2">
      <w:pPr>
        <w:spacing w:line="480" w:lineRule="auto"/>
        <w:jc w:val="center"/>
        <w:rPr>
          <w:rFonts w:asciiTheme="majorBidi" w:hAnsiTheme="majorBidi" w:cstheme="majorBidi"/>
          <w:b/>
          <w:sz w:val="28"/>
          <w:szCs w:val="28"/>
        </w:rPr>
      </w:pPr>
      <w:bookmarkStart w:id="0" w:name="_Hlk146304291"/>
      <w:r>
        <w:rPr>
          <w:rFonts w:asciiTheme="majorBidi" w:hAnsiTheme="majorBidi" w:cstheme="majorBidi"/>
          <w:b/>
          <w:sz w:val="28"/>
          <w:szCs w:val="28"/>
        </w:rPr>
        <w:t xml:space="preserve">Additional file: </w:t>
      </w:r>
      <w:r w:rsidRPr="002D6FB2">
        <w:rPr>
          <w:rFonts w:asciiTheme="majorBidi" w:hAnsiTheme="majorBidi" w:cstheme="majorBidi"/>
          <w:b/>
          <w:sz w:val="28"/>
          <w:szCs w:val="28"/>
        </w:rPr>
        <w:t xml:space="preserve">Supporting </w:t>
      </w:r>
      <w:r>
        <w:rPr>
          <w:rFonts w:asciiTheme="majorBidi" w:hAnsiTheme="majorBidi" w:cstheme="majorBidi"/>
          <w:b/>
          <w:sz w:val="28"/>
          <w:szCs w:val="28"/>
        </w:rPr>
        <w:t>I</w:t>
      </w:r>
      <w:r w:rsidRPr="002D6FB2">
        <w:rPr>
          <w:rFonts w:asciiTheme="majorBidi" w:hAnsiTheme="majorBidi" w:cstheme="majorBidi"/>
          <w:b/>
          <w:sz w:val="28"/>
          <w:szCs w:val="28"/>
        </w:rPr>
        <w:t>nformation</w:t>
      </w:r>
      <w:r>
        <w:rPr>
          <w:rFonts w:asciiTheme="majorBidi" w:hAnsiTheme="majorBidi" w:cstheme="majorBidi"/>
          <w:b/>
          <w:sz w:val="28"/>
          <w:szCs w:val="28"/>
        </w:rPr>
        <w:t xml:space="preserve"> for</w:t>
      </w:r>
    </w:p>
    <w:p w14:paraId="23059918" w14:textId="77777777" w:rsidR="00A82DD2" w:rsidRPr="002D6FB2" w:rsidRDefault="00A82DD2" w:rsidP="00A82DD2">
      <w:pPr>
        <w:spacing w:line="480" w:lineRule="auto"/>
        <w:jc w:val="center"/>
        <w:rPr>
          <w:rFonts w:asciiTheme="majorBidi" w:hAnsiTheme="majorBidi"/>
          <w:b/>
          <w:sz w:val="28"/>
          <w:szCs w:val="28"/>
        </w:rPr>
      </w:pPr>
      <w:r w:rsidRPr="002D6FB2">
        <w:rPr>
          <w:rFonts w:asciiTheme="majorBidi" w:hAnsiTheme="majorBidi"/>
          <w:b/>
          <w:sz w:val="28"/>
          <w:szCs w:val="28"/>
        </w:rPr>
        <w:t xml:space="preserve">Rupture-mode </w:t>
      </w:r>
      <w:r>
        <w:rPr>
          <w:rFonts w:asciiTheme="majorBidi" w:hAnsiTheme="majorBidi"/>
          <w:b/>
          <w:sz w:val="28"/>
          <w:szCs w:val="28"/>
        </w:rPr>
        <w:t>P</w:t>
      </w:r>
      <w:r w:rsidRPr="002D6FB2">
        <w:rPr>
          <w:rFonts w:asciiTheme="majorBidi" w:hAnsiTheme="majorBidi"/>
          <w:b/>
          <w:sz w:val="28"/>
          <w:szCs w:val="28"/>
        </w:rPr>
        <w:t xml:space="preserve">references of </w:t>
      </w:r>
      <w:r>
        <w:rPr>
          <w:rFonts w:asciiTheme="majorBidi" w:hAnsiTheme="majorBidi"/>
          <w:b/>
          <w:sz w:val="28"/>
          <w:szCs w:val="28"/>
        </w:rPr>
        <w:t>C</w:t>
      </w:r>
      <w:r w:rsidRPr="002D6FB2">
        <w:rPr>
          <w:rFonts w:asciiTheme="majorBidi" w:hAnsiTheme="majorBidi"/>
          <w:b/>
          <w:sz w:val="28"/>
          <w:szCs w:val="28"/>
        </w:rPr>
        <w:t xml:space="preserve">rustal </w:t>
      </w:r>
      <w:r>
        <w:rPr>
          <w:rFonts w:asciiTheme="majorBidi" w:hAnsiTheme="majorBidi"/>
          <w:b/>
          <w:sz w:val="28"/>
          <w:szCs w:val="28"/>
        </w:rPr>
        <w:t>E</w:t>
      </w:r>
      <w:r w:rsidRPr="002D6FB2">
        <w:rPr>
          <w:rFonts w:asciiTheme="majorBidi" w:hAnsiTheme="majorBidi"/>
          <w:b/>
          <w:sz w:val="28"/>
          <w:szCs w:val="28"/>
        </w:rPr>
        <w:t>arthquakes in Japan</w:t>
      </w:r>
    </w:p>
    <w:p w14:paraId="2A89B9F0" w14:textId="71137802" w:rsidR="005706D8" w:rsidRPr="00A82DD2" w:rsidRDefault="005706D8" w:rsidP="005706D8">
      <w:pPr>
        <w:spacing w:line="480" w:lineRule="auto"/>
        <w:jc w:val="center"/>
        <w:rPr>
          <w:rFonts w:asciiTheme="majorBidi" w:hAnsiTheme="majorBidi"/>
          <w:b/>
          <w:sz w:val="28"/>
        </w:rPr>
      </w:pPr>
    </w:p>
    <w:p w14:paraId="54171CC5" w14:textId="43260EA6" w:rsidR="005706D8" w:rsidRDefault="00000000" w:rsidP="005706D8">
      <w:pPr>
        <w:spacing w:line="480" w:lineRule="auto"/>
        <w:jc w:val="center"/>
        <w:rPr>
          <w:rFonts w:asciiTheme="majorBidi" w:hAnsiTheme="majorBidi" w:cstheme="majorBidi"/>
          <w:b/>
          <w:bCs w:val="0"/>
          <w:szCs w:val="24"/>
          <w:vertAlign w:val="superscript"/>
        </w:rPr>
      </w:pPr>
      <w:r w:rsidRPr="002D6FB2">
        <w:rPr>
          <w:rFonts w:asciiTheme="majorBidi" w:hAnsiTheme="majorBidi" w:cstheme="majorBidi"/>
          <w:b/>
          <w:bCs w:val="0"/>
          <w:szCs w:val="24"/>
        </w:rPr>
        <w:t>Ritsuya Shibata</w:t>
      </w:r>
      <w:r w:rsidRPr="002D6FB2">
        <w:rPr>
          <w:rFonts w:asciiTheme="majorBidi" w:hAnsiTheme="majorBidi" w:cstheme="majorBidi"/>
          <w:b/>
          <w:bCs w:val="0"/>
          <w:szCs w:val="24"/>
          <w:vertAlign w:val="superscript"/>
        </w:rPr>
        <w:t>1</w:t>
      </w:r>
      <w:r w:rsidRPr="002D6FB2">
        <w:rPr>
          <w:rFonts w:asciiTheme="majorBidi" w:hAnsiTheme="majorBidi" w:cstheme="majorBidi"/>
          <w:b/>
          <w:bCs w:val="0"/>
          <w:szCs w:val="24"/>
        </w:rPr>
        <w:t xml:space="preserve">, </w:t>
      </w:r>
      <w:proofErr w:type="spellStart"/>
      <w:r w:rsidRPr="002D6FB2">
        <w:rPr>
          <w:rFonts w:asciiTheme="majorBidi" w:hAnsiTheme="majorBidi" w:cstheme="majorBidi"/>
          <w:b/>
          <w:bCs w:val="0"/>
          <w:szCs w:val="24"/>
        </w:rPr>
        <w:t>Naofumi</w:t>
      </w:r>
      <w:proofErr w:type="spellEnd"/>
      <w:r w:rsidRPr="002D6FB2">
        <w:rPr>
          <w:rFonts w:asciiTheme="majorBidi" w:hAnsiTheme="majorBidi" w:cstheme="majorBidi"/>
          <w:b/>
          <w:bCs w:val="0"/>
          <w:szCs w:val="24"/>
        </w:rPr>
        <w:t xml:space="preserve"> Aso</w:t>
      </w:r>
      <w:r w:rsidR="002D6FB2">
        <w:rPr>
          <w:rFonts w:asciiTheme="majorBidi" w:hAnsiTheme="majorBidi" w:cstheme="majorBidi"/>
          <w:b/>
          <w:bCs w:val="0"/>
          <w:szCs w:val="24"/>
          <w:vertAlign w:val="superscript"/>
        </w:rPr>
        <w:t>2</w:t>
      </w:r>
    </w:p>
    <w:p w14:paraId="2289CFCA" w14:textId="77777777" w:rsidR="002B33F0" w:rsidRPr="002D6FB2" w:rsidRDefault="002B33F0" w:rsidP="005706D8">
      <w:pPr>
        <w:spacing w:line="480" w:lineRule="auto"/>
        <w:jc w:val="center"/>
        <w:rPr>
          <w:rFonts w:asciiTheme="majorBidi" w:hAnsiTheme="majorBidi" w:cstheme="majorBidi"/>
          <w:b/>
          <w:bCs w:val="0"/>
          <w:szCs w:val="24"/>
        </w:rPr>
      </w:pPr>
    </w:p>
    <w:p w14:paraId="59150EF6" w14:textId="2E9D4B41" w:rsidR="00F20157" w:rsidRDefault="00F20157" w:rsidP="00F20157">
      <w:pPr>
        <w:snapToGrid w:val="0"/>
        <w:spacing w:line="480" w:lineRule="auto"/>
        <w:rPr>
          <w:i/>
          <w:iCs/>
        </w:rPr>
      </w:pPr>
      <w:r w:rsidRPr="00F20157">
        <w:rPr>
          <w:bCs w:val="0"/>
          <w:i/>
          <w:iCs/>
          <w:vertAlign w:val="superscript"/>
        </w:rPr>
        <w:t>1</w:t>
      </w:r>
      <w:r w:rsidRPr="00F20157">
        <w:rPr>
          <w:i/>
          <w:iCs/>
        </w:rPr>
        <w:t xml:space="preserve">Network Center for Earthquake, Tsunami and Volcano, National Research Institute for Earth Science and Disaster Resilience, 3-1 </w:t>
      </w:r>
      <w:proofErr w:type="spellStart"/>
      <w:r w:rsidRPr="00F20157">
        <w:rPr>
          <w:i/>
          <w:iCs/>
        </w:rPr>
        <w:t>Tennodai</w:t>
      </w:r>
      <w:proofErr w:type="spellEnd"/>
      <w:r w:rsidRPr="00F20157">
        <w:rPr>
          <w:i/>
          <w:iCs/>
        </w:rPr>
        <w:t>, Tsukuba, Ibaraki 305-0006, Japan.</w:t>
      </w:r>
    </w:p>
    <w:p w14:paraId="0CDE9B29" w14:textId="0E8D6BFF" w:rsidR="00F20157" w:rsidRPr="00F20157" w:rsidRDefault="00F20157" w:rsidP="00F20157">
      <w:pPr>
        <w:snapToGrid w:val="0"/>
        <w:spacing w:line="480" w:lineRule="auto"/>
        <w:rPr>
          <w:b/>
          <w:bCs w:val="0"/>
          <w:i/>
          <w:iCs/>
        </w:rPr>
      </w:pPr>
      <w:r>
        <w:rPr>
          <w:i/>
          <w:iCs/>
          <w:vertAlign w:val="superscript"/>
        </w:rPr>
        <w:t>2</w:t>
      </w:r>
      <w:r w:rsidRPr="00F20157">
        <w:rPr>
          <w:i/>
          <w:iCs/>
        </w:rPr>
        <w:t xml:space="preserve">Department of Applied Physics, Faculty of Advanced Engineering, Tokyo University of Science, 6-3-1 </w:t>
      </w:r>
      <w:proofErr w:type="spellStart"/>
      <w:r w:rsidRPr="00F20157">
        <w:rPr>
          <w:i/>
          <w:iCs/>
        </w:rPr>
        <w:t>Niijuku</w:t>
      </w:r>
      <w:proofErr w:type="spellEnd"/>
      <w:r w:rsidRPr="00F20157">
        <w:rPr>
          <w:i/>
          <w:iCs/>
        </w:rPr>
        <w:t>, Katsushika, Tokyo 125</w:t>
      </w:r>
      <w:r w:rsidRPr="00F20157">
        <w:rPr>
          <w:rFonts w:hint="eastAsia"/>
          <w:i/>
          <w:iCs/>
        </w:rPr>
        <w:t>-</w:t>
      </w:r>
      <w:r w:rsidRPr="00F20157">
        <w:rPr>
          <w:i/>
          <w:iCs/>
        </w:rPr>
        <w:t>8585, Japan</w:t>
      </w:r>
      <w:r w:rsidRPr="00F20157">
        <w:rPr>
          <w:b/>
          <w:bCs w:val="0"/>
          <w:i/>
          <w:iCs/>
        </w:rPr>
        <w:t xml:space="preserve"> </w:t>
      </w:r>
    </w:p>
    <w:p w14:paraId="241D57FB" w14:textId="77777777" w:rsidR="00EA0072" w:rsidRDefault="00EA0072" w:rsidP="00EA0072">
      <w:pPr>
        <w:widowControl/>
        <w:spacing w:line="480" w:lineRule="auto"/>
        <w:jc w:val="left"/>
        <w:rPr>
          <w:i/>
          <w:iCs/>
        </w:rPr>
      </w:pPr>
    </w:p>
    <w:p w14:paraId="627A5997" w14:textId="13E9F5C1" w:rsidR="00E0628D" w:rsidRDefault="00E0628D">
      <w:pPr>
        <w:widowControl/>
        <w:jc w:val="left"/>
        <w:rPr>
          <w:i/>
          <w:iCs/>
        </w:rPr>
      </w:pPr>
      <w:r>
        <w:rPr>
          <w:i/>
          <w:iCs/>
        </w:rPr>
        <w:br w:type="page"/>
      </w:r>
    </w:p>
    <w:p w14:paraId="2141516E" w14:textId="1ABA1E07" w:rsidR="00172D77" w:rsidRDefault="00172D77" w:rsidP="00EA0072">
      <w:pPr>
        <w:widowControl/>
        <w:spacing w:line="480" w:lineRule="auto"/>
        <w:jc w:val="left"/>
        <w:rPr>
          <w:b/>
          <w:bCs w:val="0"/>
        </w:rPr>
      </w:pPr>
      <w:r>
        <w:rPr>
          <w:b/>
          <w:bCs w:val="0"/>
        </w:rPr>
        <w:lastRenderedPageBreak/>
        <w:t>S1</w:t>
      </w:r>
      <w:r>
        <w:rPr>
          <w:b/>
          <w:bCs w:val="0"/>
        </w:rPr>
        <w:tab/>
        <w:t>Snapshot of shallow crustal earthquakes in Japan</w:t>
      </w:r>
    </w:p>
    <w:p w14:paraId="410D3164" w14:textId="6DBD0910" w:rsidR="00172D77" w:rsidRDefault="00172D77" w:rsidP="00172D77">
      <w:pPr>
        <w:spacing w:line="480" w:lineRule="auto"/>
        <w:ind w:firstLine="360"/>
        <w:rPr>
          <w:color w:val="000000" w:themeColor="text1"/>
        </w:rPr>
      </w:pPr>
      <w:r>
        <w:rPr>
          <w:color w:val="000000" w:themeColor="text1"/>
        </w:rPr>
        <w:t>We extracted the rupture mode during a fault rupture for six shallow crustal earthquakes in Japan</w:t>
      </w:r>
      <w:r w:rsidRPr="00CB7BC9">
        <w:rPr>
          <w:color w:val="000000" w:themeColor="text1"/>
        </w:rPr>
        <w:t xml:space="preserve">. Figs. </w:t>
      </w:r>
      <w:r>
        <w:rPr>
          <w:color w:val="000000" w:themeColor="text1"/>
        </w:rPr>
        <w:t>S1</w:t>
      </w:r>
      <w:r w:rsidRPr="00CB7BC9">
        <w:rPr>
          <w:color w:val="000000" w:themeColor="text1"/>
        </w:rPr>
        <w:t>.1–</w:t>
      </w:r>
      <w:r>
        <w:rPr>
          <w:color w:val="000000" w:themeColor="text1"/>
        </w:rPr>
        <w:t>S1</w:t>
      </w:r>
      <w:r w:rsidRPr="00CB7BC9">
        <w:rPr>
          <w:color w:val="000000" w:themeColor="text1"/>
        </w:rPr>
        <w:t>.</w:t>
      </w:r>
      <w:r>
        <w:rPr>
          <w:color w:val="000000" w:themeColor="text1"/>
        </w:rPr>
        <w:t>5</w:t>
      </w:r>
      <w:r w:rsidRPr="00CB7BC9">
        <w:rPr>
          <w:color w:val="000000" w:themeColor="text1"/>
        </w:rPr>
        <w:t xml:space="preserve"> show the </w:t>
      </w:r>
      <w:r>
        <w:rPr>
          <w:color w:val="000000" w:themeColor="text1"/>
        </w:rPr>
        <w:t>spatiotemporal rupture distribution for each earthquake</w:t>
      </w:r>
      <w:r w:rsidRPr="00CB7BC9">
        <w:rPr>
          <w:color w:val="000000" w:themeColor="text1"/>
        </w:rPr>
        <w:t>.</w:t>
      </w:r>
    </w:p>
    <w:p w14:paraId="7224AE53" w14:textId="3D1E5B1E" w:rsidR="00E0628D" w:rsidRDefault="00E0628D" w:rsidP="00172D77">
      <w:pPr>
        <w:spacing w:line="480" w:lineRule="auto"/>
        <w:ind w:firstLine="360"/>
        <w:rPr>
          <w:color w:val="000000" w:themeColor="text1"/>
        </w:rPr>
      </w:pPr>
    </w:p>
    <w:p w14:paraId="50A41726" w14:textId="77777777" w:rsidR="00E0628D" w:rsidRDefault="00E0628D" w:rsidP="00172D77">
      <w:pPr>
        <w:spacing w:line="480" w:lineRule="auto"/>
        <w:ind w:firstLine="360"/>
        <w:rPr>
          <w:color w:val="000000" w:themeColor="text1"/>
        </w:rPr>
      </w:pPr>
    </w:p>
    <w:p w14:paraId="1832BE59" w14:textId="26BE1610" w:rsidR="00172D77" w:rsidRDefault="00172D77" w:rsidP="00172D77">
      <w:pPr>
        <w:spacing w:line="360" w:lineRule="auto"/>
        <w:jc w:val="center"/>
        <w:rPr>
          <w:color w:val="000000" w:themeColor="text1"/>
        </w:rPr>
      </w:pPr>
      <w:r>
        <w:rPr>
          <w:noProof/>
          <w:color w:val="000000" w:themeColor="text1"/>
        </w:rPr>
        <w:drawing>
          <wp:inline distT="0" distB="0" distL="0" distR="0" wp14:anchorId="6561358F" wp14:editId="1D447F05">
            <wp:extent cx="4670427" cy="4550055"/>
            <wp:effectExtent l="0" t="0" r="3175" b="0"/>
            <wp:docPr id="1044784884" name="図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4784884" name="図 1044784884"/>
                    <pic:cNvPicPr/>
                  </pic:nvPicPr>
                  <pic:blipFill>
                    <a:blip r:embed="rId4">
                      <a:extLst>
                        <a:ext uri="{28A0092B-C50C-407E-A947-70E740481C1C}">
                          <a14:useLocalDpi xmlns:a14="http://schemas.microsoft.com/office/drawing/2010/main" val="0"/>
                        </a:ext>
                      </a:extLst>
                    </a:blip>
                    <a:stretch>
                      <a:fillRect/>
                    </a:stretch>
                  </pic:blipFill>
                  <pic:spPr>
                    <a:xfrm>
                      <a:off x="0" y="0"/>
                      <a:ext cx="4674531" cy="4554053"/>
                    </a:xfrm>
                    <a:prstGeom prst="rect">
                      <a:avLst/>
                    </a:prstGeom>
                  </pic:spPr>
                </pic:pic>
              </a:graphicData>
            </a:graphic>
          </wp:inline>
        </w:drawing>
      </w:r>
    </w:p>
    <w:p w14:paraId="791D7188" w14:textId="4FC28035" w:rsidR="00CD44DC" w:rsidRPr="00CD44DC" w:rsidRDefault="00CD44DC" w:rsidP="00CD44DC">
      <w:pPr>
        <w:adjustRightInd w:val="0"/>
        <w:snapToGrid w:val="0"/>
        <w:spacing w:line="360" w:lineRule="auto"/>
        <w:rPr>
          <w:rFonts w:ascii="Arial" w:hAnsi="Arial" w:cs="Arial"/>
          <w:b/>
          <w:color w:val="000000"/>
          <w:kern w:val="0"/>
        </w:rPr>
      </w:pPr>
      <w:r w:rsidRPr="00CD44DC">
        <w:rPr>
          <w:rFonts w:ascii="Arial" w:hAnsi="Arial" w:cs="Arial"/>
          <w:b/>
          <w:color w:val="000000"/>
          <w:kern w:val="0"/>
        </w:rPr>
        <w:t xml:space="preserve">Figure </w:t>
      </w:r>
      <w:r>
        <w:rPr>
          <w:rFonts w:ascii="Arial" w:hAnsi="Arial" w:cs="Arial"/>
          <w:b/>
          <w:color w:val="000000"/>
          <w:kern w:val="0"/>
        </w:rPr>
        <w:t>S</w:t>
      </w:r>
      <w:r w:rsidRPr="00CD44DC">
        <w:rPr>
          <w:rFonts w:ascii="Arial" w:hAnsi="Arial" w:cs="Arial"/>
          <w:b/>
          <w:color w:val="000000"/>
          <w:kern w:val="0"/>
        </w:rPr>
        <w:t>1.</w:t>
      </w:r>
      <w:r>
        <w:rPr>
          <w:rFonts w:ascii="Arial" w:hAnsi="Arial" w:cs="Arial"/>
          <w:b/>
          <w:color w:val="000000"/>
          <w:kern w:val="0"/>
        </w:rPr>
        <w:t>1.</w:t>
      </w:r>
      <w:r w:rsidRPr="00CD44DC">
        <w:rPr>
          <w:rFonts w:ascii="Arial" w:hAnsi="Arial" w:cs="Arial"/>
          <w:b/>
          <w:color w:val="000000"/>
          <w:kern w:val="0"/>
        </w:rPr>
        <w:t xml:space="preserve"> Snapshot of the rupture propagation for the 2008 Iwate</w:t>
      </w:r>
      <w:r w:rsidR="00E0628D">
        <w:rPr>
          <w:rFonts w:ascii="Arial" w:hAnsi="Arial" w:cs="Arial"/>
          <w:b/>
          <w:color w:val="000000"/>
          <w:kern w:val="0"/>
        </w:rPr>
        <w:t xml:space="preserve"> </w:t>
      </w:r>
      <w:r w:rsidRPr="00CD44DC">
        <w:rPr>
          <w:rFonts w:ascii="Arial" w:hAnsi="Arial" w:cs="Arial"/>
          <w:b/>
          <w:color w:val="000000"/>
          <w:kern w:val="0"/>
        </w:rPr>
        <w:t>Miyagi Inland earthquake.</w:t>
      </w:r>
    </w:p>
    <w:p w14:paraId="2919FE04" w14:textId="5E18F665" w:rsidR="00CD44DC" w:rsidRPr="00CD44DC" w:rsidRDefault="0034681B" w:rsidP="00CD44DC">
      <w:pPr>
        <w:adjustRightInd w:val="0"/>
        <w:snapToGrid w:val="0"/>
        <w:spacing w:line="360" w:lineRule="auto"/>
        <w:ind w:left="360"/>
        <w:rPr>
          <w:rFonts w:ascii="Arial" w:hAnsi="Arial" w:cs="Arial"/>
          <w:b/>
          <w:bCs w:val="0"/>
          <w:color w:val="000000"/>
          <w:kern w:val="0"/>
        </w:rPr>
      </w:pPr>
      <w:r w:rsidRPr="0034681B">
        <w:rPr>
          <w:rFonts w:ascii="Arial" w:hAnsi="Arial" w:cs="Arial"/>
          <w:color w:val="000000"/>
          <w:kern w:val="0"/>
        </w:rPr>
        <w:t>The yellow star represents the hypocenter, and the color bar indicates the slip amount at each time range. White arrows denote the slip direction at each subfault for each time range. The white circle shows the prescribed rupture front for the slip inversion, indicating that the rupture cannot propagate faster than this circle.</w:t>
      </w:r>
    </w:p>
    <w:p w14:paraId="0D29D69C" w14:textId="77777777" w:rsidR="00172D77" w:rsidRDefault="00172D77">
      <w:pPr>
        <w:widowControl/>
        <w:jc w:val="left"/>
        <w:rPr>
          <w:b/>
          <w:bCs w:val="0"/>
        </w:rPr>
      </w:pPr>
      <w:r>
        <w:rPr>
          <w:b/>
          <w:bCs w:val="0"/>
        </w:rPr>
        <w:br w:type="page"/>
      </w:r>
    </w:p>
    <w:p w14:paraId="436E4509" w14:textId="77777777" w:rsidR="00172D77" w:rsidRDefault="00172D77" w:rsidP="00172D77">
      <w:pPr>
        <w:widowControl/>
        <w:spacing w:line="360" w:lineRule="auto"/>
        <w:jc w:val="center"/>
        <w:rPr>
          <w:b/>
          <w:bCs w:val="0"/>
        </w:rPr>
      </w:pPr>
      <w:r>
        <w:rPr>
          <w:b/>
          <w:bCs w:val="0"/>
          <w:noProof/>
        </w:rPr>
        <w:lastRenderedPageBreak/>
        <w:drawing>
          <wp:inline distT="0" distB="0" distL="0" distR="0" wp14:anchorId="06FBE536" wp14:editId="29425D8D">
            <wp:extent cx="4779751" cy="4103827"/>
            <wp:effectExtent l="0" t="0" r="0" b="0"/>
            <wp:docPr id="2046761761" name="図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46761761" name="図 2046761761"/>
                    <pic:cNvPicPr/>
                  </pic:nvPicPr>
                  <pic:blipFill>
                    <a:blip r:embed="rId5">
                      <a:extLst>
                        <a:ext uri="{28A0092B-C50C-407E-A947-70E740481C1C}">
                          <a14:useLocalDpi xmlns:a14="http://schemas.microsoft.com/office/drawing/2010/main" val="0"/>
                        </a:ext>
                      </a:extLst>
                    </a:blip>
                    <a:stretch>
                      <a:fillRect/>
                    </a:stretch>
                  </pic:blipFill>
                  <pic:spPr>
                    <a:xfrm>
                      <a:off x="0" y="0"/>
                      <a:ext cx="4787186" cy="4110211"/>
                    </a:xfrm>
                    <a:prstGeom prst="rect">
                      <a:avLst/>
                    </a:prstGeom>
                  </pic:spPr>
                </pic:pic>
              </a:graphicData>
            </a:graphic>
          </wp:inline>
        </w:drawing>
      </w:r>
    </w:p>
    <w:p w14:paraId="273F7842" w14:textId="3C9787DA" w:rsidR="00CD44DC" w:rsidRPr="00CD44DC" w:rsidRDefault="00CD44DC" w:rsidP="00CD44DC">
      <w:pPr>
        <w:adjustRightInd w:val="0"/>
        <w:snapToGrid w:val="0"/>
        <w:spacing w:line="360" w:lineRule="auto"/>
        <w:rPr>
          <w:rFonts w:ascii="Arial" w:hAnsi="Arial" w:cs="Arial"/>
          <w:b/>
          <w:color w:val="000000"/>
          <w:kern w:val="0"/>
        </w:rPr>
      </w:pPr>
      <w:r w:rsidRPr="00CD44DC">
        <w:rPr>
          <w:rFonts w:ascii="Arial" w:hAnsi="Arial" w:cs="Arial"/>
          <w:b/>
          <w:color w:val="000000"/>
          <w:kern w:val="0"/>
        </w:rPr>
        <w:t xml:space="preserve">Figure </w:t>
      </w:r>
      <w:r>
        <w:rPr>
          <w:rFonts w:ascii="Arial" w:hAnsi="Arial" w:cs="Arial"/>
          <w:b/>
          <w:color w:val="000000"/>
          <w:kern w:val="0"/>
        </w:rPr>
        <w:t>S</w:t>
      </w:r>
      <w:r w:rsidRPr="00CD44DC">
        <w:rPr>
          <w:rFonts w:ascii="Arial" w:hAnsi="Arial" w:cs="Arial"/>
          <w:b/>
          <w:color w:val="000000"/>
          <w:kern w:val="0"/>
        </w:rPr>
        <w:t>1.</w:t>
      </w:r>
      <w:r>
        <w:rPr>
          <w:rFonts w:ascii="Arial" w:hAnsi="Arial" w:cs="Arial"/>
          <w:b/>
          <w:color w:val="000000"/>
          <w:kern w:val="0"/>
        </w:rPr>
        <w:t>2.</w:t>
      </w:r>
      <w:r w:rsidRPr="00CD44DC">
        <w:rPr>
          <w:rFonts w:ascii="Arial" w:hAnsi="Arial" w:cs="Arial"/>
          <w:b/>
          <w:color w:val="000000"/>
          <w:kern w:val="0"/>
        </w:rPr>
        <w:t xml:space="preserve"> Snapshot of the rupture propagation for the 200</w:t>
      </w:r>
      <w:r>
        <w:rPr>
          <w:rFonts w:ascii="Arial" w:hAnsi="Arial" w:cs="Arial"/>
          <w:b/>
          <w:color w:val="000000"/>
          <w:kern w:val="0"/>
        </w:rPr>
        <w:t>4</w:t>
      </w:r>
      <w:r w:rsidRPr="00CD44DC">
        <w:rPr>
          <w:rFonts w:ascii="Arial" w:hAnsi="Arial" w:cs="Arial"/>
          <w:b/>
          <w:color w:val="000000"/>
          <w:kern w:val="0"/>
        </w:rPr>
        <w:t xml:space="preserve"> </w:t>
      </w:r>
      <w:r>
        <w:rPr>
          <w:rFonts w:ascii="Arial" w:hAnsi="Arial" w:cs="Arial"/>
          <w:b/>
          <w:color w:val="000000"/>
          <w:kern w:val="0"/>
        </w:rPr>
        <w:t>Niigata Chuetsu</w:t>
      </w:r>
      <w:r w:rsidRPr="00CD44DC">
        <w:rPr>
          <w:rFonts w:ascii="Arial" w:hAnsi="Arial" w:cs="Arial"/>
          <w:b/>
          <w:color w:val="000000"/>
          <w:kern w:val="0"/>
        </w:rPr>
        <w:t xml:space="preserve"> earthquake.</w:t>
      </w:r>
    </w:p>
    <w:p w14:paraId="48F536F2" w14:textId="66037747" w:rsidR="00CD44DC" w:rsidRPr="00CD44DC" w:rsidRDefault="0034681B" w:rsidP="00CD44DC">
      <w:pPr>
        <w:adjustRightInd w:val="0"/>
        <w:snapToGrid w:val="0"/>
        <w:spacing w:line="360" w:lineRule="auto"/>
        <w:ind w:left="360"/>
        <w:rPr>
          <w:rFonts w:ascii="Arial" w:hAnsi="Arial" w:cs="Arial"/>
          <w:b/>
          <w:bCs w:val="0"/>
          <w:color w:val="000000"/>
          <w:kern w:val="0"/>
        </w:rPr>
      </w:pPr>
      <w:r w:rsidRPr="0034681B">
        <w:rPr>
          <w:rFonts w:ascii="Arial" w:hAnsi="Arial" w:cs="Arial"/>
          <w:color w:val="000000"/>
          <w:kern w:val="0"/>
        </w:rPr>
        <w:t>The yellow star represents the hypocenter, and the color bar indicates the slip amount at each time range. White arrows denote the slip direction at each subfault for each time range. The white circle shows the prescribed rupture front for the slip inversion, indicating that the rupture cannot propagate faster than this circle.</w:t>
      </w:r>
    </w:p>
    <w:p w14:paraId="10F1E1E5" w14:textId="0E250072" w:rsidR="00172D77" w:rsidRDefault="00172D77" w:rsidP="00172D77">
      <w:pPr>
        <w:widowControl/>
        <w:rPr>
          <w:b/>
          <w:bCs w:val="0"/>
        </w:rPr>
      </w:pPr>
      <w:r>
        <w:rPr>
          <w:b/>
          <w:bCs w:val="0"/>
        </w:rPr>
        <w:br w:type="page"/>
      </w:r>
    </w:p>
    <w:p w14:paraId="1AF78D0C" w14:textId="77777777" w:rsidR="00172D77" w:rsidRDefault="00172D77" w:rsidP="00172D77">
      <w:pPr>
        <w:widowControl/>
        <w:spacing w:line="360" w:lineRule="auto"/>
        <w:jc w:val="center"/>
        <w:rPr>
          <w:b/>
          <w:bCs w:val="0"/>
        </w:rPr>
      </w:pPr>
      <w:r>
        <w:rPr>
          <w:b/>
          <w:bCs w:val="0"/>
          <w:noProof/>
        </w:rPr>
        <w:lastRenderedPageBreak/>
        <w:drawing>
          <wp:inline distT="0" distB="0" distL="0" distR="0" wp14:anchorId="4095EE94" wp14:editId="7C0D72D9">
            <wp:extent cx="4001414" cy="5335219"/>
            <wp:effectExtent l="0" t="0" r="0" b="0"/>
            <wp:docPr id="492972479" name="図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2972479" name="図 492972479"/>
                    <pic:cNvPicPr/>
                  </pic:nvPicPr>
                  <pic:blipFill>
                    <a:blip r:embed="rId6">
                      <a:extLst>
                        <a:ext uri="{28A0092B-C50C-407E-A947-70E740481C1C}">
                          <a14:useLocalDpi xmlns:a14="http://schemas.microsoft.com/office/drawing/2010/main" val="0"/>
                        </a:ext>
                      </a:extLst>
                    </a:blip>
                    <a:stretch>
                      <a:fillRect/>
                    </a:stretch>
                  </pic:blipFill>
                  <pic:spPr>
                    <a:xfrm>
                      <a:off x="0" y="0"/>
                      <a:ext cx="4004127" cy="5338836"/>
                    </a:xfrm>
                    <a:prstGeom prst="rect">
                      <a:avLst/>
                    </a:prstGeom>
                  </pic:spPr>
                </pic:pic>
              </a:graphicData>
            </a:graphic>
          </wp:inline>
        </w:drawing>
      </w:r>
    </w:p>
    <w:p w14:paraId="1C439369" w14:textId="599B46B7" w:rsidR="00CD44DC" w:rsidRPr="00CD44DC" w:rsidRDefault="00CD44DC" w:rsidP="00CD44DC">
      <w:pPr>
        <w:adjustRightInd w:val="0"/>
        <w:snapToGrid w:val="0"/>
        <w:spacing w:line="360" w:lineRule="auto"/>
        <w:rPr>
          <w:rFonts w:ascii="Arial" w:hAnsi="Arial" w:cs="Arial"/>
          <w:b/>
          <w:color w:val="000000"/>
          <w:kern w:val="0"/>
        </w:rPr>
      </w:pPr>
      <w:r w:rsidRPr="00CD44DC">
        <w:rPr>
          <w:rFonts w:ascii="Arial" w:hAnsi="Arial" w:cs="Arial"/>
          <w:b/>
          <w:color w:val="000000"/>
          <w:kern w:val="0"/>
        </w:rPr>
        <w:t xml:space="preserve">Figure </w:t>
      </w:r>
      <w:r>
        <w:rPr>
          <w:rFonts w:ascii="Arial" w:hAnsi="Arial" w:cs="Arial"/>
          <w:b/>
          <w:color w:val="000000"/>
          <w:kern w:val="0"/>
        </w:rPr>
        <w:t>S</w:t>
      </w:r>
      <w:r w:rsidRPr="00CD44DC">
        <w:rPr>
          <w:rFonts w:ascii="Arial" w:hAnsi="Arial" w:cs="Arial"/>
          <w:b/>
          <w:color w:val="000000"/>
          <w:kern w:val="0"/>
        </w:rPr>
        <w:t>1.</w:t>
      </w:r>
      <w:r>
        <w:rPr>
          <w:rFonts w:ascii="Arial" w:hAnsi="Arial" w:cs="Arial"/>
          <w:b/>
          <w:color w:val="000000"/>
          <w:kern w:val="0"/>
        </w:rPr>
        <w:t>3.</w:t>
      </w:r>
      <w:r w:rsidRPr="00CD44DC">
        <w:rPr>
          <w:rFonts w:ascii="Arial" w:hAnsi="Arial" w:cs="Arial"/>
          <w:b/>
          <w:color w:val="000000"/>
          <w:kern w:val="0"/>
        </w:rPr>
        <w:t xml:space="preserve"> Snapshot of the rupture propagation for the 20</w:t>
      </w:r>
      <w:r>
        <w:rPr>
          <w:rFonts w:ascii="Arial" w:hAnsi="Arial" w:cs="Arial"/>
          <w:b/>
          <w:color w:val="000000"/>
          <w:kern w:val="0"/>
        </w:rPr>
        <w:t>16</w:t>
      </w:r>
      <w:r w:rsidRPr="00CD44DC">
        <w:rPr>
          <w:rFonts w:ascii="Arial" w:hAnsi="Arial" w:cs="Arial"/>
          <w:b/>
          <w:color w:val="000000"/>
          <w:kern w:val="0"/>
        </w:rPr>
        <w:t xml:space="preserve"> </w:t>
      </w:r>
      <w:r>
        <w:rPr>
          <w:rFonts w:ascii="Arial" w:hAnsi="Arial" w:cs="Arial"/>
          <w:b/>
          <w:color w:val="000000"/>
          <w:kern w:val="0"/>
        </w:rPr>
        <w:t>Central Tottori</w:t>
      </w:r>
      <w:r w:rsidRPr="00CD44DC">
        <w:rPr>
          <w:rFonts w:ascii="Arial" w:hAnsi="Arial" w:cs="Arial"/>
          <w:b/>
          <w:color w:val="000000"/>
          <w:kern w:val="0"/>
        </w:rPr>
        <w:t xml:space="preserve"> earthquake.</w:t>
      </w:r>
    </w:p>
    <w:p w14:paraId="677AD51F" w14:textId="6AF01847" w:rsidR="00CD44DC" w:rsidRPr="00CD44DC" w:rsidRDefault="0034681B" w:rsidP="00CD44DC">
      <w:pPr>
        <w:adjustRightInd w:val="0"/>
        <w:snapToGrid w:val="0"/>
        <w:spacing w:line="360" w:lineRule="auto"/>
        <w:ind w:left="360"/>
        <w:rPr>
          <w:rFonts w:ascii="Arial" w:hAnsi="Arial" w:cs="Arial"/>
          <w:b/>
          <w:bCs w:val="0"/>
          <w:color w:val="000000"/>
          <w:kern w:val="0"/>
        </w:rPr>
      </w:pPr>
      <w:r w:rsidRPr="0034681B">
        <w:rPr>
          <w:rFonts w:ascii="Arial" w:hAnsi="Arial" w:cs="Arial"/>
          <w:color w:val="000000"/>
          <w:kern w:val="0"/>
        </w:rPr>
        <w:t>The yellow star represents the hypocenter, and the color bar indicates the slip amount at each time range. White arrows denote the slip direction at each subfault for each time range. The white circle shows the prescribed rupture front for the slip inversion, indicating that the rupture cannot propagate faster than this circle.</w:t>
      </w:r>
    </w:p>
    <w:p w14:paraId="58F3CDDA" w14:textId="25EACC18" w:rsidR="00172D77" w:rsidRDefault="00172D77" w:rsidP="00172D77">
      <w:pPr>
        <w:widowControl/>
        <w:rPr>
          <w:b/>
          <w:bCs w:val="0"/>
        </w:rPr>
      </w:pPr>
      <w:r>
        <w:rPr>
          <w:b/>
          <w:bCs w:val="0"/>
        </w:rPr>
        <w:br w:type="page"/>
      </w:r>
    </w:p>
    <w:p w14:paraId="08508BF5" w14:textId="24288BE5" w:rsidR="00172D77" w:rsidRDefault="00172D77" w:rsidP="00172D77">
      <w:pPr>
        <w:widowControl/>
        <w:spacing w:line="360" w:lineRule="auto"/>
        <w:jc w:val="center"/>
        <w:rPr>
          <w:b/>
          <w:bCs w:val="0"/>
        </w:rPr>
      </w:pPr>
      <w:r>
        <w:rPr>
          <w:b/>
          <w:bCs w:val="0"/>
          <w:noProof/>
        </w:rPr>
        <w:lastRenderedPageBreak/>
        <w:drawing>
          <wp:inline distT="0" distB="0" distL="0" distR="0" wp14:anchorId="428B853E" wp14:editId="1C1C338F">
            <wp:extent cx="4182791" cy="4520794"/>
            <wp:effectExtent l="0" t="0" r="0" b="635"/>
            <wp:docPr id="1468513612" name="図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68513612" name="図 1468513612"/>
                    <pic:cNvPicPr/>
                  </pic:nvPicPr>
                  <pic:blipFill>
                    <a:blip r:embed="rId7">
                      <a:extLst>
                        <a:ext uri="{28A0092B-C50C-407E-A947-70E740481C1C}">
                          <a14:useLocalDpi xmlns:a14="http://schemas.microsoft.com/office/drawing/2010/main" val="0"/>
                        </a:ext>
                      </a:extLst>
                    </a:blip>
                    <a:stretch>
                      <a:fillRect/>
                    </a:stretch>
                  </pic:blipFill>
                  <pic:spPr>
                    <a:xfrm>
                      <a:off x="0" y="0"/>
                      <a:ext cx="4192004" cy="4530752"/>
                    </a:xfrm>
                    <a:prstGeom prst="rect">
                      <a:avLst/>
                    </a:prstGeom>
                  </pic:spPr>
                </pic:pic>
              </a:graphicData>
            </a:graphic>
          </wp:inline>
        </w:drawing>
      </w:r>
    </w:p>
    <w:p w14:paraId="58F38D45" w14:textId="2631C866" w:rsidR="00CD44DC" w:rsidRPr="00CD44DC" w:rsidRDefault="00CD44DC" w:rsidP="00CD44DC">
      <w:pPr>
        <w:adjustRightInd w:val="0"/>
        <w:snapToGrid w:val="0"/>
        <w:spacing w:line="360" w:lineRule="auto"/>
        <w:rPr>
          <w:rFonts w:ascii="Arial" w:hAnsi="Arial" w:cs="Arial"/>
          <w:b/>
          <w:color w:val="000000"/>
          <w:kern w:val="0"/>
        </w:rPr>
      </w:pPr>
      <w:r w:rsidRPr="00CD44DC">
        <w:rPr>
          <w:rFonts w:ascii="Arial" w:hAnsi="Arial" w:cs="Arial"/>
          <w:b/>
          <w:color w:val="000000"/>
          <w:kern w:val="0"/>
        </w:rPr>
        <w:t xml:space="preserve">Figure </w:t>
      </w:r>
      <w:r>
        <w:rPr>
          <w:rFonts w:ascii="Arial" w:hAnsi="Arial" w:cs="Arial"/>
          <w:b/>
          <w:color w:val="000000"/>
          <w:kern w:val="0"/>
        </w:rPr>
        <w:t>S</w:t>
      </w:r>
      <w:r w:rsidRPr="00CD44DC">
        <w:rPr>
          <w:rFonts w:ascii="Arial" w:hAnsi="Arial" w:cs="Arial"/>
          <w:b/>
          <w:color w:val="000000"/>
          <w:kern w:val="0"/>
        </w:rPr>
        <w:t>1.</w:t>
      </w:r>
      <w:r>
        <w:rPr>
          <w:rFonts w:ascii="Arial" w:hAnsi="Arial" w:cs="Arial"/>
          <w:b/>
          <w:color w:val="000000"/>
          <w:kern w:val="0"/>
        </w:rPr>
        <w:t>4.</w:t>
      </w:r>
      <w:r w:rsidRPr="00CD44DC">
        <w:rPr>
          <w:rFonts w:ascii="Arial" w:hAnsi="Arial" w:cs="Arial"/>
          <w:b/>
          <w:color w:val="000000"/>
          <w:kern w:val="0"/>
        </w:rPr>
        <w:t xml:space="preserve"> Snapshot of the rupture propagation for the 20</w:t>
      </w:r>
      <w:r>
        <w:rPr>
          <w:rFonts w:ascii="Arial" w:hAnsi="Arial" w:cs="Arial"/>
          <w:b/>
          <w:color w:val="000000"/>
          <w:kern w:val="0"/>
        </w:rPr>
        <w:t>16</w:t>
      </w:r>
      <w:r w:rsidRPr="00CD44DC">
        <w:rPr>
          <w:rFonts w:ascii="Arial" w:hAnsi="Arial" w:cs="Arial"/>
          <w:b/>
          <w:color w:val="000000"/>
          <w:kern w:val="0"/>
        </w:rPr>
        <w:t xml:space="preserve"> </w:t>
      </w:r>
      <w:r>
        <w:rPr>
          <w:rFonts w:ascii="Arial" w:hAnsi="Arial" w:cs="Arial"/>
          <w:b/>
          <w:color w:val="000000"/>
          <w:kern w:val="0"/>
        </w:rPr>
        <w:t>Kumamoto Foreshock #1</w:t>
      </w:r>
      <w:r w:rsidRPr="00CD44DC">
        <w:rPr>
          <w:rFonts w:ascii="Arial" w:hAnsi="Arial" w:cs="Arial"/>
          <w:b/>
          <w:color w:val="000000"/>
          <w:kern w:val="0"/>
        </w:rPr>
        <w:t>.</w:t>
      </w:r>
    </w:p>
    <w:p w14:paraId="127F8452" w14:textId="2C5DCDAE" w:rsidR="00CD44DC" w:rsidRPr="00CD44DC" w:rsidRDefault="0034681B" w:rsidP="00CD44DC">
      <w:pPr>
        <w:adjustRightInd w:val="0"/>
        <w:snapToGrid w:val="0"/>
        <w:spacing w:line="360" w:lineRule="auto"/>
        <w:ind w:left="360"/>
        <w:rPr>
          <w:rFonts w:ascii="Arial" w:hAnsi="Arial" w:cs="Arial"/>
          <w:b/>
          <w:bCs w:val="0"/>
          <w:color w:val="000000"/>
          <w:kern w:val="0"/>
        </w:rPr>
      </w:pPr>
      <w:r w:rsidRPr="0034681B">
        <w:rPr>
          <w:rFonts w:ascii="Arial" w:hAnsi="Arial" w:cs="Arial"/>
          <w:color w:val="000000"/>
          <w:kern w:val="0"/>
        </w:rPr>
        <w:t>The yellow star represents the hypocenter, and the color bar indicates the slip amount at each time range. White arrows denote the slip direction at each subfault for each time range. The white circle shows the prescribed rupture front for the slip inversion, indicating that the rupture cannot propagate faster than this circle.</w:t>
      </w:r>
    </w:p>
    <w:p w14:paraId="5F02D17D" w14:textId="0A2B7EE2" w:rsidR="00172D77" w:rsidRDefault="00172D77">
      <w:pPr>
        <w:widowControl/>
        <w:jc w:val="left"/>
        <w:rPr>
          <w:b/>
          <w:bCs w:val="0"/>
        </w:rPr>
      </w:pPr>
      <w:r>
        <w:rPr>
          <w:b/>
          <w:bCs w:val="0"/>
        </w:rPr>
        <w:br w:type="page"/>
      </w:r>
    </w:p>
    <w:p w14:paraId="41AF48BE" w14:textId="4D1EADBA" w:rsidR="00172D77" w:rsidRDefault="00172D77" w:rsidP="00BB7234">
      <w:pPr>
        <w:widowControl/>
        <w:spacing w:line="360" w:lineRule="auto"/>
        <w:jc w:val="center"/>
        <w:rPr>
          <w:b/>
          <w:bCs w:val="0"/>
        </w:rPr>
      </w:pPr>
      <w:r>
        <w:rPr>
          <w:b/>
          <w:bCs w:val="0"/>
          <w:noProof/>
        </w:rPr>
        <w:lastRenderedPageBreak/>
        <w:drawing>
          <wp:inline distT="0" distB="0" distL="0" distR="0" wp14:anchorId="2CFB896B" wp14:editId="555B1A02">
            <wp:extent cx="4359859" cy="6363633"/>
            <wp:effectExtent l="0" t="0" r="0" b="0"/>
            <wp:docPr id="656750314" name="図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56750314" name="図 656750314"/>
                    <pic:cNvPicPr/>
                  </pic:nvPicPr>
                  <pic:blipFill>
                    <a:blip r:embed="rId8">
                      <a:extLst>
                        <a:ext uri="{28A0092B-C50C-407E-A947-70E740481C1C}">
                          <a14:useLocalDpi xmlns:a14="http://schemas.microsoft.com/office/drawing/2010/main" val="0"/>
                        </a:ext>
                      </a:extLst>
                    </a:blip>
                    <a:stretch>
                      <a:fillRect/>
                    </a:stretch>
                  </pic:blipFill>
                  <pic:spPr>
                    <a:xfrm>
                      <a:off x="0" y="0"/>
                      <a:ext cx="4364644" cy="6370617"/>
                    </a:xfrm>
                    <a:prstGeom prst="rect">
                      <a:avLst/>
                    </a:prstGeom>
                  </pic:spPr>
                </pic:pic>
              </a:graphicData>
            </a:graphic>
          </wp:inline>
        </w:drawing>
      </w:r>
    </w:p>
    <w:p w14:paraId="32B9DFBD" w14:textId="5F61BCE2" w:rsidR="00CD44DC" w:rsidRPr="00CD44DC" w:rsidRDefault="00CD44DC" w:rsidP="00CD44DC">
      <w:pPr>
        <w:adjustRightInd w:val="0"/>
        <w:snapToGrid w:val="0"/>
        <w:spacing w:line="360" w:lineRule="auto"/>
        <w:rPr>
          <w:rFonts w:ascii="Arial" w:hAnsi="Arial" w:cs="Arial"/>
          <w:b/>
          <w:color w:val="000000"/>
          <w:kern w:val="0"/>
        </w:rPr>
      </w:pPr>
      <w:r w:rsidRPr="00CD44DC">
        <w:rPr>
          <w:rFonts w:ascii="Arial" w:hAnsi="Arial" w:cs="Arial"/>
          <w:b/>
          <w:color w:val="000000"/>
          <w:kern w:val="0"/>
        </w:rPr>
        <w:t xml:space="preserve">Figure </w:t>
      </w:r>
      <w:r>
        <w:rPr>
          <w:rFonts w:ascii="Arial" w:hAnsi="Arial" w:cs="Arial"/>
          <w:b/>
          <w:color w:val="000000"/>
          <w:kern w:val="0"/>
        </w:rPr>
        <w:t>S</w:t>
      </w:r>
      <w:r w:rsidRPr="00CD44DC">
        <w:rPr>
          <w:rFonts w:ascii="Arial" w:hAnsi="Arial" w:cs="Arial"/>
          <w:b/>
          <w:color w:val="000000"/>
          <w:kern w:val="0"/>
        </w:rPr>
        <w:t>1.</w:t>
      </w:r>
      <w:r>
        <w:rPr>
          <w:rFonts w:ascii="Arial" w:hAnsi="Arial" w:cs="Arial"/>
          <w:b/>
          <w:color w:val="000000"/>
          <w:kern w:val="0"/>
        </w:rPr>
        <w:t>5.</w:t>
      </w:r>
      <w:r w:rsidRPr="00CD44DC">
        <w:rPr>
          <w:rFonts w:ascii="Arial" w:hAnsi="Arial" w:cs="Arial"/>
          <w:b/>
          <w:color w:val="000000"/>
          <w:kern w:val="0"/>
        </w:rPr>
        <w:t xml:space="preserve"> Snapshot of the rupture propagation for the 20</w:t>
      </w:r>
      <w:r>
        <w:rPr>
          <w:rFonts w:ascii="Arial" w:hAnsi="Arial" w:cs="Arial"/>
          <w:b/>
          <w:color w:val="000000"/>
          <w:kern w:val="0"/>
        </w:rPr>
        <w:t>16</w:t>
      </w:r>
      <w:r w:rsidRPr="00CD44DC">
        <w:rPr>
          <w:rFonts w:ascii="Arial" w:hAnsi="Arial" w:cs="Arial"/>
          <w:b/>
          <w:color w:val="000000"/>
          <w:kern w:val="0"/>
        </w:rPr>
        <w:t xml:space="preserve"> </w:t>
      </w:r>
      <w:r>
        <w:rPr>
          <w:rFonts w:ascii="Arial" w:hAnsi="Arial" w:cs="Arial"/>
          <w:b/>
          <w:color w:val="000000"/>
          <w:kern w:val="0"/>
        </w:rPr>
        <w:t>Kumamoto Foreshock #2</w:t>
      </w:r>
      <w:r w:rsidRPr="00CD44DC">
        <w:rPr>
          <w:rFonts w:ascii="Arial" w:hAnsi="Arial" w:cs="Arial"/>
          <w:b/>
          <w:color w:val="000000"/>
          <w:kern w:val="0"/>
        </w:rPr>
        <w:t>.</w:t>
      </w:r>
    </w:p>
    <w:p w14:paraId="1FC91760" w14:textId="6B09476C" w:rsidR="00CD44DC" w:rsidRPr="00CD44DC" w:rsidRDefault="0034681B" w:rsidP="00CD44DC">
      <w:pPr>
        <w:adjustRightInd w:val="0"/>
        <w:snapToGrid w:val="0"/>
        <w:spacing w:line="360" w:lineRule="auto"/>
        <w:ind w:left="360"/>
        <w:rPr>
          <w:rFonts w:ascii="Arial" w:hAnsi="Arial" w:cs="Arial"/>
          <w:b/>
          <w:bCs w:val="0"/>
          <w:color w:val="000000"/>
          <w:kern w:val="0"/>
        </w:rPr>
      </w:pPr>
      <w:r w:rsidRPr="0034681B">
        <w:rPr>
          <w:rFonts w:ascii="Arial" w:hAnsi="Arial" w:cs="Arial"/>
          <w:color w:val="000000"/>
          <w:kern w:val="0"/>
        </w:rPr>
        <w:t>The yellow star represents the hypocenter, and the color bar indicates the slip amount at each time range. White arrows denote the slip direction at each subfault for each time range. The white circle shows the prescribed rupture front for the slip inversion, indicating that the rupture cannot propagate faster than this circle.</w:t>
      </w:r>
    </w:p>
    <w:p w14:paraId="5BAF16C3" w14:textId="05EEBC49" w:rsidR="00172D77" w:rsidRPr="00172D77" w:rsidRDefault="00172D77" w:rsidP="00172D77">
      <w:pPr>
        <w:spacing w:line="360" w:lineRule="auto"/>
        <w:rPr>
          <w:color w:val="000000" w:themeColor="text1"/>
        </w:rPr>
      </w:pPr>
      <w:r>
        <w:rPr>
          <w:b/>
          <w:bCs w:val="0"/>
        </w:rPr>
        <w:br w:type="page"/>
      </w:r>
    </w:p>
    <w:p w14:paraId="52B80EA4" w14:textId="68F45D7C" w:rsidR="00A82DD2" w:rsidRPr="00A82DD2" w:rsidRDefault="00A82DD2" w:rsidP="00EA0072">
      <w:pPr>
        <w:widowControl/>
        <w:spacing w:line="480" w:lineRule="auto"/>
        <w:jc w:val="left"/>
        <w:rPr>
          <w:b/>
          <w:bCs w:val="0"/>
        </w:rPr>
      </w:pPr>
      <w:r w:rsidRPr="00A82DD2">
        <w:rPr>
          <w:b/>
          <w:bCs w:val="0"/>
        </w:rPr>
        <w:lastRenderedPageBreak/>
        <w:t>S</w:t>
      </w:r>
      <w:r w:rsidR="00172D77">
        <w:rPr>
          <w:b/>
          <w:bCs w:val="0"/>
        </w:rPr>
        <w:t>2</w:t>
      </w:r>
      <w:r>
        <w:rPr>
          <w:b/>
          <w:bCs w:val="0"/>
        </w:rPr>
        <w:tab/>
      </w:r>
      <w:r w:rsidR="0031783E">
        <w:rPr>
          <w:b/>
          <w:bCs w:val="0"/>
        </w:rPr>
        <w:t>Spatial variation</w:t>
      </w:r>
      <w:r w:rsidRPr="00A82DD2">
        <w:rPr>
          <w:b/>
          <w:bCs w:val="0"/>
        </w:rPr>
        <w:t xml:space="preserve"> of the rupture-mode angle</w:t>
      </w:r>
    </w:p>
    <w:p w14:paraId="16C070B5" w14:textId="5999A6AB" w:rsidR="00EA0072" w:rsidRPr="00EA0072" w:rsidRDefault="00EA0072" w:rsidP="00EA0072">
      <w:pPr>
        <w:spacing w:line="480" w:lineRule="auto"/>
        <w:ind w:firstLine="360"/>
        <w:rPr>
          <w:color w:val="000000" w:themeColor="text1"/>
        </w:rPr>
      </w:pPr>
      <w:r w:rsidRPr="00CB7BC9">
        <w:rPr>
          <w:color w:val="000000" w:themeColor="text1"/>
        </w:rPr>
        <w:t xml:space="preserve">The rupture propagation intensity can express the complex rupture front from the inversion results. Figs. </w:t>
      </w:r>
      <w:r w:rsidR="00A66A01">
        <w:rPr>
          <w:color w:val="000000" w:themeColor="text1"/>
        </w:rPr>
        <w:t>S</w:t>
      </w:r>
      <w:r w:rsidR="00172D77">
        <w:rPr>
          <w:color w:val="000000" w:themeColor="text1"/>
        </w:rPr>
        <w:t>2</w:t>
      </w:r>
      <w:r w:rsidRPr="00CB7BC9">
        <w:rPr>
          <w:color w:val="000000" w:themeColor="text1"/>
        </w:rPr>
        <w:t>.1–</w:t>
      </w:r>
      <w:r w:rsidR="00A66A01">
        <w:rPr>
          <w:color w:val="000000" w:themeColor="text1"/>
        </w:rPr>
        <w:t>S</w:t>
      </w:r>
      <w:r w:rsidR="00172D77">
        <w:rPr>
          <w:color w:val="000000" w:themeColor="text1"/>
        </w:rPr>
        <w:t>2</w:t>
      </w:r>
      <w:r w:rsidRPr="00CB7BC9">
        <w:rPr>
          <w:color w:val="000000" w:themeColor="text1"/>
        </w:rPr>
        <w:t>.</w:t>
      </w:r>
      <w:r w:rsidR="00A66A01">
        <w:rPr>
          <w:color w:val="000000" w:themeColor="text1"/>
        </w:rPr>
        <w:t>5</w:t>
      </w:r>
      <w:r w:rsidRPr="00CB7BC9">
        <w:rPr>
          <w:color w:val="000000" w:themeColor="text1"/>
        </w:rPr>
        <w:t xml:space="preserve"> show the rupture-mode distribution for each earthquake.</w:t>
      </w:r>
    </w:p>
    <w:p w14:paraId="7BAE0A2E" w14:textId="77777777" w:rsidR="000F4A99" w:rsidRDefault="000F4A99" w:rsidP="00EA0072">
      <w:pPr>
        <w:widowControl/>
        <w:spacing w:line="360" w:lineRule="auto"/>
        <w:rPr>
          <w:i/>
          <w:iCs/>
        </w:rPr>
      </w:pPr>
    </w:p>
    <w:p w14:paraId="5A37919C" w14:textId="77777777" w:rsidR="000F4A99" w:rsidRDefault="000F4A99" w:rsidP="00EA0072">
      <w:pPr>
        <w:widowControl/>
        <w:spacing w:line="360" w:lineRule="auto"/>
        <w:rPr>
          <w:i/>
          <w:iCs/>
        </w:rPr>
      </w:pPr>
    </w:p>
    <w:p w14:paraId="1E3616A5" w14:textId="6DD76797" w:rsidR="00EA0072" w:rsidRPr="00CB7BC9" w:rsidRDefault="00EA0072" w:rsidP="00EA0072">
      <w:pPr>
        <w:widowControl/>
        <w:spacing w:line="360" w:lineRule="auto"/>
        <w:rPr>
          <w:rFonts w:ascii="Arial" w:hAnsi="Arial" w:cs="Arial"/>
          <w:color w:val="000000" w:themeColor="text1"/>
        </w:rPr>
      </w:pPr>
      <w:r>
        <w:rPr>
          <w:rFonts w:ascii="Arial" w:hAnsi="Arial" w:cs="Arial"/>
          <w:noProof/>
          <w:color w:val="000000" w:themeColor="text1"/>
          <w14:ligatures w14:val="standardContextual"/>
        </w:rPr>
        <w:drawing>
          <wp:inline distT="0" distB="0" distL="0" distR="0" wp14:anchorId="030C6764" wp14:editId="4816636D">
            <wp:extent cx="5698758" cy="4126687"/>
            <wp:effectExtent l="0" t="0" r="3810" b="1270"/>
            <wp:docPr id="152716589" name="Picture 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2716589" name="Picture 78"/>
                    <pic:cNvPicPr/>
                  </pic:nvPicPr>
                  <pic:blipFill>
                    <a:blip r:embed="rId9"/>
                    <a:stretch>
                      <a:fillRect/>
                    </a:stretch>
                  </pic:blipFill>
                  <pic:spPr>
                    <a:xfrm>
                      <a:off x="0" y="0"/>
                      <a:ext cx="5698758" cy="4126687"/>
                    </a:xfrm>
                    <a:prstGeom prst="rect">
                      <a:avLst/>
                    </a:prstGeom>
                  </pic:spPr>
                </pic:pic>
              </a:graphicData>
            </a:graphic>
          </wp:inline>
        </w:drawing>
      </w:r>
    </w:p>
    <w:p w14:paraId="1C0F808D" w14:textId="3C3B198F" w:rsidR="00EA0072" w:rsidRPr="00CB7BC9" w:rsidRDefault="00EA0072" w:rsidP="00EA0072">
      <w:pPr>
        <w:snapToGrid w:val="0"/>
        <w:spacing w:line="360" w:lineRule="auto"/>
        <w:rPr>
          <w:rFonts w:ascii="Arial" w:hAnsi="Arial" w:cs="Arial"/>
          <w:b/>
          <w:color w:val="000000" w:themeColor="text1"/>
        </w:rPr>
      </w:pPr>
      <w:r w:rsidRPr="00CB7BC9">
        <w:rPr>
          <w:rFonts w:ascii="Arial" w:hAnsi="Arial" w:cs="Arial"/>
          <w:b/>
          <w:color w:val="000000" w:themeColor="text1"/>
        </w:rPr>
        <w:t xml:space="preserve">Figure </w:t>
      </w:r>
      <w:r>
        <w:rPr>
          <w:rFonts w:ascii="Arial" w:hAnsi="Arial" w:cs="Arial"/>
          <w:b/>
          <w:color w:val="000000" w:themeColor="text1"/>
        </w:rPr>
        <w:t>S</w:t>
      </w:r>
      <w:r w:rsidR="00172D77">
        <w:rPr>
          <w:rFonts w:ascii="Arial" w:hAnsi="Arial" w:cs="Arial"/>
          <w:b/>
          <w:color w:val="000000" w:themeColor="text1"/>
        </w:rPr>
        <w:t>2</w:t>
      </w:r>
      <w:r w:rsidRPr="00CB7BC9">
        <w:rPr>
          <w:rFonts w:ascii="Arial" w:hAnsi="Arial" w:cs="Arial"/>
          <w:b/>
          <w:color w:val="000000" w:themeColor="text1"/>
        </w:rPr>
        <w:t xml:space="preserve">.1. Spatiotemporal distribution of the </w:t>
      </w:r>
      <w:r w:rsidR="00AC7885">
        <w:rPr>
          <w:rFonts w:ascii="Arial" w:hAnsi="Arial" w:cs="Arial"/>
          <w:b/>
          <w:color w:val="000000" w:themeColor="text1"/>
        </w:rPr>
        <w:t>rupture mode</w:t>
      </w:r>
      <w:r w:rsidRPr="00CB7BC9">
        <w:rPr>
          <w:rFonts w:ascii="Arial" w:hAnsi="Arial" w:cs="Arial"/>
          <w:b/>
          <w:color w:val="000000" w:themeColor="text1"/>
        </w:rPr>
        <w:t xml:space="preserve"> angles for the 2008 Iwate Miyagi Inland earthquake.</w:t>
      </w:r>
    </w:p>
    <w:p w14:paraId="19C35513" w14:textId="794C117C" w:rsidR="00EA0072" w:rsidRPr="00CB7BC9" w:rsidRDefault="00AC7885" w:rsidP="00EA0072">
      <w:pPr>
        <w:snapToGrid w:val="0"/>
        <w:spacing w:line="360" w:lineRule="auto"/>
        <w:ind w:left="360"/>
        <w:rPr>
          <w:rFonts w:ascii="Arial" w:hAnsi="Arial" w:cs="Arial"/>
          <w:color w:val="000000" w:themeColor="text1"/>
        </w:rPr>
      </w:pPr>
      <w:r w:rsidRPr="00AC7885">
        <w:rPr>
          <w:rFonts w:ascii="Arial" w:hAnsi="Arial" w:cs="Arial"/>
          <w:color w:val="000000" w:themeColor="text1"/>
        </w:rPr>
        <w:t>Each panel displays the distribution of the rupture mode angle at the reference time indicated above the panel. The rupture mode angle is represented by the circle colored according to the color bar, with the circle size indicating the value of the rupture propagation intensity at the peak angle. A subfault with no circle indicates no slip at the reference time. The black star denotes the hypocenter.</w:t>
      </w:r>
      <w:r w:rsidR="00EA0072" w:rsidRPr="00CB7BC9">
        <w:rPr>
          <w:rFonts w:ascii="Arial" w:hAnsi="Arial" w:cs="Arial"/>
          <w:color w:val="000000" w:themeColor="text1"/>
        </w:rPr>
        <w:t xml:space="preserve"> </w:t>
      </w:r>
      <w:r w:rsidR="00EA0072" w:rsidRPr="00CB7BC9">
        <w:rPr>
          <w:rFonts w:ascii="Arial" w:hAnsi="Arial" w:cs="Arial"/>
          <w:color w:val="000000" w:themeColor="text1"/>
        </w:rPr>
        <w:br w:type="page"/>
      </w:r>
    </w:p>
    <w:p w14:paraId="48B6182D" w14:textId="77777777" w:rsidR="00EA0072" w:rsidRPr="00CB7BC9" w:rsidRDefault="00EA0072" w:rsidP="00EA0072">
      <w:pPr>
        <w:widowControl/>
        <w:spacing w:line="360" w:lineRule="auto"/>
        <w:jc w:val="center"/>
        <w:rPr>
          <w:rFonts w:ascii="Arial" w:hAnsi="Arial" w:cs="Arial"/>
          <w:color w:val="000000" w:themeColor="text1"/>
        </w:rPr>
      </w:pPr>
      <w:r>
        <w:rPr>
          <w:rFonts w:ascii="Arial" w:hAnsi="Arial" w:cs="Arial"/>
          <w:noProof/>
          <w:color w:val="000000" w:themeColor="text1"/>
          <w14:ligatures w14:val="standardContextual"/>
        </w:rPr>
        <w:lastRenderedPageBreak/>
        <w:drawing>
          <wp:inline distT="0" distB="0" distL="0" distR="0" wp14:anchorId="1DE779BD" wp14:editId="7E6732FD">
            <wp:extent cx="6010692" cy="3932067"/>
            <wp:effectExtent l="0" t="0" r="0" b="5080"/>
            <wp:docPr id="235716380" name="Picture 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5716380" name="Picture 81"/>
                    <pic:cNvPicPr/>
                  </pic:nvPicPr>
                  <pic:blipFill>
                    <a:blip r:embed="rId10"/>
                    <a:stretch>
                      <a:fillRect/>
                    </a:stretch>
                  </pic:blipFill>
                  <pic:spPr>
                    <a:xfrm>
                      <a:off x="0" y="0"/>
                      <a:ext cx="6010692" cy="3932067"/>
                    </a:xfrm>
                    <a:prstGeom prst="rect">
                      <a:avLst/>
                    </a:prstGeom>
                  </pic:spPr>
                </pic:pic>
              </a:graphicData>
            </a:graphic>
          </wp:inline>
        </w:drawing>
      </w:r>
    </w:p>
    <w:p w14:paraId="0CCA5117" w14:textId="22706C90" w:rsidR="00EA0072" w:rsidRPr="00CB7BC9" w:rsidRDefault="00EA0072" w:rsidP="00EA0072">
      <w:pPr>
        <w:snapToGrid w:val="0"/>
        <w:spacing w:line="360" w:lineRule="auto"/>
        <w:rPr>
          <w:rFonts w:ascii="Arial" w:hAnsi="Arial" w:cs="Arial"/>
          <w:b/>
          <w:color w:val="000000" w:themeColor="text1"/>
        </w:rPr>
      </w:pPr>
      <w:r w:rsidRPr="00CB7BC9">
        <w:rPr>
          <w:rFonts w:ascii="Arial" w:hAnsi="Arial" w:cs="Arial"/>
          <w:b/>
          <w:color w:val="000000" w:themeColor="text1"/>
        </w:rPr>
        <w:t xml:space="preserve">Figure </w:t>
      </w:r>
      <w:r>
        <w:rPr>
          <w:rFonts w:ascii="Arial" w:hAnsi="Arial" w:cs="Arial"/>
          <w:b/>
          <w:color w:val="000000" w:themeColor="text1"/>
        </w:rPr>
        <w:t>S</w:t>
      </w:r>
      <w:r w:rsidR="00172D77">
        <w:rPr>
          <w:rFonts w:ascii="Arial" w:hAnsi="Arial" w:cs="Arial"/>
          <w:b/>
          <w:color w:val="000000" w:themeColor="text1"/>
        </w:rPr>
        <w:t>2</w:t>
      </w:r>
      <w:r w:rsidRPr="00CB7BC9">
        <w:rPr>
          <w:rFonts w:ascii="Arial" w:hAnsi="Arial" w:cs="Arial"/>
          <w:b/>
          <w:color w:val="000000" w:themeColor="text1"/>
        </w:rPr>
        <w:t>.</w:t>
      </w:r>
      <w:r w:rsidR="00A82DD2">
        <w:rPr>
          <w:rFonts w:ascii="Arial" w:hAnsi="Arial" w:cs="Arial"/>
          <w:b/>
          <w:color w:val="000000" w:themeColor="text1"/>
        </w:rPr>
        <w:t>2</w:t>
      </w:r>
      <w:r w:rsidRPr="00CB7BC9">
        <w:rPr>
          <w:rFonts w:ascii="Arial" w:hAnsi="Arial" w:cs="Arial"/>
          <w:b/>
          <w:color w:val="000000" w:themeColor="text1"/>
        </w:rPr>
        <w:t xml:space="preserve">. Spatiotemporal distribution of the </w:t>
      </w:r>
      <w:r w:rsidR="00AC7885">
        <w:rPr>
          <w:rFonts w:ascii="Arial" w:hAnsi="Arial" w:cs="Arial"/>
          <w:b/>
          <w:color w:val="000000" w:themeColor="text1"/>
        </w:rPr>
        <w:t>rupture mode</w:t>
      </w:r>
      <w:r w:rsidRPr="00CB7BC9">
        <w:rPr>
          <w:rFonts w:ascii="Arial" w:hAnsi="Arial" w:cs="Arial"/>
          <w:b/>
          <w:color w:val="000000" w:themeColor="text1"/>
        </w:rPr>
        <w:t xml:space="preserve"> angle for the 2004 Niigata Chuetsu earthquake.</w:t>
      </w:r>
    </w:p>
    <w:p w14:paraId="4895918F" w14:textId="116709B9" w:rsidR="00EA0072" w:rsidRDefault="00AC7885" w:rsidP="00EA0072">
      <w:pPr>
        <w:snapToGrid w:val="0"/>
        <w:spacing w:line="360" w:lineRule="auto"/>
        <w:ind w:left="360"/>
        <w:rPr>
          <w:rFonts w:ascii="Arial" w:hAnsi="Arial" w:cs="Arial"/>
          <w:color w:val="000000" w:themeColor="text1"/>
        </w:rPr>
      </w:pPr>
      <w:r w:rsidRPr="00AC7885">
        <w:rPr>
          <w:rFonts w:ascii="Arial" w:hAnsi="Arial" w:cs="Arial"/>
          <w:color w:val="000000" w:themeColor="text1"/>
        </w:rPr>
        <w:t>Each panel displays the distribution of the rupture mode angle at the reference time indicated above the panel. The rupture mode angle is represented by the circle colored according to the color bar, with the circle size indicating the value of the rupture propagation intensity at the peak angle. A subfault with no circle indicates no slip at the reference time. The black star denotes the hypocenter.</w:t>
      </w:r>
    </w:p>
    <w:p w14:paraId="2CFDE940" w14:textId="39C83DDF" w:rsidR="00EA0072" w:rsidRDefault="00EA0072">
      <w:pPr>
        <w:widowControl/>
        <w:jc w:val="left"/>
        <w:rPr>
          <w:rFonts w:ascii="Arial" w:hAnsi="Arial" w:cs="Arial"/>
          <w:color w:val="000000" w:themeColor="text1"/>
        </w:rPr>
      </w:pPr>
      <w:r>
        <w:rPr>
          <w:rFonts w:ascii="Arial" w:hAnsi="Arial" w:cs="Arial"/>
          <w:color w:val="000000" w:themeColor="text1"/>
        </w:rPr>
        <w:br w:type="page"/>
      </w:r>
    </w:p>
    <w:p w14:paraId="23EA0EF9" w14:textId="77777777" w:rsidR="00EA0072" w:rsidRPr="00CB7BC9" w:rsidRDefault="00EA0072" w:rsidP="00EA0072">
      <w:pPr>
        <w:widowControl/>
        <w:spacing w:line="360" w:lineRule="auto"/>
        <w:jc w:val="center"/>
        <w:rPr>
          <w:rFonts w:ascii="Arial" w:hAnsi="Arial" w:cs="Arial"/>
          <w:color w:val="000000" w:themeColor="text1"/>
        </w:rPr>
      </w:pPr>
      <w:r>
        <w:rPr>
          <w:rFonts w:ascii="Arial" w:hAnsi="Arial" w:cs="Arial"/>
          <w:noProof/>
          <w:color w:val="000000" w:themeColor="text1"/>
          <w14:ligatures w14:val="standardContextual"/>
        </w:rPr>
        <w:lastRenderedPageBreak/>
        <w:drawing>
          <wp:inline distT="0" distB="0" distL="0" distR="0" wp14:anchorId="35A2B9E2" wp14:editId="62D81C89">
            <wp:extent cx="6005906" cy="2805908"/>
            <wp:effectExtent l="0" t="0" r="1270" b="1270"/>
            <wp:docPr id="51522015" name="Picture 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522015" name="Picture 82"/>
                    <pic:cNvPicPr/>
                  </pic:nvPicPr>
                  <pic:blipFill>
                    <a:blip r:embed="rId11"/>
                    <a:stretch>
                      <a:fillRect/>
                    </a:stretch>
                  </pic:blipFill>
                  <pic:spPr>
                    <a:xfrm>
                      <a:off x="0" y="0"/>
                      <a:ext cx="6005906" cy="2805908"/>
                    </a:xfrm>
                    <a:prstGeom prst="rect">
                      <a:avLst/>
                    </a:prstGeom>
                  </pic:spPr>
                </pic:pic>
              </a:graphicData>
            </a:graphic>
          </wp:inline>
        </w:drawing>
      </w:r>
    </w:p>
    <w:p w14:paraId="654D2E50" w14:textId="1A1CD505" w:rsidR="00EA0072" w:rsidRPr="00CB7BC9" w:rsidRDefault="00EA0072" w:rsidP="00EA0072">
      <w:pPr>
        <w:snapToGrid w:val="0"/>
        <w:spacing w:line="360" w:lineRule="auto"/>
        <w:rPr>
          <w:rFonts w:ascii="Arial" w:hAnsi="Arial" w:cs="Arial"/>
          <w:b/>
          <w:color w:val="000000" w:themeColor="text1"/>
        </w:rPr>
      </w:pPr>
      <w:r w:rsidRPr="00CB7BC9">
        <w:rPr>
          <w:rFonts w:ascii="Arial" w:hAnsi="Arial" w:cs="Arial"/>
          <w:b/>
          <w:color w:val="000000" w:themeColor="text1"/>
        </w:rPr>
        <w:t xml:space="preserve">Figure </w:t>
      </w:r>
      <w:r>
        <w:rPr>
          <w:rFonts w:ascii="Arial" w:hAnsi="Arial" w:cs="Arial"/>
          <w:b/>
          <w:color w:val="000000" w:themeColor="text1"/>
        </w:rPr>
        <w:t>S</w:t>
      </w:r>
      <w:r w:rsidR="00172D77">
        <w:rPr>
          <w:rFonts w:ascii="Arial" w:hAnsi="Arial" w:cs="Arial"/>
          <w:b/>
          <w:color w:val="000000" w:themeColor="text1"/>
        </w:rPr>
        <w:t>2</w:t>
      </w:r>
      <w:r w:rsidRPr="00CB7BC9">
        <w:rPr>
          <w:rFonts w:ascii="Arial" w:hAnsi="Arial" w:cs="Arial"/>
          <w:b/>
          <w:color w:val="000000" w:themeColor="text1"/>
        </w:rPr>
        <w:t>.</w:t>
      </w:r>
      <w:r w:rsidR="00A82DD2">
        <w:rPr>
          <w:rFonts w:ascii="Arial" w:hAnsi="Arial" w:cs="Arial"/>
          <w:b/>
          <w:color w:val="000000" w:themeColor="text1"/>
        </w:rPr>
        <w:t>3</w:t>
      </w:r>
      <w:r w:rsidRPr="00CB7BC9">
        <w:rPr>
          <w:rFonts w:ascii="Arial" w:hAnsi="Arial" w:cs="Arial"/>
          <w:b/>
          <w:color w:val="000000" w:themeColor="text1"/>
        </w:rPr>
        <w:t xml:space="preserve">. Spatiotemporal distribution of the </w:t>
      </w:r>
      <w:r w:rsidR="00AC7885">
        <w:rPr>
          <w:rFonts w:ascii="Arial" w:hAnsi="Arial" w:cs="Arial"/>
          <w:b/>
          <w:color w:val="000000" w:themeColor="text1"/>
        </w:rPr>
        <w:t>rupture mode</w:t>
      </w:r>
      <w:r w:rsidRPr="00CB7BC9">
        <w:rPr>
          <w:rFonts w:ascii="Arial" w:hAnsi="Arial" w:cs="Arial"/>
          <w:b/>
          <w:color w:val="000000" w:themeColor="text1"/>
        </w:rPr>
        <w:t xml:space="preserve"> angle for the 2016 Central Tottori earthquake.</w:t>
      </w:r>
    </w:p>
    <w:p w14:paraId="5CF69451" w14:textId="51D903D0" w:rsidR="00EA0072" w:rsidRPr="00CB7BC9" w:rsidRDefault="00AC7885" w:rsidP="00EA0072">
      <w:pPr>
        <w:snapToGrid w:val="0"/>
        <w:spacing w:line="360" w:lineRule="auto"/>
        <w:ind w:left="360"/>
        <w:rPr>
          <w:rFonts w:ascii="Arial" w:hAnsi="Arial" w:cs="Arial"/>
          <w:color w:val="000000" w:themeColor="text1"/>
        </w:rPr>
      </w:pPr>
      <w:r w:rsidRPr="00AC7885">
        <w:rPr>
          <w:rFonts w:ascii="Arial" w:hAnsi="Arial" w:cs="Arial"/>
          <w:color w:val="000000" w:themeColor="text1"/>
        </w:rPr>
        <w:t>Each panel displays the distribution of the rupture mode angle at the reference time indicated above the panel. The rupture mode angle is represented by the circle colored according to the color bar, with the circle size indicating the value of the rupture propagation intensity at the peak angle. A subfault with no circle indicates no slip at the reference time. The black star denotes the hypocenter.</w:t>
      </w:r>
      <w:r w:rsidR="00EA0072" w:rsidRPr="00CB7BC9">
        <w:rPr>
          <w:rFonts w:ascii="Arial" w:hAnsi="Arial" w:cs="Arial"/>
          <w:color w:val="000000" w:themeColor="text1"/>
        </w:rPr>
        <w:br w:type="page"/>
      </w:r>
    </w:p>
    <w:p w14:paraId="7AA4DEC9" w14:textId="77777777" w:rsidR="00EA0072" w:rsidRPr="00CB7BC9" w:rsidRDefault="00EA0072" w:rsidP="00EA0072">
      <w:pPr>
        <w:widowControl/>
        <w:spacing w:line="360" w:lineRule="auto"/>
        <w:jc w:val="center"/>
        <w:rPr>
          <w:rFonts w:ascii="Arial" w:hAnsi="Arial" w:cs="Arial"/>
          <w:color w:val="000000" w:themeColor="text1"/>
        </w:rPr>
      </w:pPr>
      <w:r>
        <w:rPr>
          <w:rFonts w:ascii="Arial" w:hAnsi="Arial" w:cs="Arial"/>
          <w:noProof/>
          <w:color w:val="000000" w:themeColor="text1"/>
          <w14:ligatures w14:val="standardContextual"/>
        </w:rPr>
        <w:lastRenderedPageBreak/>
        <w:drawing>
          <wp:inline distT="0" distB="0" distL="0" distR="0" wp14:anchorId="2EAC023E" wp14:editId="7C84EBF8">
            <wp:extent cx="5215257" cy="3778401"/>
            <wp:effectExtent l="0" t="0" r="4445" b="6350"/>
            <wp:docPr id="1101115760" name="Picture 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01115760" name="Picture 83"/>
                    <pic:cNvPicPr/>
                  </pic:nvPicPr>
                  <pic:blipFill>
                    <a:blip r:embed="rId12"/>
                    <a:stretch>
                      <a:fillRect/>
                    </a:stretch>
                  </pic:blipFill>
                  <pic:spPr>
                    <a:xfrm>
                      <a:off x="0" y="0"/>
                      <a:ext cx="5215257" cy="3778401"/>
                    </a:xfrm>
                    <a:prstGeom prst="rect">
                      <a:avLst/>
                    </a:prstGeom>
                  </pic:spPr>
                </pic:pic>
              </a:graphicData>
            </a:graphic>
          </wp:inline>
        </w:drawing>
      </w:r>
    </w:p>
    <w:p w14:paraId="2203AC6C" w14:textId="203B2521" w:rsidR="00EA0072" w:rsidRPr="00CB7BC9" w:rsidRDefault="00EA0072" w:rsidP="00EA0072">
      <w:pPr>
        <w:snapToGrid w:val="0"/>
        <w:spacing w:line="360" w:lineRule="auto"/>
        <w:rPr>
          <w:rFonts w:ascii="Arial" w:hAnsi="Arial" w:cs="Arial"/>
          <w:b/>
          <w:color w:val="000000" w:themeColor="text1"/>
        </w:rPr>
      </w:pPr>
      <w:r w:rsidRPr="00CB7BC9">
        <w:rPr>
          <w:rFonts w:ascii="Arial" w:hAnsi="Arial" w:cs="Arial"/>
          <w:b/>
          <w:color w:val="000000" w:themeColor="text1"/>
        </w:rPr>
        <w:t xml:space="preserve">Figure </w:t>
      </w:r>
      <w:r>
        <w:rPr>
          <w:rFonts w:ascii="Arial" w:hAnsi="Arial" w:cs="Arial"/>
          <w:b/>
          <w:color w:val="000000" w:themeColor="text1"/>
        </w:rPr>
        <w:t>S</w:t>
      </w:r>
      <w:r w:rsidR="00172D77">
        <w:rPr>
          <w:rFonts w:ascii="Arial" w:hAnsi="Arial" w:cs="Arial"/>
          <w:b/>
          <w:color w:val="000000" w:themeColor="text1"/>
        </w:rPr>
        <w:t>2</w:t>
      </w:r>
      <w:r>
        <w:rPr>
          <w:rFonts w:ascii="Arial" w:hAnsi="Arial" w:cs="Arial"/>
          <w:b/>
          <w:color w:val="000000" w:themeColor="text1"/>
        </w:rPr>
        <w:t>.</w:t>
      </w:r>
      <w:r w:rsidR="00A82DD2">
        <w:rPr>
          <w:rFonts w:ascii="Arial" w:hAnsi="Arial" w:cs="Arial"/>
          <w:b/>
          <w:color w:val="000000" w:themeColor="text1"/>
        </w:rPr>
        <w:t>4</w:t>
      </w:r>
      <w:r w:rsidRPr="00CB7BC9">
        <w:rPr>
          <w:rFonts w:ascii="Arial" w:hAnsi="Arial" w:cs="Arial"/>
          <w:b/>
          <w:color w:val="000000" w:themeColor="text1"/>
        </w:rPr>
        <w:t xml:space="preserve">. Spatiotemporal distribution of the </w:t>
      </w:r>
      <w:r w:rsidR="00AC7885">
        <w:rPr>
          <w:rFonts w:ascii="Arial" w:hAnsi="Arial" w:cs="Arial"/>
          <w:b/>
          <w:color w:val="000000" w:themeColor="text1"/>
        </w:rPr>
        <w:t>rupture mode</w:t>
      </w:r>
      <w:r w:rsidRPr="00CB7BC9">
        <w:rPr>
          <w:rFonts w:ascii="Arial" w:hAnsi="Arial" w:cs="Arial"/>
          <w:b/>
          <w:color w:val="000000" w:themeColor="text1"/>
        </w:rPr>
        <w:t xml:space="preserve"> angle for the 2016 Kumamoto Foreshock #1.</w:t>
      </w:r>
    </w:p>
    <w:p w14:paraId="01FA7831" w14:textId="4CA4605D" w:rsidR="00EA0072" w:rsidRDefault="00AC7885" w:rsidP="00EA0072">
      <w:pPr>
        <w:snapToGrid w:val="0"/>
        <w:spacing w:line="360" w:lineRule="auto"/>
        <w:ind w:left="360"/>
        <w:rPr>
          <w:rFonts w:ascii="Arial" w:hAnsi="Arial" w:cs="Arial"/>
          <w:color w:val="000000" w:themeColor="text1"/>
        </w:rPr>
      </w:pPr>
      <w:r w:rsidRPr="00AC7885">
        <w:rPr>
          <w:rFonts w:ascii="Arial" w:hAnsi="Arial" w:cs="Arial"/>
          <w:color w:val="000000" w:themeColor="text1"/>
        </w:rPr>
        <w:t>Each panel displays the distribution of the rupture mode angle at the reference time indicated above the panel. The rupture mode angle is represented by the circle colored according to the color bar, with the circle size indicating the value of the rupture propagation intensity at the peak angle. A subfault with no circle indicates no slip at the reference time. The black star denotes the hypocenter.</w:t>
      </w:r>
    </w:p>
    <w:p w14:paraId="00E191D3" w14:textId="27E573C2" w:rsidR="00EA0072" w:rsidRDefault="00EA0072">
      <w:pPr>
        <w:widowControl/>
        <w:jc w:val="left"/>
        <w:rPr>
          <w:rFonts w:ascii="Arial" w:hAnsi="Arial" w:cs="Arial"/>
          <w:color w:val="000000" w:themeColor="text1"/>
        </w:rPr>
      </w:pPr>
      <w:r>
        <w:rPr>
          <w:rFonts w:ascii="Arial" w:hAnsi="Arial" w:cs="Arial"/>
          <w:color w:val="000000" w:themeColor="text1"/>
        </w:rPr>
        <w:br w:type="page"/>
      </w:r>
    </w:p>
    <w:p w14:paraId="68A3EA99" w14:textId="77777777" w:rsidR="00EA0072" w:rsidRPr="00CB7BC9" w:rsidRDefault="00EA0072" w:rsidP="00EA0072">
      <w:pPr>
        <w:widowControl/>
        <w:spacing w:line="360" w:lineRule="auto"/>
        <w:jc w:val="center"/>
        <w:rPr>
          <w:rFonts w:ascii="Arial" w:hAnsi="Arial" w:cs="Arial"/>
          <w:color w:val="000000" w:themeColor="text1"/>
        </w:rPr>
      </w:pPr>
      <w:r>
        <w:rPr>
          <w:rFonts w:ascii="Arial" w:hAnsi="Arial" w:cs="Arial"/>
          <w:noProof/>
          <w:color w:val="000000" w:themeColor="text1"/>
          <w14:ligatures w14:val="standardContextual"/>
        </w:rPr>
        <w:lastRenderedPageBreak/>
        <w:drawing>
          <wp:inline distT="0" distB="0" distL="0" distR="0" wp14:anchorId="5CA66037" wp14:editId="00AEC548">
            <wp:extent cx="4422870" cy="4158818"/>
            <wp:effectExtent l="0" t="0" r="0" b="0"/>
            <wp:docPr id="1203921234" name="Picture 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03921234" name="Picture 84"/>
                    <pic:cNvPicPr/>
                  </pic:nvPicPr>
                  <pic:blipFill>
                    <a:blip r:embed="rId13"/>
                    <a:stretch>
                      <a:fillRect/>
                    </a:stretch>
                  </pic:blipFill>
                  <pic:spPr>
                    <a:xfrm>
                      <a:off x="0" y="0"/>
                      <a:ext cx="4422870" cy="4158818"/>
                    </a:xfrm>
                    <a:prstGeom prst="rect">
                      <a:avLst/>
                    </a:prstGeom>
                  </pic:spPr>
                </pic:pic>
              </a:graphicData>
            </a:graphic>
          </wp:inline>
        </w:drawing>
      </w:r>
    </w:p>
    <w:p w14:paraId="736BE117" w14:textId="0E4416A1" w:rsidR="00EA0072" w:rsidRPr="00CB7BC9" w:rsidRDefault="00EA0072" w:rsidP="00EA0072">
      <w:pPr>
        <w:snapToGrid w:val="0"/>
        <w:spacing w:line="360" w:lineRule="auto"/>
        <w:rPr>
          <w:rFonts w:ascii="Arial" w:hAnsi="Arial" w:cs="Arial"/>
          <w:b/>
          <w:color w:val="000000" w:themeColor="text1"/>
        </w:rPr>
      </w:pPr>
      <w:r w:rsidRPr="00CB7BC9">
        <w:rPr>
          <w:rFonts w:ascii="Arial" w:hAnsi="Arial" w:cs="Arial"/>
          <w:b/>
          <w:color w:val="000000" w:themeColor="text1"/>
        </w:rPr>
        <w:t xml:space="preserve">Figure </w:t>
      </w:r>
      <w:r>
        <w:rPr>
          <w:rFonts w:ascii="Arial" w:hAnsi="Arial" w:cs="Arial"/>
          <w:b/>
          <w:color w:val="000000" w:themeColor="text1"/>
        </w:rPr>
        <w:t>S</w:t>
      </w:r>
      <w:r w:rsidR="00172D77">
        <w:rPr>
          <w:rFonts w:ascii="Arial" w:hAnsi="Arial" w:cs="Arial"/>
          <w:b/>
          <w:color w:val="000000" w:themeColor="text1"/>
        </w:rPr>
        <w:t>2</w:t>
      </w:r>
      <w:r w:rsidRPr="00CB7BC9">
        <w:rPr>
          <w:rFonts w:ascii="Arial" w:hAnsi="Arial" w:cs="Arial"/>
          <w:b/>
          <w:color w:val="000000" w:themeColor="text1"/>
        </w:rPr>
        <w:t>.</w:t>
      </w:r>
      <w:r w:rsidR="00A82DD2">
        <w:rPr>
          <w:rFonts w:ascii="Arial" w:hAnsi="Arial" w:cs="Arial"/>
          <w:b/>
          <w:color w:val="000000" w:themeColor="text1"/>
        </w:rPr>
        <w:t>5</w:t>
      </w:r>
      <w:r w:rsidRPr="00CB7BC9">
        <w:rPr>
          <w:rFonts w:ascii="Arial" w:hAnsi="Arial" w:cs="Arial"/>
          <w:b/>
          <w:color w:val="000000" w:themeColor="text1"/>
        </w:rPr>
        <w:t xml:space="preserve">. Spatiotemporal distribution of the </w:t>
      </w:r>
      <w:r w:rsidR="00AC7885">
        <w:rPr>
          <w:rFonts w:ascii="Arial" w:hAnsi="Arial" w:cs="Arial"/>
          <w:b/>
          <w:color w:val="000000" w:themeColor="text1"/>
        </w:rPr>
        <w:t>rupture mode</w:t>
      </w:r>
      <w:r w:rsidRPr="00CB7BC9">
        <w:rPr>
          <w:rFonts w:ascii="Arial" w:hAnsi="Arial" w:cs="Arial" w:hint="eastAsia"/>
          <w:b/>
          <w:color w:val="000000" w:themeColor="text1"/>
        </w:rPr>
        <w:t xml:space="preserve"> </w:t>
      </w:r>
      <w:r w:rsidRPr="00CB7BC9">
        <w:rPr>
          <w:rFonts w:ascii="Arial" w:hAnsi="Arial" w:cs="Arial"/>
          <w:b/>
          <w:color w:val="000000" w:themeColor="text1"/>
        </w:rPr>
        <w:t>angle for the 2016 Kumamoto Foreshock #2.</w:t>
      </w:r>
    </w:p>
    <w:bookmarkEnd w:id="0"/>
    <w:p w14:paraId="58225F15" w14:textId="417661B4" w:rsidR="002E6B70" w:rsidRDefault="00AC7885" w:rsidP="002E6B70">
      <w:pPr>
        <w:snapToGrid w:val="0"/>
        <w:spacing w:line="360" w:lineRule="auto"/>
        <w:ind w:left="360"/>
        <w:rPr>
          <w:rFonts w:cs="Times New Roman"/>
          <w:color w:val="000000" w:themeColor="text1"/>
        </w:rPr>
      </w:pPr>
      <w:r w:rsidRPr="00AC7885">
        <w:rPr>
          <w:rFonts w:ascii="Arial" w:hAnsi="Arial" w:cs="Arial"/>
          <w:color w:val="000000" w:themeColor="text1"/>
        </w:rPr>
        <w:t>Each panel displays the distribution of the rupture mode angle at the reference time indicated above the panel. The rupture mode angle is represented by the circle colored according to the color bar, with the circle size indicating the value of the rupture propagation intensity at the peak angle. A subfault with no circle indicates no slip at the reference time. The black star denotes the hypocenter.</w:t>
      </w:r>
    </w:p>
    <w:p w14:paraId="17A56696" w14:textId="77777777" w:rsidR="002E6B70" w:rsidRDefault="002E6B70">
      <w:pPr>
        <w:widowControl/>
        <w:jc w:val="left"/>
        <w:rPr>
          <w:rFonts w:cs="Times New Roman"/>
          <w:color w:val="000000" w:themeColor="text1"/>
        </w:rPr>
      </w:pPr>
      <w:r>
        <w:rPr>
          <w:rFonts w:cs="Times New Roman"/>
          <w:color w:val="000000" w:themeColor="text1"/>
        </w:rPr>
        <w:br w:type="page"/>
      </w:r>
    </w:p>
    <w:p w14:paraId="163C0D7C" w14:textId="5C3FFF34" w:rsidR="00B24B98" w:rsidRDefault="002E6B70" w:rsidP="00D2682A">
      <w:pPr>
        <w:spacing w:line="480" w:lineRule="auto"/>
        <w:rPr>
          <w:rFonts w:cs="Times New Roman"/>
          <w:b/>
          <w:bCs w:val="0"/>
          <w:color w:val="000000" w:themeColor="text1"/>
        </w:rPr>
      </w:pPr>
      <w:r w:rsidRPr="002E6B70">
        <w:rPr>
          <w:rFonts w:cs="Times New Roman"/>
          <w:b/>
          <w:bCs w:val="0"/>
          <w:color w:val="000000" w:themeColor="text1"/>
        </w:rPr>
        <w:lastRenderedPageBreak/>
        <w:t>S</w:t>
      </w:r>
      <w:r w:rsidR="001F0BB8">
        <w:rPr>
          <w:rFonts w:cs="Times New Roman"/>
          <w:b/>
          <w:bCs w:val="0"/>
          <w:color w:val="000000" w:themeColor="text1"/>
        </w:rPr>
        <w:t>3</w:t>
      </w:r>
      <w:r w:rsidRPr="002E6B70">
        <w:rPr>
          <w:rFonts w:cs="Times New Roman"/>
          <w:b/>
          <w:bCs w:val="0"/>
          <w:color w:val="000000" w:themeColor="text1"/>
        </w:rPr>
        <w:tab/>
        <w:t>Uncertainty in the rupture-mode angle</w:t>
      </w:r>
    </w:p>
    <w:p w14:paraId="05F89633" w14:textId="3968E140" w:rsidR="002E6B70" w:rsidRPr="00AC11C8" w:rsidRDefault="002E6B70" w:rsidP="002E6B70">
      <w:pPr>
        <w:widowControl/>
        <w:spacing w:line="480" w:lineRule="auto"/>
        <w:ind w:firstLine="360"/>
        <w:rPr>
          <w:color w:val="000000" w:themeColor="text1"/>
        </w:rPr>
      </w:pPr>
      <w:r w:rsidRPr="00AC11C8">
        <w:rPr>
          <w:color w:val="000000" w:themeColor="text1"/>
        </w:rPr>
        <w:t xml:space="preserve">We investigated the uncertainty in the rupture-mode angle using the 100 iterations of the bootstrapping test. Figs. </w:t>
      </w:r>
      <w:r w:rsidR="00A66A01">
        <w:rPr>
          <w:color w:val="000000" w:themeColor="text1"/>
        </w:rPr>
        <w:t>S</w:t>
      </w:r>
      <w:r w:rsidR="00D078BD">
        <w:rPr>
          <w:color w:val="000000" w:themeColor="text1"/>
        </w:rPr>
        <w:t>3</w:t>
      </w:r>
      <w:r w:rsidRPr="00AC11C8">
        <w:rPr>
          <w:color w:val="000000" w:themeColor="text1"/>
        </w:rPr>
        <w:t>.1–</w:t>
      </w:r>
      <w:r w:rsidR="00A66A01">
        <w:rPr>
          <w:color w:val="000000" w:themeColor="text1"/>
        </w:rPr>
        <w:t>S</w:t>
      </w:r>
      <w:r w:rsidR="00D078BD">
        <w:rPr>
          <w:color w:val="000000" w:themeColor="text1"/>
        </w:rPr>
        <w:t>3</w:t>
      </w:r>
      <w:r w:rsidRPr="00AC11C8">
        <w:rPr>
          <w:color w:val="000000" w:themeColor="text1"/>
        </w:rPr>
        <w:t>.</w:t>
      </w:r>
      <w:r w:rsidR="00A66A01">
        <w:rPr>
          <w:color w:val="000000" w:themeColor="text1"/>
        </w:rPr>
        <w:t>5</w:t>
      </w:r>
      <w:r w:rsidRPr="00AC11C8">
        <w:rPr>
          <w:color w:val="000000" w:themeColor="text1"/>
        </w:rPr>
        <w:t xml:space="preserve"> show the standard deviation of the rupture-mode angles at each reference point.</w:t>
      </w:r>
    </w:p>
    <w:p w14:paraId="6734C48D" w14:textId="77777777" w:rsidR="002E6B70" w:rsidRDefault="002E6B70" w:rsidP="00D2682A">
      <w:pPr>
        <w:spacing w:line="480" w:lineRule="auto"/>
        <w:rPr>
          <w:rFonts w:cs="Times New Roman"/>
          <w:b/>
          <w:bCs w:val="0"/>
          <w:color w:val="000000" w:themeColor="text1"/>
        </w:rPr>
      </w:pPr>
    </w:p>
    <w:p w14:paraId="17A91352" w14:textId="77777777" w:rsidR="002E6B70" w:rsidRDefault="002E6B70" w:rsidP="00D2682A">
      <w:pPr>
        <w:spacing w:line="480" w:lineRule="auto"/>
        <w:rPr>
          <w:rFonts w:cs="Times New Roman"/>
          <w:b/>
          <w:bCs w:val="0"/>
          <w:color w:val="000000" w:themeColor="text1"/>
        </w:rPr>
      </w:pPr>
    </w:p>
    <w:p w14:paraId="3C191850" w14:textId="77777777" w:rsidR="002E6B70" w:rsidRPr="00CB7BC9" w:rsidRDefault="002E6B70" w:rsidP="002E6B70">
      <w:pPr>
        <w:widowControl/>
        <w:spacing w:line="360" w:lineRule="auto"/>
        <w:rPr>
          <w:rFonts w:ascii="Arial" w:hAnsi="Arial" w:cs="Arial"/>
          <w:color w:val="000000" w:themeColor="text1"/>
        </w:rPr>
      </w:pPr>
      <w:r>
        <w:rPr>
          <w:rFonts w:ascii="Arial" w:hAnsi="Arial" w:cs="Arial"/>
          <w:noProof/>
          <w:color w:val="000000" w:themeColor="text1"/>
          <w14:ligatures w14:val="standardContextual"/>
        </w:rPr>
        <w:drawing>
          <wp:inline distT="0" distB="0" distL="0" distR="0" wp14:anchorId="2B85A5C8" wp14:editId="09F1E464">
            <wp:extent cx="5731510" cy="4150403"/>
            <wp:effectExtent l="0" t="0" r="0" b="2540"/>
            <wp:docPr id="637358293" name="Picture 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7358293" name="Picture 86"/>
                    <pic:cNvPicPr/>
                  </pic:nvPicPr>
                  <pic:blipFill>
                    <a:blip r:embed="rId14"/>
                    <a:stretch>
                      <a:fillRect/>
                    </a:stretch>
                  </pic:blipFill>
                  <pic:spPr>
                    <a:xfrm>
                      <a:off x="0" y="0"/>
                      <a:ext cx="5731510" cy="4150403"/>
                    </a:xfrm>
                    <a:prstGeom prst="rect">
                      <a:avLst/>
                    </a:prstGeom>
                  </pic:spPr>
                </pic:pic>
              </a:graphicData>
            </a:graphic>
          </wp:inline>
        </w:drawing>
      </w:r>
    </w:p>
    <w:p w14:paraId="29C692B9" w14:textId="201DFF03" w:rsidR="002E6B70" w:rsidRPr="00CB7BC9" w:rsidRDefault="002E6B70" w:rsidP="002E6B70">
      <w:pPr>
        <w:snapToGrid w:val="0"/>
        <w:spacing w:line="360" w:lineRule="auto"/>
        <w:rPr>
          <w:rFonts w:ascii="Arial" w:hAnsi="Arial" w:cs="Arial"/>
          <w:color w:val="000000" w:themeColor="text1"/>
        </w:rPr>
      </w:pPr>
      <w:r w:rsidRPr="00CB7BC9">
        <w:rPr>
          <w:rFonts w:ascii="Arial" w:hAnsi="Arial" w:cs="Arial"/>
          <w:b/>
          <w:color w:val="000000" w:themeColor="text1"/>
        </w:rPr>
        <w:t xml:space="preserve">Figure </w:t>
      </w:r>
      <w:r>
        <w:rPr>
          <w:rFonts w:ascii="Arial" w:hAnsi="Arial" w:cs="Arial"/>
          <w:b/>
          <w:color w:val="000000" w:themeColor="text1"/>
        </w:rPr>
        <w:t>S</w:t>
      </w:r>
      <w:r w:rsidR="00EA7572">
        <w:rPr>
          <w:rFonts w:ascii="Arial" w:hAnsi="Arial" w:cs="Arial"/>
          <w:b/>
          <w:color w:val="000000" w:themeColor="text1"/>
        </w:rPr>
        <w:t>3</w:t>
      </w:r>
      <w:r w:rsidRPr="00CB7BC9">
        <w:rPr>
          <w:rFonts w:ascii="Arial" w:hAnsi="Arial" w:cs="Arial"/>
          <w:b/>
          <w:color w:val="000000" w:themeColor="text1"/>
        </w:rPr>
        <w:t xml:space="preserve">.1. </w:t>
      </w:r>
      <w:r w:rsidR="00132AC7">
        <w:rPr>
          <w:rFonts w:ascii="Arial" w:hAnsi="Arial" w:cs="Arial"/>
          <w:b/>
          <w:color w:val="000000" w:themeColor="text1"/>
        </w:rPr>
        <w:t>D</w:t>
      </w:r>
      <w:r w:rsidRPr="00CB7BC9">
        <w:rPr>
          <w:rFonts w:ascii="Arial" w:hAnsi="Arial" w:cs="Arial"/>
          <w:b/>
          <w:color w:val="000000" w:themeColor="text1"/>
        </w:rPr>
        <w:t>istribution of the uncertainty in the</w:t>
      </w:r>
      <w:r w:rsidR="00132AC7">
        <w:rPr>
          <w:rFonts w:ascii="Arial" w:hAnsi="Arial" w:cs="Arial"/>
          <w:b/>
          <w:color w:val="000000" w:themeColor="text1"/>
        </w:rPr>
        <w:t xml:space="preserve"> </w:t>
      </w:r>
      <w:r w:rsidRPr="00CB7BC9">
        <w:rPr>
          <w:rFonts w:ascii="Arial" w:hAnsi="Arial" w:cs="Arial"/>
          <w:b/>
          <w:color w:val="000000" w:themeColor="text1"/>
        </w:rPr>
        <w:t>rupture</w:t>
      </w:r>
      <w:r w:rsidR="00132AC7">
        <w:rPr>
          <w:rFonts w:ascii="Arial" w:hAnsi="Arial" w:cs="Arial"/>
          <w:b/>
          <w:color w:val="000000" w:themeColor="text1"/>
        </w:rPr>
        <w:t xml:space="preserve"> </w:t>
      </w:r>
      <w:r w:rsidRPr="00CB7BC9">
        <w:rPr>
          <w:rFonts w:ascii="Arial" w:hAnsi="Arial" w:cs="Arial"/>
          <w:b/>
          <w:color w:val="000000" w:themeColor="text1"/>
        </w:rPr>
        <w:t>mode angle for the 2008 Iwate Miyagi Inland earthquake.</w:t>
      </w:r>
    </w:p>
    <w:p w14:paraId="41F79EFF" w14:textId="625AC1CD" w:rsidR="002E6B70" w:rsidRPr="00CB7BC9" w:rsidRDefault="00132AC7" w:rsidP="002E6B70">
      <w:pPr>
        <w:widowControl/>
        <w:spacing w:line="360" w:lineRule="auto"/>
        <w:ind w:left="360"/>
        <w:rPr>
          <w:rFonts w:ascii="Arial" w:hAnsi="Arial" w:cs="Arial"/>
          <w:color w:val="000000" w:themeColor="text1"/>
        </w:rPr>
      </w:pPr>
      <w:r w:rsidRPr="00132AC7">
        <w:rPr>
          <w:rFonts w:ascii="Arial" w:hAnsi="Arial" w:cs="Arial"/>
          <w:color w:val="000000" w:themeColor="text1"/>
        </w:rPr>
        <w:t>Each panel displays the standard deviation of the rupture mode angle for each reference time indicated above the panel. The black star denotes the hypocenter.</w:t>
      </w:r>
    </w:p>
    <w:p w14:paraId="539B63AB" w14:textId="77777777" w:rsidR="002E6B70" w:rsidRPr="00CB7BC9" w:rsidRDefault="002E6B70" w:rsidP="002E6B70">
      <w:pPr>
        <w:widowControl/>
        <w:jc w:val="left"/>
        <w:rPr>
          <w:rFonts w:ascii="Arial" w:hAnsi="Arial" w:cs="Arial"/>
          <w:color w:val="000000" w:themeColor="text1"/>
        </w:rPr>
      </w:pPr>
      <w:r w:rsidRPr="00CB7BC9">
        <w:rPr>
          <w:rFonts w:ascii="Arial" w:hAnsi="Arial" w:cs="Arial"/>
          <w:color w:val="000000" w:themeColor="text1"/>
        </w:rPr>
        <w:br w:type="page"/>
      </w:r>
    </w:p>
    <w:p w14:paraId="352EDD03" w14:textId="77777777" w:rsidR="002E6B70" w:rsidRPr="00CB7BC9" w:rsidRDefault="002E6B70" w:rsidP="002E6B70">
      <w:pPr>
        <w:widowControl/>
        <w:spacing w:line="360" w:lineRule="auto"/>
        <w:jc w:val="center"/>
        <w:rPr>
          <w:rFonts w:ascii="Arial" w:hAnsi="Arial" w:cs="Arial"/>
          <w:color w:val="000000" w:themeColor="text1"/>
        </w:rPr>
      </w:pPr>
      <w:r>
        <w:rPr>
          <w:rFonts w:ascii="Arial" w:hAnsi="Arial" w:cs="Arial"/>
          <w:noProof/>
          <w:color w:val="000000" w:themeColor="text1"/>
          <w14:ligatures w14:val="standardContextual"/>
        </w:rPr>
        <w:lastRenderedPageBreak/>
        <w:drawing>
          <wp:inline distT="0" distB="0" distL="0" distR="0" wp14:anchorId="2CD453B2" wp14:editId="5A0D3DE4">
            <wp:extent cx="5979322" cy="3911545"/>
            <wp:effectExtent l="0" t="0" r="2540" b="635"/>
            <wp:docPr id="1776070460" name="Picture 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76070460" name="Picture 89"/>
                    <pic:cNvPicPr/>
                  </pic:nvPicPr>
                  <pic:blipFill>
                    <a:blip r:embed="rId15"/>
                    <a:stretch>
                      <a:fillRect/>
                    </a:stretch>
                  </pic:blipFill>
                  <pic:spPr>
                    <a:xfrm>
                      <a:off x="0" y="0"/>
                      <a:ext cx="5979322" cy="3911545"/>
                    </a:xfrm>
                    <a:prstGeom prst="rect">
                      <a:avLst/>
                    </a:prstGeom>
                  </pic:spPr>
                </pic:pic>
              </a:graphicData>
            </a:graphic>
          </wp:inline>
        </w:drawing>
      </w:r>
    </w:p>
    <w:p w14:paraId="61E193E7" w14:textId="042645C5" w:rsidR="002E6B70" w:rsidRPr="00CB7BC9" w:rsidRDefault="002E6B70" w:rsidP="002E6B70">
      <w:pPr>
        <w:snapToGrid w:val="0"/>
        <w:spacing w:line="360" w:lineRule="auto"/>
        <w:rPr>
          <w:rFonts w:ascii="Arial" w:hAnsi="Arial" w:cs="Arial"/>
          <w:color w:val="000000" w:themeColor="text1"/>
        </w:rPr>
      </w:pPr>
      <w:r w:rsidRPr="00CB7BC9">
        <w:rPr>
          <w:rFonts w:ascii="Arial" w:hAnsi="Arial" w:cs="Arial"/>
          <w:b/>
          <w:color w:val="000000" w:themeColor="text1"/>
        </w:rPr>
        <w:t xml:space="preserve">Figure </w:t>
      </w:r>
      <w:r>
        <w:rPr>
          <w:rFonts w:ascii="Arial" w:hAnsi="Arial" w:cs="Arial"/>
          <w:b/>
          <w:color w:val="000000" w:themeColor="text1"/>
        </w:rPr>
        <w:t>S</w:t>
      </w:r>
      <w:r w:rsidR="00EA7572">
        <w:rPr>
          <w:rFonts w:ascii="Arial" w:hAnsi="Arial" w:cs="Arial"/>
          <w:b/>
          <w:color w:val="000000" w:themeColor="text1"/>
        </w:rPr>
        <w:t>3</w:t>
      </w:r>
      <w:r w:rsidRPr="00CB7BC9">
        <w:rPr>
          <w:rFonts w:ascii="Arial" w:hAnsi="Arial" w:cs="Arial"/>
          <w:b/>
          <w:color w:val="000000" w:themeColor="text1"/>
        </w:rPr>
        <w:t>.</w:t>
      </w:r>
      <w:r>
        <w:rPr>
          <w:rFonts w:ascii="Arial" w:hAnsi="Arial" w:cs="Arial"/>
          <w:b/>
          <w:color w:val="000000" w:themeColor="text1"/>
        </w:rPr>
        <w:t>2</w:t>
      </w:r>
      <w:r w:rsidRPr="00CB7BC9">
        <w:rPr>
          <w:rFonts w:ascii="Arial" w:hAnsi="Arial" w:cs="Arial"/>
          <w:b/>
          <w:color w:val="000000" w:themeColor="text1"/>
        </w:rPr>
        <w:t xml:space="preserve">. </w:t>
      </w:r>
      <w:r w:rsidR="00132AC7">
        <w:rPr>
          <w:rFonts w:ascii="Arial" w:hAnsi="Arial" w:cs="Arial"/>
          <w:b/>
          <w:color w:val="000000" w:themeColor="text1"/>
        </w:rPr>
        <w:t>D</w:t>
      </w:r>
      <w:r w:rsidRPr="00CB7BC9">
        <w:rPr>
          <w:rFonts w:ascii="Arial" w:hAnsi="Arial" w:cs="Arial"/>
          <w:b/>
          <w:color w:val="000000" w:themeColor="text1"/>
        </w:rPr>
        <w:t>istribution of the uncertainty in the</w:t>
      </w:r>
      <w:r w:rsidR="00132AC7">
        <w:rPr>
          <w:rFonts w:ascii="Arial" w:hAnsi="Arial" w:cs="Arial"/>
          <w:b/>
          <w:color w:val="000000" w:themeColor="text1"/>
        </w:rPr>
        <w:t xml:space="preserve"> </w:t>
      </w:r>
      <w:r w:rsidRPr="00CB7BC9">
        <w:rPr>
          <w:rFonts w:ascii="Arial" w:hAnsi="Arial" w:cs="Arial"/>
          <w:b/>
          <w:color w:val="000000" w:themeColor="text1"/>
        </w:rPr>
        <w:t>rupture</w:t>
      </w:r>
      <w:r w:rsidR="00132AC7">
        <w:rPr>
          <w:rFonts w:ascii="Arial" w:hAnsi="Arial" w:cs="Arial"/>
          <w:b/>
          <w:color w:val="000000" w:themeColor="text1"/>
        </w:rPr>
        <w:t xml:space="preserve"> </w:t>
      </w:r>
      <w:r w:rsidRPr="00CB7BC9">
        <w:rPr>
          <w:rFonts w:ascii="Arial" w:hAnsi="Arial" w:cs="Arial"/>
          <w:b/>
          <w:color w:val="000000" w:themeColor="text1"/>
        </w:rPr>
        <w:t>mode angle for the 2004 Niigata Chuetsu earthquake.</w:t>
      </w:r>
    </w:p>
    <w:p w14:paraId="25F400A0" w14:textId="0D4FDC36" w:rsidR="002E6B70" w:rsidRPr="00CB7BC9" w:rsidRDefault="00132AC7" w:rsidP="002E6B70">
      <w:pPr>
        <w:widowControl/>
        <w:spacing w:line="360" w:lineRule="auto"/>
        <w:ind w:left="360"/>
        <w:rPr>
          <w:rFonts w:ascii="Arial" w:hAnsi="Arial" w:cs="Arial"/>
          <w:color w:val="000000" w:themeColor="text1"/>
        </w:rPr>
      </w:pPr>
      <w:r w:rsidRPr="00132AC7">
        <w:rPr>
          <w:rFonts w:ascii="Arial" w:hAnsi="Arial" w:cs="Arial"/>
          <w:color w:val="000000" w:themeColor="text1"/>
        </w:rPr>
        <w:t>Each panel displays the standard deviation of the rupture mode angle for each reference time indicated above the panel. The black star denotes the hypocenter.</w:t>
      </w:r>
    </w:p>
    <w:p w14:paraId="1CC8CFB2" w14:textId="0CC145A1" w:rsidR="002E6B70" w:rsidRDefault="002E6B70">
      <w:pPr>
        <w:widowControl/>
        <w:jc w:val="left"/>
        <w:rPr>
          <w:rFonts w:ascii="Arial" w:hAnsi="Arial" w:cs="Arial"/>
          <w:color w:val="000000" w:themeColor="text1"/>
        </w:rPr>
      </w:pPr>
      <w:r>
        <w:rPr>
          <w:rFonts w:ascii="Arial" w:hAnsi="Arial" w:cs="Arial"/>
          <w:color w:val="000000" w:themeColor="text1"/>
        </w:rPr>
        <w:br w:type="page"/>
      </w:r>
    </w:p>
    <w:p w14:paraId="1E9BC10B" w14:textId="77777777" w:rsidR="002E6B70" w:rsidRPr="00CB7BC9" w:rsidRDefault="002E6B70" w:rsidP="002E6B70">
      <w:pPr>
        <w:widowControl/>
        <w:spacing w:line="360" w:lineRule="auto"/>
        <w:jc w:val="center"/>
        <w:rPr>
          <w:rFonts w:ascii="Arial" w:hAnsi="Arial" w:cs="Arial"/>
          <w:color w:val="000000" w:themeColor="text1"/>
        </w:rPr>
      </w:pPr>
      <w:r>
        <w:rPr>
          <w:rFonts w:ascii="Arial" w:hAnsi="Arial" w:cs="Arial"/>
          <w:noProof/>
          <w:color w:val="000000" w:themeColor="text1"/>
          <w14:ligatures w14:val="standardContextual"/>
        </w:rPr>
        <w:lastRenderedPageBreak/>
        <w:drawing>
          <wp:inline distT="0" distB="0" distL="0" distR="0" wp14:anchorId="338AAB82" wp14:editId="776FB182">
            <wp:extent cx="6001332" cy="3872859"/>
            <wp:effectExtent l="0" t="0" r="0" b="1270"/>
            <wp:docPr id="1446265520" name="Picture 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46265520" name="Picture 90"/>
                    <pic:cNvPicPr/>
                  </pic:nvPicPr>
                  <pic:blipFill>
                    <a:blip r:embed="rId16"/>
                    <a:stretch>
                      <a:fillRect/>
                    </a:stretch>
                  </pic:blipFill>
                  <pic:spPr>
                    <a:xfrm>
                      <a:off x="0" y="0"/>
                      <a:ext cx="6001332" cy="3872859"/>
                    </a:xfrm>
                    <a:prstGeom prst="rect">
                      <a:avLst/>
                    </a:prstGeom>
                  </pic:spPr>
                </pic:pic>
              </a:graphicData>
            </a:graphic>
          </wp:inline>
        </w:drawing>
      </w:r>
    </w:p>
    <w:p w14:paraId="58497BDE" w14:textId="3A9F07C4" w:rsidR="002E6B70" w:rsidRPr="00CB7BC9" w:rsidRDefault="002E6B70" w:rsidP="002E6B70">
      <w:pPr>
        <w:snapToGrid w:val="0"/>
        <w:spacing w:line="360" w:lineRule="auto"/>
        <w:rPr>
          <w:rFonts w:ascii="Arial" w:hAnsi="Arial" w:cs="Arial"/>
          <w:color w:val="000000" w:themeColor="text1"/>
        </w:rPr>
      </w:pPr>
      <w:r w:rsidRPr="00CB7BC9">
        <w:rPr>
          <w:rFonts w:ascii="Arial" w:hAnsi="Arial" w:cs="Arial"/>
          <w:b/>
          <w:color w:val="000000" w:themeColor="text1"/>
        </w:rPr>
        <w:t xml:space="preserve">Figure </w:t>
      </w:r>
      <w:r>
        <w:rPr>
          <w:rFonts w:ascii="Arial" w:hAnsi="Arial" w:cs="Arial"/>
          <w:b/>
          <w:color w:val="000000" w:themeColor="text1"/>
        </w:rPr>
        <w:t>S</w:t>
      </w:r>
      <w:r w:rsidR="00EA7572">
        <w:rPr>
          <w:rFonts w:ascii="Arial" w:hAnsi="Arial" w:cs="Arial"/>
          <w:b/>
          <w:color w:val="000000" w:themeColor="text1"/>
        </w:rPr>
        <w:t>3</w:t>
      </w:r>
      <w:r w:rsidRPr="00CB7BC9">
        <w:rPr>
          <w:rFonts w:ascii="Arial" w:hAnsi="Arial" w:cs="Arial"/>
          <w:b/>
          <w:color w:val="000000" w:themeColor="text1"/>
        </w:rPr>
        <w:t>.</w:t>
      </w:r>
      <w:r>
        <w:rPr>
          <w:rFonts w:ascii="Arial" w:hAnsi="Arial" w:cs="Arial"/>
          <w:b/>
          <w:color w:val="000000" w:themeColor="text1"/>
        </w:rPr>
        <w:t>3</w:t>
      </w:r>
      <w:r w:rsidRPr="00CB7BC9">
        <w:rPr>
          <w:rFonts w:ascii="Arial" w:hAnsi="Arial" w:cs="Arial"/>
          <w:b/>
          <w:color w:val="000000" w:themeColor="text1"/>
        </w:rPr>
        <w:t xml:space="preserve">. </w:t>
      </w:r>
      <w:r w:rsidR="00132AC7">
        <w:rPr>
          <w:rFonts w:ascii="Arial" w:hAnsi="Arial" w:cs="Arial"/>
          <w:b/>
          <w:color w:val="000000" w:themeColor="text1"/>
        </w:rPr>
        <w:t>D</w:t>
      </w:r>
      <w:r w:rsidRPr="00CB7BC9">
        <w:rPr>
          <w:rFonts w:ascii="Arial" w:hAnsi="Arial" w:cs="Arial"/>
          <w:b/>
          <w:color w:val="000000" w:themeColor="text1"/>
        </w:rPr>
        <w:t>istribution of the uncertainty in the rupture</w:t>
      </w:r>
      <w:r w:rsidR="00132AC7">
        <w:rPr>
          <w:rFonts w:ascii="Arial" w:hAnsi="Arial" w:cs="Arial"/>
          <w:b/>
          <w:color w:val="000000" w:themeColor="text1"/>
        </w:rPr>
        <w:t xml:space="preserve"> </w:t>
      </w:r>
      <w:r w:rsidRPr="00CB7BC9">
        <w:rPr>
          <w:rFonts w:ascii="Arial" w:hAnsi="Arial" w:cs="Arial"/>
          <w:b/>
          <w:color w:val="000000" w:themeColor="text1"/>
        </w:rPr>
        <w:t>mode angle for the 2000 Western Tottori earthquake.</w:t>
      </w:r>
    </w:p>
    <w:p w14:paraId="1621C852" w14:textId="47695C5D" w:rsidR="002E6B70" w:rsidRPr="00CB7BC9" w:rsidRDefault="00132AC7" w:rsidP="002E6B70">
      <w:pPr>
        <w:widowControl/>
        <w:spacing w:line="360" w:lineRule="auto"/>
        <w:ind w:left="360"/>
        <w:rPr>
          <w:rFonts w:ascii="Arial" w:hAnsi="Arial" w:cs="Arial"/>
          <w:color w:val="000000" w:themeColor="text1"/>
        </w:rPr>
      </w:pPr>
      <w:r w:rsidRPr="00132AC7">
        <w:rPr>
          <w:rFonts w:ascii="Arial" w:hAnsi="Arial" w:cs="Arial"/>
          <w:color w:val="000000" w:themeColor="text1"/>
        </w:rPr>
        <w:t>Each panel displays the standard deviation of the rupture mode angle for each reference time indicated above the panel. The black star denotes the hypocenter.</w:t>
      </w:r>
      <w:r w:rsidR="002E6B70" w:rsidRPr="00CB7BC9">
        <w:rPr>
          <w:rFonts w:ascii="Arial" w:hAnsi="Arial" w:cs="Arial"/>
          <w:color w:val="000000" w:themeColor="text1"/>
        </w:rPr>
        <w:br w:type="page"/>
      </w:r>
    </w:p>
    <w:p w14:paraId="290EAF02" w14:textId="77777777" w:rsidR="002E6B70" w:rsidRPr="00CB7BC9" w:rsidRDefault="002E6B70" w:rsidP="002E6B70">
      <w:pPr>
        <w:widowControl/>
        <w:spacing w:line="360" w:lineRule="auto"/>
        <w:jc w:val="center"/>
        <w:rPr>
          <w:rFonts w:ascii="Arial" w:hAnsi="Arial" w:cs="Arial"/>
          <w:color w:val="000000" w:themeColor="text1"/>
        </w:rPr>
      </w:pPr>
      <w:r>
        <w:rPr>
          <w:rFonts w:ascii="Arial" w:hAnsi="Arial" w:cs="Arial"/>
          <w:noProof/>
          <w:color w:val="000000" w:themeColor="text1"/>
          <w14:ligatures w14:val="standardContextual"/>
        </w:rPr>
        <w:lastRenderedPageBreak/>
        <w:drawing>
          <wp:inline distT="0" distB="0" distL="0" distR="0" wp14:anchorId="2CBCE22E" wp14:editId="3BCAF7DB">
            <wp:extent cx="5449039" cy="3947773"/>
            <wp:effectExtent l="0" t="0" r="0" b="2540"/>
            <wp:docPr id="1025091908" name="Picture 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5091908" name="Picture 91"/>
                    <pic:cNvPicPr/>
                  </pic:nvPicPr>
                  <pic:blipFill>
                    <a:blip r:embed="rId17"/>
                    <a:stretch>
                      <a:fillRect/>
                    </a:stretch>
                  </pic:blipFill>
                  <pic:spPr>
                    <a:xfrm>
                      <a:off x="0" y="0"/>
                      <a:ext cx="5449039" cy="3947773"/>
                    </a:xfrm>
                    <a:prstGeom prst="rect">
                      <a:avLst/>
                    </a:prstGeom>
                  </pic:spPr>
                </pic:pic>
              </a:graphicData>
            </a:graphic>
          </wp:inline>
        </w:drawing>
      </w:r>
    </w:p>
    <w:p w14:paraId="335CA290" w14:textId="64251FB6" w:rsidR="002E6B70" w:rsidRPr="00CB7BC9" w:rsidRDefault="002E6B70" w:rsidP="002E6B70">
      <w:pPr>
        <w:snapToGrid w:val="0"/>
        <w:spacing w:line="360" w:lineRule="auto"/>
        <w:rPr>
          <w:rFonts w:ascii="Arial" w:hAnsi="Arial" w:cs="Arial"/>
          <w:color w:val="000000" w:themeColor="text1"/>
        </w:rPr>
      </w:pPr>
      <w:r w:rsidRPr="00CB7BC9">
        <w:rPr>
          <w:rFonts w:ascii="Arial" w:hAnsi="Arial" w:cs="Arial"/>
          <w:b/>
          <w:color w:val="000000" w:themeColor="text1"/>
        </w:rPr>
        <w:t xml:space="preserve">Figure </w:t>
      </w:r>
      <w:r>
        <w:rPr>
          <w:rFonts w:ascii="Arial" w:hAnsi="Arial" w:cs="Arial"/>
          <w:b/>
          <w:color w:val="000000" w:themeColor="text1"/>
        </w:rPr>
        <w:t>S</w:t>
      </w:r>
      <w:r w:rsidR="00EA7572">
        <w:rPr>
          <w:rFonts w:ascii="Arial" w:hAnsi="Arial" w:cs="Arial"/>
          <w:b/>
          <w:color w:val="000000" w:themeColor="text1"/>
        </w:rPr>
        <w:t>3</w:t>
      </w:r>
      <w:r w:rsidRPr="00CB7BC9">
        <w:rPr>
          <w:rFonts w:ascii="Arial" w:hAnsi="Arial" w:cs="Arial"/>
          <w:b/>
          <w:color w:val="000000" w:themeColor="text1"/>
        </w:rPr>
        <w:t>.</w:t>
      </w:r>
      <w:r>
        <w:rPr>
          <w:rFonts w:ascii="Arial" w:hAnsi="Arial" w:cs="Arial"/>
          <w:b/>
          <w:color w:val="000000" w:themeColor="text1"/>
        </w:rPr>
        <w:t>4</w:t>
      </w:r>
      <w:r w:rsidRPr="00CB7BC9">
        <w:rPr>
          <w:rFonts w:ascii="Arial" w:hAnsi="Arial" w:cs="Arial"/>
          <w:b/>
          <w:color w:val="000000" w:themeColor="text1"/>
        </w:rPr>
        <w:t xml:space="preserve">. </w:t>
      </w:r>
      <w:r w:rsidR="00132AC7">
        <w:rPr>
          <w:rFonts w:ascii="Arial" w:hAnsi="Arial" w:cs="Arial"/>
          <w:b/>
          <w:color w:val="000000" w:themeColor="text1"/>
        </w:rPr>
        <w:t>D</w:t>
      </w:r>
      <w:r w:rsidRPr="00CB7BC9">
        <w:rPr>
          <w:rFonts w:ascii="Arial" w:hAnsi="Arial" w:cs="Arial"/>
          <w:b/>
          <w:color w:val="000000" w:themeColor="text1"/>
        </w:rPr>
        <w:t>istribution of the uncertainty in the</w:t>
      </w:r>
      <w:r w:rsidR="00132AC7">
        <w:rPr>
          <w:rFonts w:ascii="Arial" w:hAnsi="Arial" w:cs="Arial"/>
          <w:b/>
          <w:color w:val="000000" w:themeColor="text1"/>
        </w:rPr>
        <w:t xml:space="preserve"> </w:t>
      </w:r>
      <w:r w:rsidRPr="00CB7BC9">
        <w:rPr>
          <w:rFonts w:ascii="Arial" w:hAnsi="Arial" w:cs="Arial"/>
          <w:b/>
          <w:color w:val="000000" w:themeColor="text1"/>
        </w:rPr>
        <w:t>rupture</w:t>
      </w:r>
      <w:r w:rsidR="00132AC7">
        <w:rPr>
          <w:rFonts w:ascii="Arial" w:hAnsi="Arial" w:cs="Arial"/>
          <w:b/>
          <w:color w:val="000000" w:themeColor="text1"/>
        </w:rPr>
        <w:t xml:space="preserve"> </w:t>
      </w:r>
      <w:r w:rsidRPr="00CB7BC9">
        <w:rPr>
          <w:rFonts w:ascii="Arial" w:hAnsi="Arial" w:cs="Arial"/>
          <w:b/>
          <w:color w:val="000000" w:themeColor="text1"/>
        </w:rPr>
        <w:t>mode angle for the 2016 Kumamoto Foreshock #1.</w:t>
      </w:r>
    </w:p>
    <w:p w14:paraId="03D5490E" w14:textId="5CA79F55" w:rsidR="002E6B70" w:rsidRPr="00CB7BC9" w:rsidRDefault="00132AC7" w:rsidP="002E6B70">
      <w:pPr>
        <w:widowControl/>
        <w:spacing w:line="360" w:lineRule="auto"/>
        <w:ind w:left="360"/>
        <w:rPr>
          <w:rFonts w:ascii="Arial" w:hAnsi="Arial" w:cs="Arial"/>
          <w:color w:val="000000" w:themeColor="text1"/>
        </w:rPr>
      </w:pPr>
      <w:r w:rsidRPr="00132AC7">
        <w:rPr>
          <w:rFonts w:ascii="Arial" w:hAnsi="Arial" w:cs="Arial"/>
          <w:color w:val="000000" w:themeColor="text1"/>
        </w:rPr>
        <w:t>Each panel displays the standard deviation of the rupture mode angle for each reference time indicated above the panel. The black star denotes the hypocenter.</w:t>
      </w:r>
    </w:p>
    <w:p w14:paraId="2860504A" w14:textId="1E4A0F19" w:rsidR="002E6B70" w:rsidRDefault="002E6B70">
      <w:pPr>
        <w:widowControl/>
        <w:jc w:val="left"/>
        <w:rPr>
          <w:rFonts w:ascii="Arial" w:hAnsi="Arial" w:cs="Arial"/>
          <w:color w:val="000000" w:themeColor="text1"/>
        </w:rPr>
      </w:pPr>
      <w:r>
        <w:rPr>
          <w:rFonts w:ascii="Arial" w:hAnsi="Arial" w:cs="Arial"/>
          <w:color w:val="000000" w:themeColor="text1"/>
        </w:rPr>
        <w:br w:type="page"/>
      </w:r>
    </w:p>
    <w:p w14:paraId="7D6EDECB" w14:textId="77777777" w:rsidR="002E6B70" w:rsidRPr="00CB7BC9" w:rsidRDefault="002E6B70" w:rsidP="002E6B70">
      <w:pPr>
        <w:widowControl/>
        <w:spacing w:line="360" w:lineRule="auto"/>
        <w:jc w:val="center"/>
        <w:rPr>
          <w:rFonts w:ascii="Arial" w:hAnsi="Arial" w:cs="Arial"/>
          <w:color w:val="000000" w:themeColor="text1"/>
        </w:rPr>
      </w:pPr>
      <w:r>
        <w:rPr>
          <w:rFonts w:ascii="Arial" w:hAnsi="Arial" w:cs="Arial"/>
          <w:noProof/>
          <w:color w:val="000000" w:themeColor="text1"/>
          <w14:ligatures w14:val="standardContextual"/>
        </w:rPr>
        <w:lastRenderedPageBreak/>
        <w:drawing>
          <wp:inline distT="0" distB="0" distL="0" distR="0" wp14:anchorId="0FC3753E" wp14:editId="3A19C5AC">
            <wp:extent cx="4444632" cy="4179280"/>
            <wp:effectExtent l="0" t="0" r="635" b="0"/>
            <wp:docPr id="1044632142" name="Picture 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4632142" name="Picture 92"/>
                    <pic:cNvPicPr/>
                  </pic:nvPicPr>
                  <pic:blipFill>
                    <a:blip r:embed="rId18"/>
                    <a:stretch>
                      <a:fillRect/>
                    </a:stretch>
                  </pic:blipFill>
                  <pic:spPr>
                    <a:xfrm>
                      <a:off x="0" y="0"/>
                      <a:ext cx="4444632" cy="4179280"/>
                    </a:xfrm>
                    <a:prstGeom prst="rect">
                      <a:avLst/>
                    </a:prstGeom>
                  </pic:spPr>
                </pic:pic>
              </a:graphicData>
            </a:graphic>
          </wp:inline>
        </w:drawing>
      </w:r>
    </w:p>
    <w:p w14:paraId="2165FFF8" w14:textId="1B132F64" w:rsidR="002E6B70" w:rsidRPr="00CB7BC9" w:rsidRDefault="002E6B70" w:rsidP="002E6B70">
      <w:pPr>
        <w:snapToGrid w:val="0"/>
        <w:spacing w:line="360" w:lineRule="auto"/>
        <w:rPr>
          <w:rFonts w:ascii="Arial" w:hAnsi="Arial" w:cs="Arial"/>
          <w:color w:val="000000" w:themeColor="text1"/>
        </w:rPr>
      </w:pPr>
      <w:r w:rsidRPr="00CB7BC9">
        <w:rPr>
          <w:rFonts w:ascii="Arial" w:hAnsi="Arial" w:cs="Arial"/>
          <w:b/>
          <w:color w:val="000000" w:themeColor="text1"/>
        </w:rPr>
        <w:t xml:space="preserve">Figure </w:t>
      </w:r>
      <w:r>
        <w:rPr>
          <w:rFonts w:ascii="Arial" w:hAnsi="Arial" w:cs="Arial"/>
          <w:b/>
          <w:color w:val="000000" w:themeColor="text1"/>
        </w:rPr>
        <w:t>S</w:t>
      </w:r>
      <w:r w:rsidR="00EA7572">
        <w:rPr>
          <w:rFonts w:ascii="Arial" w:hAnsi="Arial" w:cs="Arial"/>
          <w:b/>
          <w:color w:val="000000" w:themeColor="text1"/>
        </w:rPr>
        <w:t>3</w:t>
      </w:r>
      <w:r w:rsidRPr="00CB7BC9">
        <w:rPr>
          <w:rFonts w:ascii="Arial" w:hAnsi="Arial" w:cs="Arial"/>
          <w:b/>
          <w:color w:val="000000" w:themeColor="text1"/>
        </w:rPr>
        <w:t>.</w:t>
      </w:r>
      <w:r>
        <w:rPr>
          <w:rFonts w:ascii="Arial" w:hAnsi="Arial" w:cs="Arial"/>
          <w:b/>
          <w:color w:val="000000" w:themeColor="text1"/>
        </w:rPr>
        <w:t>5</w:t>
      </w:r>
      <w:r w:rsidRPr="00CB7BC9">
        <w:rPr>
          <w:rFonts w:ascii="Arial" w:hAnsi="Arial" w:cs="Arial"/>
          <w:b/>
          <w:color w:val="000000" w:themeColor="text1"/>
        </w:rPr>
        <w:t xml:space="preserve">. </w:t>
      </w:r>
      <w:r w:rsidR="00132AC7">
        <w:rPr>
          <w:rFonts w:ascii="Arial" w:hAnsi="Arial" w:cs="Arial"/>
          <w:b/>
          <w:color w:val="000000" w:themeColor="text1"/>
        </w:rPr>
        <w:t>D</w:t>
      </w:r>
      <w:r w:rsidRPr="00CB7BC9">
        <w:rPr>
          <w:rFonts w:ascii="Arial" w:hAnsi="Arial" w:cs="Arial"/>
          <w:b/>
          <w:color w:val="000000" w:themeColor="text1"/>
        </w:rPr>
        <w:t>istribution of the uncertainty in the rupture</w:t>
      </w:r>
      <w:r w:rsidR="00132AC7">
        <w:rPr>
          <w:rFonts w:ascii="Arial" w:hAnsi="Arial" w:cs="Arial"/>
          <w:b/>
          <w:color w:val="000000" w:themeColor="text1"/>
        </w:rPr>
        <w:t xml:space="preserve"> </w:t>
      </w:r>
      <w:r w:rsidRPr="00CB7BC9">
        <w:rPr>
          <w:rFonts w:ascii="Arial" w:hAnsi="Arial" w:cs="Arial"/>
          <w:b/>
          <w:color w:val="000000" w:themeColor="text1"/>
        </w:rPr>
        <w:t>mode angle for the 2016 Kumamoto Foreshock #2.</w:t>
      </w:r>
    </w:p>
    <w:p w14:paraId="61198810" w14:textId="7A0065BF" w:rsidR="002E6B70" w:rsidRPr="00CB7BC9" w:rsidRDefault="00132AC7" w:rsidP="002E6B70">
      <w:pPr>
        <w:widowControl/>
        <w:spacing w:line="360" w:lineRule="auto"/>
        <w:ind w:left="360"/>
        <w:rPr>
          <w:rFonts w:ascii="Arial" w:hAnsi="Arial" w:cs="Arial"/>
          <w:color w:val="000000" w:themeColor="text1"/>
        </w:rPr>
      </w:pPr>
      <w:r w:rsidRPr="00132AC7">
        <w:rPr>
          <w:rFonts w:ascii="Arial" w:hAnsi="Arial" w:cs="Arial"/>
          <w:color w:val="000000" w:themeColor="text1"/>
        </w:rPr>
        <w:t>Each panel displays the standard deviation of the rupture mode angle for each reference time indicated above the panel. The black star denotes the hypocenter.</w:t>
      </w:r>
    </w:p>
    <w:p w14:paraId="5FD72047" w14:textId="77777777" w:rsidR="00C65E81" w:rsidRPr="00ED7018" w:rsidRDefault="00C65E81" w:rsidP="00C65E81">
      <w:pPr>
        <w:spacing w:line="480" w:lineRule="auto"/>
        <w:rPr>
          <w:rFonts w:cs="Times New Roman"/>
          <w:b/>
          <w:bCs w:val="0"/>
          <w:color w:val="000000" w:themeColor="text1"/>
        </w:rPr>
      </w:pPr>
    </w:p>
    <w:sectPr w:rsidR="00C65E81" w:rsidRPr="00ED7018">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200247B" w:usb2="00000009" w:usb3="00000000" w:csb0="000001FF" w:csb1="00000000"/>
  </w:font>
  <w:font w:name="游明朝">
    <w:panose1 w:val="02020400000000000000"/>
    <w:charset w:val="80"/>
    <w:family w:val="roman"/>
    <w:pitch w:val="variable"/>
    <w:sig w:usb0="800002E7" w:usb1="2AC7FCFF" w:usb2="00000012" w:usb3="00000000" w:csb0="0002009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IPAexMincho">
    <w:panose1 w:val="02020400000000000000"/>
    <w:charset w:val="80"/>
    <w:family w:val="roman"/>
    <w:pitch w:val="variable"/>
    <w:sig w:usb0="E00002FF" w:usb1="3AC7EDFA" w:usb2="00000012" w:usb3="00000000" w:csb0="00020001" w:csb1="00000000"/>
  </w:font>
  <w:font w:name="Al Bayan">
    <w:panose1 w:val="00000000000000000000"/>
    <w:charset w:val="B2"/>
    <w:family w:val="auto"/>
    <w:pitch w:val="variable"/>
    <w:sig w:usb0="00002001" w:usb1="00000000" w:usb2="00000008" w:usb3="00000000" w:csb0="00000040" w:csb1="00000000"/>
  </w:font>
  <w:font w:name="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66"/>
  <w:bordersDoNotSurroundHeader/>
  <w:bordersDoNotSurroundFooter/>
  <w:proofState w:spelling="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53D71"/>
    <w:rsid w:val="00005891"/>
    <w:rsid w:val="00013477"/>
    <w:rsid w:val="0001574A"/>
    <w:rsid w:val="00016345"/>
    <w:rsid w:val="00024948"/>
    <w:rsid w:val="00025293"/>
    <w:rsid w:val="000519D7"/>
    <w:rsid w:val="000529F4"/>
    <w:rsid w:val="000624A5"/>
    <w:rsid w:val="00066485"/>
    <w:rsid w:val="00070C24"/>
    <w:rsid w:val="0007436A"/>
    <w:rsid w:val="0008009F"/>
    <w:rsid w:val="00081538"/>
    <w:rsid w:val="000830EF"/>
    <w:rsid w:val="000841B5"/>
    <w:rsid w:val="00097210"/>
    <w:rsid w:val="000A3A89"/>
    <w:rsid w:val="000A489C"/>
    <w:rsid w:val="000A5B82"/>
    <w:rsid w:val="000B3B33"/>
    <w:rsid w:val="000C0B2E"/>
    <w:rsid w:val="000C25E2"/>
    <w:rsid w:val="000C4CB6"/>
    <w:rsid w:val="000D0C94"/>
    <w:rsid w:val="000D2D7A"/>
    <w:rsid w:val="000D322F"/>
    <w:rsid w:val="000D381E"/>
    <w:rsid w:val="000E147E"/>
    <w:rsid w:val="000E67B1"/>
    <w:rsid w:val="000F4A99"/>
    <w:rsid w:val="00121D92"/>
    <w:rsid w:val="00132AC7"/>
    <w:rsid w:val="00161345"/>
    <w:rsid w:val="00170461"/>
    <w:rsid w:val="00172D77"/>
    <w:rsid w:val="00173942"/>
    <w:rsid w:val="00174A32"/>
    <w:rsid w:val="00184B48"/>
    <w:rsid w:val="001858E7"/>
    <w:rsid w:val="00186495"/>
    <w:rsid w:val="001B05A4"/>
    <w:rsid w:val="001B4604"/>
    <w:rsid w:val="001B5AFC"/>
    <w:rsid w:val="001C59B3"/>
    <w:rsid w:val="001D0559"/>
    <w:rsid w:val="001D5C1B"/>
    <w:rsid w:val="001E053E"/>
    <w:rsid w:val="001E0E0F"/>
    <w:rsid w:val="001F00B1"/>
    <w:rsid w:val="001F0BB8"/>
    <w:rsid w:val="001F7564"/>
    <w:rsid w:val="00200E87"/>
    <w:rsid w:val="00202653"/>
    <w:rsid w:val="002035EE"/>
    <w:rsid w:val="00204853"/>
    <w:rsid w:val="00213069"/>
    <w:rsid w:val="0021786A"/>
    <w:rsid w:val="0023148D"/>
    <w:rsid w:val="00232FDA"/>
    <w:rsid w:val="00233961"/>
    <w:rsid w:val="00240256"/>
    <w:rsid w:val="00243069"/>
    <w:rsid w:val="0024550E"/>
    <w:rsid w:val="00260803"/>
    <w:rsid w:val="00265EED"/>
    <w:rsid w:val="0026740F"/>
    <w:rsid w:val="00284385"/>
    <w:rsid w:val="00295B4A"/>
    <w:rsid w:val="002A007C"/>
    <w:rsid w:val="002A0CF4"/>
    <w:rsid w:val="002B03D5"/>
    <w:rsid w:val="002B33F0"/>
    <w:rsid w:val="002B7A8E"/>
    <w:rsid w:val="002C0879"/>
    <w:rsid w:val="002D244C"/>
    <w:rsid w:val="002D6FB2"/>
    <w:rsid w:val="002E0252"/>
    <w:rsid w:val="002E4C0F"/>
    <w:rsid w:val="002E66C3"/>
    <w:rsid w:val="002E6B70"/>
    <w:rsid w:val="002F4E31"/>
    <w:rsid w:val="003034F9"/>
    <w:rsid w:val="00303605"/>
    <w:rsid w:val="00305279"/>
    <w:rsid w:val="003066F1"/>
    <w:rsid w:val="00313BC9"/>
    <w:rsid w:val="0031783E"/>
    <w:rsid w:val="0034681B"/>
    <w:rsid w:val="00347152"/>
    <w:rsid w:val="00347CF6"/>
    <w:rsid w:val="00351491"/>
    <w:rsid w:val="00352AF1"/>
    <w:rsid w:val="0036170E"/>
    <w:rsid w:val="00364D55"/>
    <w:rsid w:val="00366692"/>
    <w:rsid w:val="00371321"/>
    <w:rsid w:val="00385880"/>
    <w:rsid w:val="0039795F"/>
    <w:rsid w:val="003A57AE"/>
    <w:rsid w:val="003A5F5B"/>
    <w:rsid w:val="003A7D4F"/>
    <w:rsid w:val="003C010B"/>
    <w:rsid w:val="003D5821"/>
    <w:rsid w:val="003E24AA"/>
    <w:rsid w:val="003E6857"/>
    <w:rsid w:val="003E6AF2"/>
    <w:rsid w:val="00403EBB"/>
    <w:rsid w:val="004045E3"/>
    <w:rsid w:val="00404BBB"/>
    <w:rsid w:val="0042252C"/>
    <w:rsid w:val="004235CA"/>
    <w:rsid w:val="00423D4B"/>
    <w:rsid w:val="00436D95"/>
    <w:rsid w:val="00453E54"/>
    <w:rsid w:val="00471DE8"/>
    <w:rsid w:val="004731AD"/>
    <w:rsid w:val="004756D4"/>
    <w:rsid w:val="0048129C"/>
    <w:rsid w:val="00481F8C"/>
    <w:rsid w:val="004B2697"/>
    <w:rsid w:val="004C038F"/>
    <w:rsid w:val="004D4774"/>
    <w:rsid w:val="004E0F11"/>
    <w:rsid w:val="004E3C62"/>
    <w:rsid w:val="004E4C82"/>
    <w:rsid w:val="00500FAC"/>
    <w:rsid w:val="00511CF8"/>
    <w:rsid w:val="005205B0"/>
    <w:rsid w:val="005248A6"/>
    <w:rsid w:val="00526C9D"/>
    <w:rsid w:val="00531F47"/>
    <w:rsid w:val="00543D17"/>
    <w:rsid w:val="00545D54"/>
    <w:rsid w:val="005466E3"/>
    <w:rsid w:val="00553226"/>
    <w:rsid w:val="005706D8"/>
    <w:rsid w:val="0057311A"/>
    <w:rsid w:val="00575E38"/>
    <w:rsid w:val="00591346"/>
    <w:rsid w:val="00596DDB"/>
    <w:rsid w:val="005A4668"/>
    <w:rsid w:val="005C326D"/>
    <w:rsid w:val="005E5EE6"/>
    <w:rsid w:val="005F3143"/>
    <w:rsid w:val="005F6EDF"/>
    <w:rsid w:val="00600E8D"/>
    <w:rsid w:val="00601A7E"/>
    <w:rsid w:val="00611FB3"/>
    <w:rsid w:val="006136FA"/>
    <w:rsid w:val="00614496"/>
    <w:rsid w:val="00620914"/>
    <w:rsid w:val="006246AE"/>
    <w:rsid w:val="00634BE2"/>
    <w:rsid w:val="006374A6"/>
    <w:rsid w:val="0063776E"/>
    <w:rsid w:val="0069453D"/>
    <w:rsid w:val="006A1621"/>
    <w:rsid w:val="006A31C3"/>
    <w:rsid w:val="006A5A7E"/>
    <w:rsid w:val="006A711F"/>
    <w:rsid w:val="006D0FCD"/>
    <w:rsid w:val="00701C97"/>
    <w:rsid w:val="0070579F"/>
    <w:rsid w:val="00707D59"/>
    <w:rsid w:val="00710D26"/>
    <w:rsid w:val="00725CC6"/>
    <w:rsid w:val="00730874"/>
    <w:rsid w:val="00732465"/>
    <w:rsid w:val="00740EF5"/>
    <w:rsid w:val="00743F01"/>
    <w:rsid w:val="007448C3"/>
    <w:rsid w:val="007522E2"/>
    <w:rsid w:val="0075278C"/>
    <w:rsid w:val="0075385B"/>
    <w:rsid w:val="0076097F"/>
    <w:rsid w:val="0076244C"/>
    <w:rsid w:val="007759E1"/>
    <w:rsid w:val="0078380C"/>
    <w:rsid w:val="00785FFF"/>
    <w:rsid w:val="00787929"/>
    <w:rsid w:val="00792DF6"/>
    <w:rsid w:val="007930C4"/>
    <w:rsid w:val="00794478"/>
    <w:rsid w:val="007A1216"/>
    <w:rsid w:val="007B2AA1"/>
    <w:rsid w:val="007B3421"/>
    <w:rsid w:val="007B533C"/>
    <w:rsid w:val="007C1D09"/>
    <w:rsid w:val="007D031B"/>
    <w:rsid w:val="007D15C7"/>
    <w:rsid w:val="007D6CB3"/>
    <w:rsid w:val="007E1A69"/>
    <w:rsid w:val="007E7315"/>
    <w:rsid w:val="007F3BBD"/>
    <w:rsid w:val="007F41F7"/>
    <w:rsid w:val="007F76E5"/>
    <w:rsid w:val="00801AA9"/>
    <w:rsid w:val="00805204"/>
    <w:rsid w:val="00822437"/>
    <w:rsid w:val="00823D80"/>
    <w:rsid w:val="00830AAD"/>
    <w:rsid w:val="00831008"/>
    <w:rsid w:val="00842223"/>
    <w:rsid w:val="00843724"/>
    <w:rsid w:val="00843AA4"/>
    <w:rsid w:val="00847EEA"/>
    <w:rsid w:val="0086031A"/>
    <w:rsid w:val="0086066C"/>
    <w:rsid w:val="00864414"/>
    <w:rsid w:val="0087758C"/>
    <w:rsid w:val="00891304"/>
    <w:rsid w:val="00896CD5"/>
    <w:rsid w:val="008A545F"/>
    <w:rsid w:val="008A6EA7"/>
    <w:rsid w:val="008B05E6"/>
    <w:rsid w:val="008B1AE8"/>
    <w:rsid w:val="008B4892"/>
    <w:rsid w:val="008B5782"/>
    <w:rsid w:val="008B58C1"/>
    <w:rsid w:val="008B7AAB"/>
    <w:rsid w:val="008C1E12"/>
    <w:rsid w:val="008C2489"/>
    <w:rsid w:val="008C72B6"/>
    <w:rsid w:val="008D03E4"/>
    <w:rsid w:val="008D211C"/>
    <w:rsid w:val="008E036F"/>
    <w:rsid w:val="008F58AC"/>
    <w:rsid w:val="008F70C0"/>
    <w:rsid w:val="009122B2"/>
    <w:rsid w:val="009131B2"/>
    <w:rsid w:val="00921957"/>
    <w:rsid w:val="00922ACE"/>
    <w:rsid w:val="0092493E"/>
    <w:rsid w:val="00926476"/>
    <w:rsid w:val="00930C22"/>
    <w:rsid w:val="00937D69"/>
    <w:rsid w:val="0094346F"/>
    <w:rsid w:val="00947339"/>
    <w:rsid w:val="00954F04"/>
    <w:rsid w:val="00955472"/>
    <w:rsid w:val="0096080C"/>
    <w:rsid w:val="00961595"/>
    <w:rsid w:val="009709A1"/>
    <w:rsid w:val="00973334"/>
    <w:rsid w:val="00973ACD"/>
    <w:rsid w:val="009831D3"/>
    <w:rsid w:val="009917B0"/>
    <w:rsid w:val="00995676"/>
    <w:rsid w:val="00996C6D"/>
    <w:rsid w:val="009A467C"/>
    <w:rsid w:val="009B3FB9"/>
    <w:rsid w:val="009B4749"/>
    <w:rsid w:val="009C05ED"/>
    <w:rsid w:val="009C0B76"/>
    <w:rsid w:val="009C33D4"/>
    <w:rsid w:val="009C4689"/>
    <w:rsid w:val="009E088A"/>
    <w:rsid w:val="009F169F"/>
    <w:rsid w:val="009F28FA"/>
    <w:rsid w:val="00A15255"/>
    <w:rsid w:val="00A207AA"/>
    <w:rsid w:val="00A3359C"/>
    <w:rsid w:val="00A372E5"/>
    <w:rsid w:val="00A42CFD"/>
    <w:rsid w:val="00A445FE"/>
    <w:rsid w:val="00A503FA"/>
    <w:rsid w:val="00A55910"/>
    <w:rsid w:val="00A6278C"/>
    <w:rsid w:val="00A64580"/>
    <w:rsid w:val="00A66A01"/>
    <w:rsid w:val="00A670D2"/>
    <w:rsid w:val="00A70445"/>
    <w:rsid w:val="00A75857"/>
    <w:rsid w:val="00A81BF0"/>
    <w:rsid w:val="00A81D6C"/>
    <w:rsid w:val="00A82DD2"/>
    <w:rsid w:val="00A84BD1"/>
    <w:rsid w:val="00A866DA"/>
    <w:rsid w:val="00A86C20"/>
    <w:rsid w:val="00A96C43"/>
    <w:rsid w:val="00AA206D"/>
    <w:rsid w:val="00AA5D8E"/>
    <w:rsid w:val="00AB1CD3"/>
    <w:rsid w:val="00AB4E91"/>
    <w:rsid w:val="00AC7885"/>
    <w:rsid w:val="00AD0FFA"/>
    <w:rsid w:val="00AD1DE0"/>
    <w:rsid w:val="00AD75A4"/>
    <w:rsid w:val="00AD7D11"/>
    <w:rsid w:val="00B06042"/>
    <w:rsid w:val="00B10C3C"/>
    <w:rsid w:val="00B12A62"/>
    <w:rsid w:val="00B21A46"/>
    <w:rsid w:val="00B24B98"/>
    <w:rsid w:val="00B26112"/>
    <w:rsid w:val="00B35427"/>
    <w:rsid w:val="00B37F36"/>
    <w:rsid w:val="00B421D6"/>
    <w:rsid w:val="00B45564"/>
    <w:rsid w:val="00B46A6E"/>
    <w:rsid w:val="00B514AE"/>
    <w:rsid w:val="00B52211"/>
    <w:rsid w:val="00B62BBB"/>
    <w:rsid w:val="00B63F27"/>
    <w:rsid w:val="00B67206"/>
    <w:rsid w:val="00B76AD1"/>
    <w:rsid w:val="00B873B8"/>
    <w:rsid w:val="00B909AE"/>
    <w:rsid w:val="00B93A76"/>
    <w:rsid w:val="00B94D83"/>
    <w:rsid w:val="00B96B14"/>
    <w:rsid w:val="00BA2DA9"/>
    <w:rsid w:val="00BA5D6C"/>
    <w:rsid w:val="00BA7B4C"/>
    <w:rsid w:val="00BB7234"/>
    <w:rsid w:val="00BB762D"/>
    <w:rsid w:val="00BC00B2"/>
    <w:rsid w:val="00BC01B3"/>
    <w:rsid w:val="00BC3591"/>
    <w:rsid w:val="00BC3E2D"/>
    <w:rsid w:val="00BD0409"/>
    <w:rsid w:val="00BE0BE4"/>
    <w:rsid w:val="00BE4036"/>
    <w:rsid w:val="00BE6167"/>
    <w:rsid w:val="00BE76D9"/>
    <w:rsid w:val="00C0478D"/>
    <w:rsid w:val="00C11588"/>
    <w:rsid w:val="00C11761"/>
    <w:rsid w:val="00C14BBB"/>
    <w:rsid w:val="00C162BA"/>
    <w:rsid w:val="00C1667D"/>
    <w:rsid w:val="00C1746B"/>
    <w:rsid w:val="00C2776D"/>
    <w:rsid w:val="00C4319B"/>
    <w:rsid w:val="00C43954"/>
    <w:rsid w:val="00C47785"/>
    <w:rsid w:val="00C53D71"/>
    <w:rsid w:val="00C603E8"/>
    <w:rsid w:val="00C65E81"/>
    <w:rsid w:val="00C66616"/>
    <w:rsid w:val="00C7033C"/>
    <w:rsid w:val="00C77B59"/>
    <w:rsid w:val="00C87B12"/>
    <w:rsid w:val="00C87D49"/>
    <w:rsid w:val="00C87EB8"/>
    <w:rsid w:val="00C90077"/>
    <w:rsid w:val="00C96722"/>
    <w:rsid w:val="00CA7744"/>
    <w:rsid w:val="00CB4E1C"/>
    <w:rsid w:val="00CB6A9B"/>
    <w:rsid w:val="00CD17EA"/>
    <w:rsid w:val="00CD1DE4"/>
    <w:rsid w:val="00CD2DB8"/>
    <w:rsid w:val="00CD368E"/>
    <w:rsid w:val="00CD44DC"/>
    <w:rsid w:val="00CD731E"/>
    <w:rsid w:val="00CE1B82"/>
    <w:rsid w:val="00CE787D"/>
    <w:rsid w:val="00CF7A4A"/>
    <w:rsid w:val="00D078BD"/>
    <w:rsid w:val="00D10FCD"/>
    <w:rsid w:val="00D1209E"/>
    <w:rsid w:val="00D151D2"/>
    <w:rsid w:val="00D163BF"/>
    <w:rsid w:val="00D20169"/>
    <w:rsid w:val="00D2182B"/>
    <w:rsid w:val="00D22951"/>
    <w:rsid w:val="00D2682A"/>
    <w:rsid w:val="00D269E3"/>
    <w:rsid w:val="00D271D7"/>
    <w:rsid w:val="00D44A7B"/>
    <w:rsid w:val="00D4502C"/>
    <w:rsid w:val="00D458CA"/>
    <w:rsid w:val="00D509C0"/>
    <w:rsid w:val="00D53C44"/>
    <w:rsid w:val="00D56A7C"/>
    <w:rsid w:val="00D63126"/>
    <w:rsid w:val="00D67770"/>
    <w:rsid w:val="00D74592"/>
    <w:rsid w:val="00D75E6C"/>
    <w:rsid w:val="00D76A91"/>
    <w:rsid w:val="00D77A16"/>
    <w:rsid w:val="00D77F82"/>
    <w:rsid w:val="00D806C8"/>
    <w:rsid w:val="00D817F6"/>
    <w:rsid w:val="00D87649"/>
    <w:rsid w:val="00DA45FE"/>
    <w:rsid w:val="00DA6031"/>
    <w:rsid w:val="00DA6FAD"/>
    <w:rsid w:val="00DB49DD"/>
    <w:rsid w:val="00DC165F"/>
    <w:rsid w:val="00DC4760"/>
    <w:rsid w:val="00DC5493"/>
    <w:rsid w:val="00DD4C43"/>
    <w:rsid w:val="00DD59FF"/>
    <w:rsid w:val="00DF1E40"/>
    <w:rsid w:val="00E02613"/>
    <w:rsid w:val="00E037A5"/>
    <w:rsid w:val="00E0628D"/>
    <w:rsid w:val="00E07491"/>
    <w:rsid w:val="00E12CC1"/>
    <w:rsid w:val="00E14073"/>
    <w:rsid w:val="00E254E0"/>
    <w:rsid w:val="00E35BC6"/>
    <w:rsid w:val="00E542AF"/>
    <w:rsid w:val="00E56522"/>
    <w:rsid w:val="00E57629"/>
    <w:rsid w:val="00E65D12"/>
    <w:rsid w:val="00E66EC4"/>
    <w:rsid w:val="00E81CC9"/>
    <w:rsid w:val="00E82577"/>
    <w:rsid w:val="00E8267A"/>
    <w:rsid w:val="00E85D61"/>
    <w:rsid w:val="00E924E2"/>
    <w:rsid w:val="00E92A03"/>
    <w:rsid w:val="00EA0072"/>
    <w:rsid w:val="00EA7572"/>
    <w:rsid w:val="00EB021B"/>
    <w:rsid w:val="00EB0A8F"/>
    <w:rsid w:val="00EB3397"/>
    <w:rsid w:val="00EB518A"/>
    <w:rsid w:val="00EB5ECD"/>
    <w:rsid w:val="00EC6774"/>
    <w:rsid w:val="00ED0A82"/>
    <w:rsid w:val="00ED7018"/>
    <w:rsid w:val="00ED766D"/>
    <w:rsid w:val="00EF6F04"/>
    <w:rsid w:val="00F03B06"/>
    <w:rsid w:val="00F124DD"/>
    <w:rsid w:val="00F20157"/>
    <w:rsid w:val="00F22273"/>
    <w:rsid w:val="00F24930"/>
    <w:rsid w:val="00F255C6"/>
    <w:rsid w:val="00F33976"/>
    <w:rsid w:val="00F37C48"/>
    <w:rsid w:val="00F427AB"/>
    <w:rsid w:val="00F50449"/>
    <w:rsid w:val="00F540DF"/>
    <w:rsid w:val="00F571BB"/>
    <w:rsid w:val="00F663CB"/>
    <w:rsid w:val="00F66E24"/>
    <w:rsid w:val="00F67557"/>
    <w:rsid w:val="00F725C5"/>
    <w:rsid w:val="00F82E1F"/>
    <w:rsid w:val="00FB28D9"/>
    <w:rsid w:val="00FB3236"/>
    <w:rsid w:val="00FC6FBE"/>
    <w:rsid w:val="00FD5B68"/>
    <w:rsid w:val="00FF2D88"/>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ecimalSymbol w:val="."/>
  <w:listSeparator w:val=","/>
  <w14:docId w14:val="392300DE"/>
  <w15:chartTrackingRefBased/>
  <w15:docId w15:val="{B5A8D45D-D68A-D645-8049-7D70561604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sz w:val="24"/>
        <w:szCs w:val="24"/>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rsid w:val="005706D8"/>
    <w:pPr>
      <w:widowControl w:val="0"/>
      <w:jc w:val="both"/>
    </w:pPr>
    <w:rPr>
      <w:rFonts w:ascii="Times New Roman" w:eastAsia="IPAexMincho" w:hAnsi="Times New Roman" w:cs="Al Bayan"/>
      <w:bCs/>
      <w:kern w:val="2"/>
      <w:szCs w:val="21"/>
    </w:rPr>
  </w:style>
  <w:style w:type="paragraph" w:styleId="2">
    <w:name w:val="heading 2"/>
    <w:basedOn w:val="a"/>
    <w:next w:val="a"/>
    <w:link w:val="20"/>
    <w:uiPriority w:val="9"/>
    <w:unhideWhenUsed/>
    <w:qFormat/>
    <w:rsid w:val="00EA0072"/>
    <w:pPr>
      <w:keepNext/>
      <w:keepLines/>
      <w:spacing w:line="480" w:lineRule="auto"/>
      <w:outlineLvl w:val="1"/>
    </w:pPr>
    <w:rPr>
      <w:rFonts w:ascii="Arial" w:eastAsiaTheme="majorEastAsia" w:hAnsi="Arial" w:cstheme="majorBidi"/>
      <w:color w:val="000000" w:themeColor="text1"/>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laceholder Text"/>
    <w:basedOn w:val="a0"/>
    <w:uiPriority w:val="99"/>
    <w:semiHidden/>
    <w:rsid w:val="00B93A76"/>
    <w:rPr>
      <w:color w:val="808080"/>
    </w:rPr>
  </w:style>
  <w:style w:type="character" w:styleId="a4">
    <w:name w:val="Hyperlink"/>
    <w:basedOn w:val="a0"/>
    <w:uiPriority w:val="99"/>
    <w:unhideWhenUsed/>
    <w:rsid w:val="00BA5D6C"/>
    <w:rPr>
      <w:color w:val="0563C1" w:themeColor="hyperlink"/>
      <w:u w:val="single"/>
    </w:rPr>
  </w:style>
  <w:style w:type="character" w:styleId="a5">
    <w:name w:val="Unresolved Mention"/>
    <w:basedOn w:val="a0"/>
    <w:uiPriority w:val="99"/>
    <w:semiHidden/>
    <w:unhideWhenUsed/>
    <w:rsid w:val="00BA5D6C"/>
    <w:rPr>
      <w:color w:val="605E5C"/>
      <w:shd w:val="clear" w:color="auto" w:fill="E1DFDD"/>
    </w:rPr>
  </w:style>
  <w:style w:type="paragraph" w:styleId="a6">
    <w:name w:val="header"/>
    <w:basedOn w:val="a"/>
    <w:link w:val="a7"/>
    <w:uiPriority w:val="99"/>
    <w:unhideWhenUsed/>
    <w:rsid w:val="00D1209E"/>
    <w:pPr>
      <w:tabs>
        <w:tab w:val="center" w:pos="4680"/>
        <w:tab w:val="right" w:pos="9360"/>
      </w:tabs>
    </w:pPr>
  </w:style>
  <w:style w:type="character" w:customStyle="1" w:styleId="a7">
    <w:name w:val="ヘッダー (文字)"/>
    <w:basedOn w:val="a0"/>
    <w:link w:val="a6"/>
    <w:uiPriority w:val="99"/>
    <w:rsid w:val="00D1209E"/>
    <w:rPr>
      <w:rFonts w:ascii="Times New Roman" w:eastAsia="IPAexMincho" w:hAnsi="Times New Roman" w:cs="Al Bayan"/>
      <w:bCs/>
      <w:kern w:val="2"/>
      <w:szCs w:val="21"/>
      <w:lang w:val="en-US"/>
    </w:rPr>
  </w:style>
  <w:style w:type="paragraph" w:styleId="a8">
    <w:name w:val="footer"/>
    <w:basedOn w:val="a"/>
    <w:link w:val="a9"/>
    <w:uiPriority w:val="99"/>
    <w:unhideWhenUsed/>
    <w:rsid w:val="00D1209E"/>
    <w:pPr>
      <w:tabs>
        <w:tab w:val="center" w:pos="4680"/>
        <w:tab w:val="right" w:pos="9360"/>
      </w:tabs>
    </w:pPr>
  </w:style>
  <w:style w:type="character" w:customStyle="1" w:styleId="a9">
    <w:name w:val="フッター (文字)"/>
    <w:basedOn w:val="a0"/>
    <w:link w:val="a8"/>
    <w:uiPriority w:val="99"/>
    <w:rsid w:val="00D1209E"/>
    <w:rPr>
      <w:rFonts w:ascii="Times New Roman" w:eastAsia="IPAexMincho" w:hAnsi="Times New Roman" w:cs="Al Bayan"/>
      <w:bCs/>
      <w:kern w:val="2"/>
      <w:szCs w:val="21"/>
      <w:lang w:val="en-US"/>
    </w:rPr>
  </w:style>
  <w:style w:type="character" w:styleId="aa">
    <w:name w:val="annotation reference"/>
    <w:basedOn w:val="a0"/>
    <w:uiPriority w:val="99"/>
    <w:semiHidden/>
    <w:unhideWhenUsed/>
    <w:rsid w:val="000D322F"/>
    <w:rPr>
      <w:sz w:val="16"/>
      <w:szCs w:val="16"/>
    </w:rPr>
  </w:style>
  <w:style w:type="paragraph" w:styleId="ab">
    <w:name w:val="annotation text"/>
    <w:basedOn w:val="a"/>
    <w:link w:val="ac"/>
    <w:uiPriority w:val="99"/>
    <w:semiHidden/>
    <w:unhideWhenUsed/>
    <w:rsid w:val="000D322F"/>
    <w:rPr>
      <w:sz w:val="20"/>
      <w:szCs w:val="20"/>
    </w:rPr>
  </w:style>
  <w:style w:type="character" w:customStyle="1" w:styleId="ac">
    <w:name w:val="コメント文字列 (文字)"/>
    <w:basedOn w:val="a0"/>
    <w:link w:val="ab"/>
    <w:uiPriority w:val="99"/>
    <w:semiHidden/>
    <w:rsid w:val="000D322F"/>
    <w:rPr>
      <w:rFonts w:ascii="Times New Roman" w:eastAsia="IPAexMincho" w:hAnsi="Times New Roman" w:cs="Al Bayan"/>
      <w:bCs/>
      <w:kern w:val="2"/>
      <w:sz w:val="20"/>
      <w:szCs w:val="20"/>
    </w:rPr>
  </w:style>
  <w:style w:type="paragraph" w:styleId="ad">
    <w:name w:val="annotation subject"/>
    <w:basedOn w:val="ab"/>
    <w:next w:val="ab"/>
    <w:link w:val="ae"/>
    <w:uiPriority w:val="99"/>
    <w:semiHidden/>
    <w:unhideWhenUsed/>
    <w:rsid w:val="000D322F"/>
    <w:rPr>
      <w:b/>
    </w:rPr>
  </w:style>
  <w:style w:type="character" w:customStyle="1" w:styleId="ae">
    <w:name w:val="コメント内容 (文字)"/>
    <w:basedOn w:val="ac"/>
    <w:link w:val="ad"/>
    <w:uiPriority w:val="99"/>
    <w:semiHidden/>
    <w:rsid w:val="000D322F"/>
    <w:rPr>
      <w:rFonts w:ascii="Times New Roman" w:eastAsia="IPAexMincho" w:hAnsi="Times New Roman" w:cs="Al Bayan"/>
      <w:b/>
      <w:bCs/>
      <w:kern w:val="2"/>
      <w:sz w:val="20"/>
      <w:szCs w:val="20"/>
    </w:rPr>
  </w:style>
  <w:style w:type="paragraph" w:styleId="af">
    <w:name w:val="Revision"/>
    <w:hidden/>
    <w:uiPriority w:val="99"/>
    <w:semiHidden/>
    <w:rsid w:val="00500FAC"/>
    <w:rPr>
      <w:rFonts w:ascii="Times New Roman" w:eastAsia="IPAexMincho" w:hAnsi="Times New Roman" w:cs="Al Bayan"/>
      <w:bCs/>
      <w:kern w:val="2"/>
      <w:szCs w:val="21"/>
    </w:rPr>
  </w:style>
  <w:style w:type="character" w:customStyle="1" w:styleId="20">
    <w:name w:val="見出し 2 (文字)"/>
    <w:basedOn w:val="a0"/>
    <w:link w:val="2"/>
    <w:uiPriority w:val="9"/>
    <w:rsid w:val="00EA0072"/>
    <w:rPr>
      <w:rFonts w:ascii="Arial" w:eastAsiaTheme="majorEastAsia" w:hAnsi="Arial" w:cstheme="majorBidi"/>
      <w:bCs/>
      <w:color w:val="000000" w:themeColor="text1"/>
      <w:kern w:val="2"/>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5.emf"/><Relationship Id="rId13" Type="http://schemas.openxmlformats.org/officeDocument/2006/relationships/image" Target="media/image10.emf"/><Relationship Id="rId18" Type="http://schemas.openxmlformats.org/officeDocument/2006/relationships/image" Target="media/image15.emf"/><Relationship Id="rId3" Type="http://schemas.openxmlformats.org/officeDocument/2006/relationships/webSettings" Target="webSettings.xml"/><Relationship Id="rId7" Type="http://schemas.openxmlformats.org/officeDocument/2006/relationships/image" Target="media/image4.emf"/><Relationship Id="rId12" Type="http://schemas.openxmlformats.org/officeDocument/2006/relationships/image" Target="media/image9.emf"/><Relationship Id="rId17" Type="http://schemas.openxmlformats.org/officeDocument/2006/relationships/image" Target="media/image14.emf"/><Relationship Id="rId2" Type="http://schemas.openxmlformats.org/officeDocument/2006/relationships/settings" Target="settings.xml"/><Relationship Id="rId16" Type="http://schemas.openxmlformats.org/officeDocument/2006/relationships/image" Target="media/image13.emf"/><Relationship Id="rId20" Type="http://schemas.openxmlformats.org/officeDocument/2006/relationships/theme" Target="theme/theme1.xml"/><Relationship Id="rId1" Type="http://schemas.openxmlformats.org/officeDocument/2006/relationships/styles" Target="styles.xml"/><Relationship Id="rId6" Type="http://schemas.openxmlformats.org/officeDocument/2006/relationships/image" Target="media/image3.emf"/><Relationship Id="rId11" Type="http://schemas.openxmlformats.org/officeDocument/2006/relationships/image" Target="media/image8.emf"/><Relationship Id="rId5" Type="http://schemas.openxmlformats.org/officeDocument/2006/relationships/image" Target="media/image2.emf"/><Relationship Id="rId15" Type="http://schemas.openxmlformats.org/officeDocument/2006/relationships/image" Target="media/image12.emf"/><Relationship Id="rId10" Type="http://schemas.openxmlformats.org/officeDocument/2006/relationships/image" Target="media/image7.emf"/><Relationship Id="rId19" Type="http://schemas.openxmlformats.org/officeDocument/2006/relationships/fontTable" Target="fontTable.xml"/><Relationship Id="rId4" Type="http://schemas.openxmlformats.org/officeDocument/2006/relationships/image" Target="media/image1.emf"/><Relationship Id="rId9" Type="http://schemas.openxmlformats.org/officeDocument/2006/relationships/image" Target="media/image6.emf"/><Relationship Id="rId14" Type="http://schemas.openxmlformats.org/officeDocument/2006/relationships/image" Target="media/image11.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749</TotalTime>
  <Pages>16</Pages>
  <Words>1076</Words>
  <Characters>6137</Characters>
  <Application>Microsoft Office Word</Application>
  <DocSecurity>0</DocSecurity>
  <Lines>51</Lines>
  <Paragraphs>14</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7199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T20200071165</dc:creator>
  <cp:lastModifiedBy>Ritsuya Shibata</cp:lastModifiedBy>
  <cp:revision>366</cp:revision>
  <dcterms:created xsi:type="dcterms:W3CDTF">2022-08-13T13:46:00Z</dcterms:created>
  <dcterms:modified xsi:type="dcterms:W3CDTF">2024-07-31T03:05:00Z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c0315f8aabc517d54d9ae3f5ea326aaddd60151cb2197459249cb2d63d7fe630</vt:lpwstr>
  </property>
</Properties>
</file>