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00AA12" w14:textId="4DB59FDD" w:rsidR="003310DB" w:rsidRPr="00B7106A" w:rsidRDefault="003310DB" w:rsidP="003310DB">
      <w:pPr>
        <w:rPr>
          <w:rFonts w:ascii="Times New Roman" w:hAnsi="Times New Roman" w:cs="Times New Roman"/>
          <w:b/>
          <w:bCs/>
        </w:rPr>
      </w:pPr>
      <w:r w:rsidRPr="00B7106A">
        <w:rPr>
          <w:rFonts w:ascii="Times New Roman" w:hAnsi="Times New Roman" w:cs="Times New Roman"/>
          <w:b/>
          <w:bCs/>
        </w:rPr>
        <w:t xml:space="preserve">Supplementary Material 1: </w:t>
      </w:r>
      <w:r w:rsidR="00B86FE8">
        <w:rPr>
          <w:rFonts w:ascii="Times New Roman" w:hAnsi="Times New Roman" w:cs="Times New Roman"/>
          <w:b/>
          <w:bCs/>
        </w:rPr>
        <w:t>Full s</w:t>
      </w:r>
      <w:r w:rsidRPr="00B7106A">
        <w:rPr>
          <w:rFonts w:ascii="Times New Roman" w:hAnsi="Times New Roman" w:cs="Times New Roman"/>
          <w:b/>
          <w:bCs/>
        </w:rPr>
        <w:t xml:space="preserve">tudy protocol </w:t>
      </w:r>
    </w:p>
    <w:p w14:paraId="02893F19" w14:textId="77777777" w:rsidR="003310DB" w:rsidRPr="00CF1106" w:rsidRDefault="003310DB" w:rsidP="003310DB">
      <w:pPr>
        <w:rPr>
          <w:rFonts w:ascii="Times New Roman" w:hAnsi="Times New Roman" w:cs="Times New Roman"/>
        </w:rPr>
      </w:pPr>
      <w:r w:rsidRPr="00CF1106">
        <w:rPr>
          <w:rFonts w:ascii="Times New Roman" w:hAnsi="Times New Roman" w:cs="Times New Roman"/>
        </w:rPr>
        <w:t>Literature search</w:t>
      </w:r>
    </w:p>
    <w:p w14:paraId="66464B4A" w14:textId="52EE68DE" w:rsidR="003310DB" w:rsidRPr="00CF1106" w:rsidRDefault="003310DB" w:rsidP="003310DB">
      <w:pPr>
        <w:rPr>
          <w:rFonts w:ascii="Times New Roman" w:hAnsi="Times New Roman" w:cs="Times New Roman"/>
        </w:rPr>
      </w:pPr>
      <w:proofErr w:type="gramStart"/>
      <w:r w:rsidRPr="00CF1106">
        <w:rPr>
          <w:rFonts w:ascii="Times New Roman" w:hAnsi="Times New Roman" w:cs="Times New Roman"/>
        </w:rPr>
        <w:t>In order to</w:t>
      </w:r>
      <w:proofErr w:type="gramEnd"/>
      <w:r w:rsidRPr="00CF1106">
        <w:rPr>
          <w:rFonts w:ascii="Times New Roman" w:hAnsi="Times New Roman" w:cs="Times New Roman"/>
        </w:rPr>
        <w:t xml:space="preserve"> investigate the published body of applied palaeolimnological work, the research employed a review style approach, examining the trends of applied literature published in academic journals. Grey literature was excluded as the aim of the research was to explore challenges around specifically academic publication of palaeolimnology. Data were gathered initially using Boolean logic searches of three online databases; Web of Science, PubMed and Scopus to improve the comprehensiveness of the search </w:t>
      </w:r>
      <w:r w:rsidRPr="00CF1106">
        <w:rPr>
          <w:rFonts w:ascii="Times New Roman" w:hAnsi="Times New Roman" w:cs="Times New Roman"/>
        </w:rPr>
        <w:fldChar w:fldCharType="begin"/>
      </w:r>
      <w:r w:rsidR="00166135">
        <w:rPr>
          <w:rFonts w:ascii="Times New Roman" w:hAnsi="Times New Roman" w:cs="Times New Roman"/>
        </w:rPr>
        <w:instrText xml:space="preserve"> ADDIN ZOTERO_ITEM CSL_CITATION {"citationID":"9XB4o0im","properties":{"formattedCitation":"(Watson and Medeiros 2021)","plainCitation":"(Watson and Medeiros 2021)","noteIndex":0},"citationItems":[{"id":1919,"uris":["http://zotero.org/users/10235684/items/2WY3Q97J"],"itemData":{"id":1919,"type":"article-journal","abstract":"Vulnerability can measure an ecosystem’s susceptibility to change as a result of pressure or disturbance, but can be difficult to quantify. Reconstructions of past climate using paleolimnological methods can create a baseline to calibrate future projections of vulnerability, which can improve ecosystem management and conservation plans. Here, we conduct a systematic map to analyze the range and extent that paleolimnological published studies incorporated the concept of vulnerability. Additional themes of monitoring, management, conservation, restoration, or ecological integrity were also included. A total of 52 relevant unique articles were found, a majority of which were conducted in Europe or North America since 2011. Common themes identified included management and adaptation, with the latter heavily focussed on climate change or disturbance. From this, we can infer that the use of paleolimnology to discuss the concept of vulnerability is an emerging field. We argue that paleolimnology plays a valid role in the reconstruction of ecosystem vulnerability due to its capacity to broaden the scope of long-term monitoring, as well as its potential to help establish management and restoration plans. The use of paleolimnology in vulnerability analysis will provide a clearer lens of changes over time; therefore, it should be frequently implemented as a tool for vulnerability assessment.","container-title":"FACETS","DOI":"10.1139/facets-2020-0067","note":"publisher: Canadian Science Publishing","page":"517-536","source":"facetsjournal.com (Atypon)","title":"The value of paleolimnology in reconstructing and managing ecosystem vulnerability: a systematic map","title-short":"The value of paleolimnology in reconstructing and managing ecosystem vulnerability","volume":"6","author":[{"family":"Watson","given":"Victoria Theresa"},{"family":"Medeiros","given":"Andrew Scott"}],"issued":{"date-parts":[["2021",1]]}}}],"schema":"https://github.com/citation-style-language/schema/raw/master/csl-citation.json"} </w:instrText>
      </w:r>
      <w:r w:rsidRPr="00CF1106">
        <w:rPr>
          <w:rFonts w:ascii="Times New Roman" w:hAnsi="Times New Roman" w:cs="Times New Roman"/>
        </w:rPr>
        <w:fldChar w:fldCharType="separate"/>
      </w:r>
      <w:r w:rsidR="00166135" w:rsidRPr="00166135">
        <w:rPr>
          <w:rFonts w:ascii="Times New Roman" w:hAnsi="Times New Roman" w:cs="Times New Roman"/>
        </w:rPr>
        <w:t>(Watson and Medeiros 2021)</w:t>
      </w:r>
      <w:r w:rsidRPr="00CF1106">
        <w:rPr>
          <w:rFonts w:ascii="Times New Roman" w:hAnsi="Times New Roman" w:cs="Times New Roman"/>
        </w:rPr>
        <w:fldChar w:fldCharType="end"/>
      </w:r>
      <w:r w:rsidRPr="00CF1106">
        <w:rPr>
          <w:rFonts w:ascii="Times New Roman" w:hAnsi="Times New Roman" w:cs="Times New Roman"/>
        </w:rPr>
        <w:t xml:space="preserve">. Google Scholar was identified as an additional potential source, and has been used in similar studies to capture additional literature </w:t>
      </w:r>
      <w:r w:rsidRPr="00CF1106">
        <w:rPr>
          <w:rFonts w:ascii="Times New Roman" w:hAnsi="Times New Roman" w:cs="Times New Roman"/>
        </w:rPr>
        <w:fldChar w:fldCharType="begin"/>
      </w:r>
      <w:r w:rsidRPr="00CF1106">
        <w:rPr>
          <w:rFonts w:ascii="Times New Roman" w:hAnsi="Times New Roman" w:cs="Times New Roman"/>
        </w:rPr>
        <w:instrText xml:space="preserve"> ADDIN ZOTERO_ITEM CSL_CITATION {"citationID":"P5iLEojT","properties":{"formattedCitation":"(Dillon {\\i{}et al.}, 2022)","plainCitation":"(Dillon et al., 2022)","dontUpdate":true,"noteIndex":0},"citationItems":[{"id":694,"uris":["http://zotero.org/users/10235684/items/D8WT8RQ8"],"itemData":{"id":694,"type":"article-journal","abstract":"Conservation paleobiology has coalesced over the last two decades since its formal coining, united by the goal of applying geohistorical records to inform the conservation, management, and restoration of biodiversity and ecosystem services. Yet, the field is still attempting to form an identity distinct from its academic roots. Here, we ask a deceptively simple question: What is conservation paleobiology? To track its development as a field, we synthesize complementary perspectives from a survey of the scientific community that is familiar with conservation paleobiology and a systematic literature review of publications that use the term. We present an overview of conservation paleobiology’s research scope and compare survey participants’ perceptions of what it is and what it should be as a field. We find that conservation paleobiologists use a variety of geohistorical data in their work, although research is typified by near-time records of marine molluscs and terrestrial mammals collected over local to regional spatial scales. Our results also confirm the field’s broad disciplinary basis: survey participants indicated that conservation paleobiology can incorporate information from a wide range of disciplines spanning conservation biology, ecology, historical ecology, paleontology, and archaeology. Finally, we show that conservation paleobiologists have yet to reach a consensus on how applied the field should be in practice. The survey revealed that many participants thought the field should be more applied but that most do not currently engage with conservation practice. Reflecting on how conservation paleobiology has developed over the last two decades, we discuss opportunities to promote community cohesion, strengthen collaborations within conservation science, and align training priorities with the field’s identity as it continues to crystallize.","container-title":"Frontiers in Ecology and Evolution","DOI":"https://doi.org/10.3389/fevo.2022.1031483","ISSN":"2296-701X","source":"Frontiers","title":"What is conservation paleobiology? Tracking 20 years of research and development","title-short":"What is conservation paleobiology?","URL":"https://www.frontiersin.org/articles/10.3389/fevo.2022.1031483","volume":"10","author":[{"family":"Dillon","given":"Erin M."},{"family":"Pier","given":"Jaleigh Q."},{"family":"Smith","given":"Jansen A."},{"family":"Raja","given":"Nussaïbah B."},{"family":"Dimitrijević","given":"Danijela"},{"family":"Austin","given":"Elizabeth L."},{"family":"Cybulski","given":"Jonathan D."},{"family":"De Entrambasaguas","given":"Julia"},{"family":"Durham","given":"Stephen R."},{"family":"Grether","given":"Carolin M."},{"family":"Haldar","given":"Himadri Sekhar"},{"family":"Kocáková","given":"Kristína"},{"family":"Lin","given":"Chien-Hsiang"},{"family":"Mazzini","given":"Ilaria"},{"family":"Mychajliw","given":"Alexis M."},{"family":"Ollendorf","given":"Amy L."},{"family":"Pimiento","given":"Catalina"},{"family":"Regalado Fernández","given":"Omar R."},{"family":"Smith","given":"Isaiah E."},{"family":"Dietl","given":"Gregory P."}],"accessed":{"date-parts":[["2023",1,16]]},"issued":{"date-parts":[["2022"]]}}}],"schema":"https://github.com/citation-style-language/schema/raw/master/csl-citation.json"} </w:instrText>
      </w:r>
      <w:r w:rsidRPr="00CF1106">
        <w:rPr>
          <w:rFonts w:ascii="Times New Roman" w:hAnsi="Times New Roman" w:cs="Times New Roman"/>
        </w:rPr>
        <w:fldChar w:fldCharType="separate"/>
      </w:r>
      <w:r w:rsidRPr="00CF1106">
        <w:rPr>
          <w:rFonts w:ascii="Times New Roman" w:hAnsi="Times New Roman" w:cs="Times New Roman"/>
          <w:kern w:val="0"/>
        </w:rPr>
        <w:t xml:space="preserve">(e.g. Dillon </w:t>
      </w:r>
      <w:r w:rsidRPr="00CF1106">
        <w:rPr>
          <w:rFonts w:ascii="Times New Roman" w:hAnsi="Times New Roman" w:cs="Times New Roman"/>
          <w:i/>
          <w:iCs/>
          <w:kern w:val="0"/>
        </w:rPr>
        <w:t>et al.</w:t>
      </w:r>
      <w:r w:rsidRPr="00CF1106">
        <w:rPr>
          <w:rFonts w:ascii="Times New Roman" w:hAnsi="Times New Roman" w:cs="Times New Roman"/>
          <w:kern w:val="0"/>
        </w:rPr>
        <w:t>, 2022)</w:t>
      </w:r>
      <w:r w:rsidRPr="00CF1106">
        <w:rPr>
          <w:rFonts w:ascii="Times New Roman" w:hAnsi="Times New Roman" w:cs="Times New Roman"/>
        </w:rPr>
        <w:fldChar w:fldCharType="end"/>
      </w:r>
      <w:r w:rsidRPr="00CF1106">
        <w:rPr>
          <w:rFonts w:ascii="Times New Roman" w:hAnsi="Times New Roman" w:cs="Times New Roman"/>
        </w:rPr>
        <w:t xml:space="preserve">. It does, however, present difficulties in refining search criteria through Boolean logic, as well as problems with the quality and exportation process of metadata about each study </w:t>
      </w:r>
      <w:r w:rsidRPr="00CF1106">
        <w:rPr>
          <w:rFonts w:ascii="Times New Roman" w:hAnsi="Times New Roman" w:cs="Times New Roman"/>
        </w:rPr>
        <w:fldChar w:fldCharType="begin"/>
      </w:r>
      <w:r w:rsidR="00166135">
        <w:rPr>
          <w:rFonts w:ascii="Times New Roman" w:hAnsi="Times New Roman" w:cs="Times New Roman"/>
        </w:rPr>
        <w:instrText xml:space="preserve"> ADDIN ZOTERO_ITEM CSL_CITATION {"citationID":"cw3uLlYg","properties":{"formattedCitation":"(Mart\\uc0\\u237{}n-Mart\\uc0\\u237{}n et al. 2021)","plainCitation":"(Martín-Martín et al. 2021)","noteIndex":0},"citationItems":[{"id":3104,"uris":["http://zotero.org/users/10235684/items/J87Y3WFP"],"itemData":{"id":3104,"type":"article-journal","abstract":"New sources of citation data have recently become available, such as Microsoft Academic, Dimensions, and the OpenCitations Index of CrossRef open DOI-to-DOI citations (COCI). Although these have been compared to the Web of Science Core Collection (WoS), Scopus, or Google Scholar, there is no systematic evidence of their differences across subject categories. In response, this paper investigates 3,073,351 citations found by these six data sources to 2,515 English-language highly-cited documents published in 2006 from 252 subject categories, expanding and updating the largest previous study. Google Scholar found 88% of all citations, many of which were not found by the other sources, and nearly all citations found by the remaining sources (89–94%). A similar pattern held within most subject categories. Microsoft Academic is the second largest overall (60% of all citations), including 82% of Scopus citations and 86% of WoS citations. In most categories, Microsoft Academic found more citations than Scopus and WoS (182 and 223 subject categories, respectively), but had coverage gaps in some areas, such as Physics and some Humanities categories. After Scopus, Dimensions is fourth largest (54% of all citations), including 84% of Scopus citations and 88% of WoS citations. It found more citations than Scopus in 36 categories, more than WoS in 185, and displays some coverage gaps, especially in the Humanities. Following WoS, COCI is the smallest, with 28% of all citations. Google Scholar is still the most comprehensive source. In many subject categories Microsoft Academic and Dimensions are good alternatives to Scopus and WoS in terms of coverage.","container-title":"Scientometrics","DOI":"10.1007/s11192-020-03690-4","ISSN":"1588-2861","issue":"1","journalAbbreviation":"Scientometrics","language":"en","page":"871-906","source":"Springer Link","title":"Google Scholar, Microsoft Academic, Scopus, Dimensions, Web of Science, and OpenCitations’ COCI: a multidisciplinary comparison of coverage via citations","title-short":"Google Scholar, Microsoft Academic, Scopus, Dimensions, Web of Science, and OpenCitations’ COCI","volume":"126","author":[{"family":"Martín-Martín","given":"Alberto"},{"family":"Thelwall","given":"Mike"},{"family":"Orduna-Malea","given":"Enrique"},{"family":"Delgado López-Cózar","given":"Emilio"}],"issued":{"date-parts":[["2021",1,1]]}}}],"schema":"https://github.com/citation-style-language/schema/raw/master/csl-citation.json"} </w:instrText>
      </w:r>
      <w:r w:rsidRPr="00CF1106">
        <w:rPr>
          <w:rFonts w:ascii="Times New Roman" w:hAnsi="Times New Roman" w:cs="Times New Roman"/>
        </w:rPr>
        <w:fldChar w:fldCharType="separate"/>
      </w:r>
      <w:r w:rsidR="00166135" w:rsidRPr="00166135">
        <w:rPr>
          <w:rFonts w:ascii="Times New Roman" w:hAnsi="Times New Roman" w:cs="Times New Roman"/>
          <w:kern w:val="0"/>
          <w:szCs w:val="24"/>
        </w:rPr>
        <w:t>(Martín-Martín et al. 2021)</w:t>
      </w:r>
      <w:r w:rsidRPr="00CF1106">
        <w:rPr>
          <w:rFonts w:ascii="Times New Roman" w:hAnsi="Times New Roman" w:cs="Times New Roman"/>
        </w:rPr>
        <w:fldChar w:fldCharType="end"/>
      </w:r>
      <w:r w:rsidRPr="00CF1106">
        <w:rPr>
          <w:rFonts w:ascii="Times New Roman" w:hAnsi="Times New Roman" w:cs="Times New Roman"/>
        </w:rPr>
        <w:t xml:space="preserve">. Despite being user friendly and readily accessible, it has been shown to be an unreliable tool for systematic searches as it lacks aspects of quality control that exist in curated databases such as Scopus, and hence the decision was made not to use it </w:t>
      </w:r>
      <w:r w:rsidRPr="00CF1106">
        <w:rPr>
          <w:rFonts w:ascii="Times New Roman" w:hAnsi="Times New Roman" w:cs="Times New Roman"/>
        </w:rPr>
        <w:fldChar w:fldCharType="begin"/>
      </w:r>
      <w:r w:rsidR="00166135">
        <w:rPr>
          <w:rFonts w:ascii="Times New Roman" w:hAnsi="Times New Roman" w:cs="Times New Roman"/>
        </w:rPr>
        <w:instrText xml:space="preserve"> ADDIN ZOTERO_ITEM CSL_CITATION {"citationID":"JXoDdUck","properties":{"formattedCitation":"(Halevi et al. 2017; Gusenbauer and Haddaway 2020)","plainCitation":"(Halevi et al. 2017; Gusenbauer and Haddaway 2020)","noteIndex":0},"citationItems":[{"id":3108,"uris":["http://zotero.org/users/10235684/items/KR6MU3YU"],"itemData":{"id":3108,"type":"article-journal","abstract":"As Google Scholar (GS) gains more ground as free scholarly literature retrieval source it’s becoming important to understand its quality and reliability in terms of scope and content. Studies comparing GS to controlled databases such as Scopus, Web of Science (WOS) and others have been published almost since GS inception. These studies focus on its coverage, quality and ability to replace controlled databases as a source of reliable scientific literature. In addition, GS introduction of citations tracking and journal metrics have spurred a body of literature focusing on its ability to produce reliable metrics. In this article we aimed to review some studies in these areas in an effort to provide insights into GS ability to replace controlled databases in various subject areas. We reviewed 91 comparative articles from 2005 until 2016 which compared GS to various databases and especially Web of Science (WOS) and Scopus in an effort to determine whether GS can be used as a suitable source of scientific information and as a source of data for scientific evaluation. Our results show that GS has significantly expanded its coverage through the years which makes it a powerful database of scholarly literature. However, the quality of resources indexed and overall policy still remains known. Caution should be exercised when relying on GS for citations and metrics mainly because it can be easily manipulated and its indexing quality still remains a challenge.","container-title":"Journal of Informetrics","DOI":"10.1016/j.joi.2017.06.005","ISSN":"1751-1577","issue":"3","journalAbbreviation":"Journal of Informetrics","page":"823-834","source":"ScienceDirect","title":"Suitability of Google Scholar as a source of scientific information and as a source of data for scientific evaluation—Review of the Literature","volume":"11","author":[{"family":"Halevi","given":"Gali"},{"family":"Moed","given":"Henk"},{"family":"Bar-Ilan","given":"Judit"}],"issued":{"date-parts":[["2017",8,1]]}}},{"id":1923,"uris":["http://zotero.org/users/10235684/items/HE59W8D2"],"itemData":{"id":1923,"type":"article-journal","abstract":"Rigorous evidence identification is essential for systematic reviews and meta-analyses (evidence syntheses) because the sample selection of relevant studies determines a review's outcome, validity, and explanatory power. Yet, the search systems allowing access to this evidence provide varying levels of precision, recall, and reproducibility and also demand different levels of effort. To date, it remains unclear which search systems are most appropriate for evidence synthesis and why. Advice on which search engines and bibliographic databases to choose for systematic searches is limited and lacking systematic, empirical performance assessments. This study investigates and compares the systematic search qualities of 28 widely used academic search systems, including Google Scholar, PubMed, and Web of Science. A novel, query-based method tests how well users are able to interact and retrieve records with each system. The study is the first to show the extent to which search systems can effectively and efficiently perform (Boolean) searches with regards to precision, recall, and reproducibility. We found substantial differences in the performance of search systems, meaning that their usability in systematic searches varies. Indeed, only half of the search systems analyzed and only a few Open Access databases can be recommended for evidence syntheses without adding substantial caveats. Particularly, our findings demonstrate why Google Scholar is inappropriate as principal search system. We call for database owners to recognize the requirements of evidence synthesis and for academic journals to reassess quality requirements for systematic reviews. Our findings aim to support researchers in conducting better searches for better evidence synthesis.","container-title":"Research Synthesis Methods","DOI":"10.1002/jrsm.1378","ISSN":"1759-2887","issue":"2","language":"en","license":"© 2019 The Authors. Research Synthesis Methods published by John Wiley &amp; Sons Ltd","note":"_eprint: https://onlinelibrary.wiley.com/doi/pdf/10.1002/jrsm.1378","page":"181-217","source":"Wiley Online Library","title":"Which academic search systems are suitable for systematic reviews or meta-analyses? Evaluating retrieval qualities of Google Scholar, PubMed, and 26 other resources","title-short":"Which academic search systems are suitable for systematic reviews or meta-analyses?","volume":"11","author":[{"family":"Gusenbauer","given":"Michael"},{"family":"Haddaway","given":"Neal R."}],"issued":{"date-parts":[["2020"]]}}}],"schema":"https://github.com/citation-style-language/schema/raw/master/csl-citation.json"} </w:instrText>
      </w:r>
      <w:r w:rsidRPr="00CF1106">
        <w:rPr>
          <w:rFonts w:ascii="Times New Roman" w:hAnsi="Times New Roman" w:cs="Times New Roman"/>
        </w:rPr>
        <w:fldChar w:fldCharType="separate"/>
      </w:r>
      <w:r w:rsidR="00166135" w:rsidRPr="00166135">
        <w:rPr>
          <w:rFonts w:ascii="Times New Roman" w:hAnsi="Times New Roman" w:cs="Times New Roman"/>
        </w:rPr>
        <w:t>(Halevi et al. 2017; Gusenbauer and Haddaway 2020)</w:t>
      </w:r>
      <w:r w:rsidRPr="00CF1106">
        <w:rPr>
          <w:rFonts w:ascii="Times New Roman" w:hAnsi="Times New Roman" w:cs="Times New Roman"/>
        </w:rPr>
        <w:fldChar w:fldCharType="end"/>
      </w:r>
      <w:r w:rsidRPr="00CF1106">
        <w:rPr>
          <w:rFonts w:ascii="Times New Roman" w:hAnsi="Times New Roman" w:cs="Times New Roman"/>
        </w:rPr>
        <w:t>.</w:t>
      </w:r>
    </w:p>
    <w:p w14:paraId="31C35258" w14:textId="77777777" w:rsidR="003310DB" w:rsidRPr="00CF1106" w:rsidRDefault="003310DB" w:rsidP="003310DB">
      <w:pPr>
        <w:ind w:firstLine="720"/>
        <w:rPr>
          <w:rFonts w:ascii="Times New Roman" w:hAnsi="Times New Roman" w:cs="Times New Roman"/>
        </w:rPr>
      </w:pPr>
      <w:r w:rsidRPr="00CF1106">
        <w:rPr>
          <w:rFonts w:ascii="Times New Roman" w:hAnsi="Times New Roman" w:cs="Times New Roman"/>
        </w:rPr>
        <w:t xml:space="preserve">Relevant literature was located through the keywords “palaeolimnology” and “conservation”, using operators in the search to allow for variations in spelling and use of root words. A similar study by </w:t>
      </w:r>
      <w:r w:rsidRPr="00CF1106">
        <w:rPr>
          <w:rFonts w:ascii="Times New Roman" w:hAnsi="Times New Roman" w:cs="Times New Roman"/>
        </w:rPr>
        <w:fldChar w:fldCharType="begin"/>
      </w:r>
      <w:r w:rsidRPr="00CF1106">
        <w:rPr>
          <w:rFonts w:ascii="Times New Roman" w:hAnsi="Times New Roman" w:cs="Times New Roman"/>
        </w:rPr>
        <w:instrText xml:space="preserve"> ADDIN ZOTERO_ITEM CSL_CITATION {"citationID":"9UoARTD2","properties":{"formattedCitation":"(Groff {\\i{}et al.}, 2023)","plainCitation":"(Groff et al., 2023)","dontUpdate":true,"noteIndex":0},"citationItems":[{"id":1081,"uris":["http://zotero.org/users/10235684/items/TIG6AZCX"],"itemData":{"id":1081,"type":"article-journal","abstract":"Conservation paleobiology aims to provide a longer-term perspective on environmental problems to inform decisions about natural resource conservation. As such, conservation paleobiology research falls short when geohistorical data and insights do not inform conservation practice, contributing to the well-known idea that a “gap” exists between the production and use of science in the environmental realm. Our study quantified the extent of this research-implementation (or knowing-doing) gap through a systematic literature review and survey questionnaire. We determined whether empirical studies in conservation paleobiology with a link to conservation, management, or restoration documented the use of geohistorical data to implement some form of action or if there was a specific mention of how the geohistorical data could be used in theory. Results indicate that “applied” conservation paleobiology has a poor record of translating research into action. Tangible conservation impacts were evident in only 10.8% of studies. Over half of these studies included coauthors affiliated with a conservation organization. Among the studies coded as having a theoretical application, 25.2% specified how the geohistorical data could be implemented to enhance conservation, management, or restoration actions. All studies documenting action used geohistorical data from the geologically recent past where the species and habitats are familiar to those found today. Drawing insights from the bright spots we identified, we offer some practical suggestions to narrow the gap between knowing and doing in conservation paleobiology.","container-title":"Frontiers in Ecology and Evolution","DOI":"https://doi.org/10.3389/fevo.2023.1058992","ISSN":"2296-701X","source":"Frontiers","title":"Knowing but not doing: Quantifying the research-implementation gap in conservation paleobiology","title-short":"Knowing but not doing","URL":"https://www.frontiersin.org/articles/10.3389/fevo.2023.1058992","volume":"11","author":[{"family":"Groff","given":"Dulcinea V."},{"family":"McDonough MacKenzie","given":"Caitlin"},{"family":"Pier","given":"Jaleigh Q."},{"family":"Shaffer","given":"Austin B."},{"family":"Dietl","given":"Gregory P."}],"accessed":{"date-parts":[["2023",2,21]]},"issued":{"date-parts":[["2023"]]}}}],"schema":"https://github.com/citation-style-language/schema/raw/master/csl-citation.json"} </w:instrText>
      </w:r>
      <w:r w:rsidRPr="00CF1106">
        <w:rPr>
          <w:rFonts w:ascii="Times New Roman" w:hAnsi="Times New Roman" w:cs="Times New Roman"/>
        </w:rPr>
        <w:fldChar w:fldCharType="separate"/>
      </w:r>
      <w:r w:rsidRPr="00CF1106">
        <w:rPr>
          <w:rFonts w:ascii="Times New Roman" w:hAnsi="Times New Roman" w:cs="Times New Roman"/>
        </w:rPr>
        <w:t xml:space="preserve">Groff </w:t>
      </w:r>
      <w:r w:rsidRPr="00CF1106">
        <w:rPr>
          <w:rFonts w:ascii="Times New Roman" w:hAnsi="Times New Roman" w:cs="Times New Roman"/>
          <w:i/>
          <w:iCs/>
        </w:rPr>
        <w:t>et al.</w:t>
      </w:r>
      <w:r w:rsidRPr="00CF1106">
        <w:rPr>
          <w:rFonts w:ascii="Times New Roman" w:hAnsi="Times New Roman" w:cs="Times New Roman"/>
        </w:rPr>
        <w:t xml:space="preserve"> (2023)</w:t>
      </w:r>
      <w:r w:rsidRPr="00CF1106">
        <w:rPr>
          <w:rFonts w:ascii="Times New Roman" w:hAnsi="Times New Roman" w:cs="Times New Roman"/>
        </w:rPr>
        <w:fldChar w:fldCharType="end"/>
      </w:r>
      <w:r w:rsidRPr="00CF1106">
        <w:rPr>
          <w:rFonts w:ascii="Times New Roman" w:hAnsi="Times New Roman" w:cs="Times New Roman"/>
        </w:rPr>
        <w:t>, also utilising Boolean terminology, used additional keywords  “</w:t>
      </w:r>
      <w:proofErr w:type="spellStart"/>
      <w:r w:rsidRPr="00CF1106">
        <w:rPr>
          <w:rFonts w:ascii="Times New Roman" w:hAnsi="Times New Roman" w:cs="Times New Roman"/>
        </w:rPr>
        <w:t>conserv</w:t>
      </w:r>
      <w:proofErr w:type="spellEnd"/>
      <w:r w:rsidRPr="00CF1106">
        <w:rPr>
          <w:rFonts w:ascii="Times New Roman" w:hAnsi="Times New Roman" w:cs="Times New Roman"/>
        </w:rPr>
        <w:t xml:space="preserve">* OR </w:t>
      </w:r>
      <w:proofErr w:type="spellStart"/>
      <w:r w:rsidRPr="00CF1106">
        <w:rPr>
          <w:rFonts w:ascii="Times New Roman" w:hAnsi="Times New Roman" w:cs="Times New Roman"/>
        </w:rPr>
        <w:t>restor</w:t>
      </w:r>
      <w:proofErr w:type="spellEnd"/>
      <w:r w:rsidRPr="00CF1106">
        <w:rPr>
          <w:rFonts w:ascii="Times New Roman" w:hAnsi="Times New Roman" w:cs="Times New Roman"/>
        </w:rPr>
        <w:t xml:space="preserve">* OR </w:t>
      </w:r>
      <w:proofErr w:type="spellStart"/>
      <w:r w:rsidRPr="00CF1106">
        <w:rPr>
          <w:rFonts w:ascii="Times New Roman" w:hAnsi="Times New Roman" w:cs="Times New Roman"/>
        </w:rPr>
        <w:t>manag</w:t>
      </w:r>
      <w:proofErr w:type="spellEnd"/>
      <w:r w:rsidRPr="00CF1106">
        <w:rPr>
          <w:rFonts w:ascii="Times New Roman" w:hAnsi="Times New Roman" w:cs="Times New Roman"/>
        </w:rPr>
        <w:t xml:space="preserve">*” (to capture variants of “conservation” “restoration” or “management”) to identify articles with conservation-relevant content, where there had been some reference to applied use. Initial trials for the current study took this approach but resulted in the capture of high amounts of irrelevant material due to large numbers of articles on water management in lakes. It was deemed, therefore, that using only “conservation” was of most relevance for the present study. A similar approach was taken by </w:t>
      </w:r>
      <w:r w:rsidRPr="00CF1106">
        <w:rPr>
          <w:rFonts w:ascii="Times New Roman" w:hAnsi="Times New Roman" w:cs="Times New Roman"/>
        </w:rPr>
        <w:fldChar w:fldCharType="begin"/>
      </w:r>
      <w:r w:rsidRPr="00CF1106">
        <w:rPr>
          <w:rFonts w:ascii="Times New Roman" w:hAnsi="Times New Roman" w:cs="Times New Roman"/>
        </w:rPr>
        <w:instrText xml:space="preserve"> ADDIN ZOTERO_ITEM CSL_CITATION {"citationID":"q9qqOW3K","properties":{"formattedCitation":"(Bell and Blais, 2021)","plainCitation":"(Bell and Blais, 2021)","dontUpdate":true,"noteIndex":0},"citationItems":[{"id":1910,"uris":["http://zotero.org/users/10235684/items/Z8L9FCEY"],"itemData":{"id":1910,"type":"article-journal","abstract":"We conducted a systematic review of 89 paleolimnological studies applied to archeological questions. Where we discuss the physical, chemical and biological sediment variables used in these studies in terms of their advantages and disadvantages as paleolimnological proxies for archeological studies. We make four key observations: (1) This field is rapidly growing, (2) More research is needed, (3) More standardization is required for future integrative analyses, and (4) More robust studies with multiple proxies are needed as the field grows. To address these challenges, we developed a framework to help researchers design paleolimnological studies in support of archeology. The framework includes standardized terminology of proxy characteristics and definition of a new term: orthogonality. This framework was then integrated with decision matrix analysis to build study scores that can be used to help researchers optimize their study design. This approach will help future researchers build more robust paleolimnology studies to more effectively complement independent archeological work. We also summarized new areas of archeology and chemistry that could be integrated with paleolimnology in the future.","container-title":"Journal of Paleolimnology","DOI":"10.1007/s10933-020-00156-8","ISSN":"1573-0417","issue":"1","journalAbbreviation":"J Paleolimnol","language":"en","page":"1-32","source":"Springer Link","title":"Paleolimnology in support of archeology: a review of past investigations and a proposed framework for future study design","title-short":"Paleolimnology in support of archeology","volume":"65","author":[{"family":"Bell","given":"Madison A."},{"family":"Blais","given":"Jules M."}],"issued":{"date-parts":[["2021",1,1]]}}}],"schema":"https://github.com/citation-style-language/schema/raw/master/csl-citation.json"} </w:instrText>
      </w:r>
      <w:r w:rsidRPr="00CF1106">
        <w:rPr>
          <w:rFonts w:ascii="Times New Roman" w:hAnsi="Times New Roman" w:cs="Times New Roman"/>
        </w:rPr>
        <w:fldChar w:fldCharType="separate"/>
      </w:r>
      <w:r w:rsidRPr="00CF1106">
        <w:rPr>
          <w:rFonts w:ascii="Times New Roman" w:hAnsi="Times New Roman" w:cs="Times New Roman"/>
        </w:rPr>
        <w:t>Bell and Blais (2021)</w:t>
      </w:r>
      <w:r w:rsidRPr="00CF1106">
        <w:rPr>
          <w:rFonts w:ascii="Times New Roman" w:hAnsi="Times New Roman" w:cs="Times New Roman"/>
        </w:rPr>
        <w:fldChar w:fldCharType="end"/>
      </w:r>
      <w:r w:rsidRPr="00CF1106">
        <w:rPr>
          <w:rFonts w:ascii="Times New Roman" w:hAnsi="Times New Roman" w:cs="Times New Roman"/>
        </w:rPr>
        <w:t xml:space="preserve">, who opted to use “palaeolimnology” and “archaeology” to locate literature for their analysis. There </w:t>
      </w:r>
      <w:proofErr w:type="gramStart"/>
      <w:r w:rsidRPr="00CF1106">
        <w:rPr>
          <w:rFonts w:ascii="Times New Roman" w:hAnsi="Times New Roman" w:cs="Times New Roman"/>
        </w:rPr>
        <w:t>were</w:t>
      </w:r>
      <w:proofErr w:type="gramEnd"/>
      <w:r w:rsidRPr="00CF1106">
        <w:rPr>
          <w:rFonts w:ascii="Times New Roman" w:hAnsi="Times New Roman" w:cs="Times New Roman"/>
        </w:rPr>
        <w:t xml:space="preserve"> no temporal, linguistic or geographic restrictions placed on the literature search.</w:t>
      </w:r>
    </w:p>
    <w:p w14:paraId="2D3AB923" w14:textId="77777777" w:rsidR="003310DB" w:rsidRPr="00CF1106" w:rsidRDefault="003310DB" w:rsidP="003310DB">
      <w:pPr>
        <w:ind w:firstLine="720"/>
        <w:rPr>
          <w:rFonts w:ascii="Times New Roman" w:hAnsi="Times New Roman" w:cs="Times New Roman"/>
        </w:rPr>
      </w:pPr>
      <w:r w:rsidRPr="00CF1106">
        <w:rPr>
          <w:rFonts w:ascii="Times New Roman" w:hAnsi="Times New Roman" w:cs="Times New Roman"/>
        </w:rPr>
        <w:t>Taking this approach, searches were conducted in February 2024 and the final search terms for each database were as follows; for Web of Science, the Core Collection was searched using the advanced search function ‘Topic’ search with terms “</w:t>
      </w:r>
      <w:r w:rsidRPr="00CF1106">
        <w:rPr>
          <w:rFonts w:ascii="Times New Roman" w:hAnsi="Times New Roman" w:cs="Times New Roman"/>
          <w:i/>
          <w:iCs/>
        </w:rPr>
        <w:t>TS=pal*</w:t>
      </w:r>
      <w:proofErr w:type="spellStart"/>
      <w:r w:rsidRPr="00CF1106">
        <w:rPr>
          <w:rFonts w:ascii="Times New Roman" w:hAnsi="Times New Roman" w:cs="Times New Roman"/>
          <w:i/>
          <w:iCs/>
        </w:rPr>
        <w:t>eolimno</w:t>
      </w:r>
      <w:proofErr w:type="spellEnd"/>
      <w:r w:rsidRPr="00CF1106">
        <w:rPr>
          <w:rFonts w:ascii="Times New Roman" w:hAnsi="Times New Roman" w:cs="Times New Roman"/>
          <w:i/>
          <w:iCs/>
        </w:rPr>
        <w:t xml:space="preserve">* AND </w:t>
      </w:r>
      <w:proofErr w:type="spellStart"/>
      <w:r w:rsidRPr="00CF1106">
        <w:rPr>
          <w:rFonts w:ascii="Times New Roman" w:hAnsi="Times New Roman" w:cs="Times New Roman"/>
          <w:i/>
          <w:iCs/>
        </w:rPr>
        <w:t>conserv</w:t>
      </w:r>
      <w:proofErr w:type="spellEnd"/>
      <w:r w:rsidRPr="00CF1106">
        <w:rPr>
          <w:rFonts w:ascii="Times New Roman" w:hAnsi="Times New Roman" w:cs="Times New Roman"/>
          <w:i/>
          <w:iCs/>
        </w:rPr>
        <w:t>*”;</w:t>
      </w:r>
      <w:r w:rsidRPr="00CF1106">
        <w:rPr>
          <w:rFonts w:ascii="Times New Roman" w:hAnsi="Times New Roman" w:cs="Times New Roman"/>
        </w:rPr>
        <w:t xml:space="preserve"> for Scopus, the advanced query was set to “</w:t>
      </w:r>
      <w:r w:rsidRPr="00CF1106">
        <w:rPr>
          <w:rFonts w:ascii="Times New Roman" w:hAnsi="Times New Roman" w:cs="Times New Roman"/>
          <w:i/>
          <w:iCs/>
        </w:rPr>
        <w:t>TITLE-ABS-KEY (pal*</w:t>
      </w:r>
      <w:proofErr w:type="spellStart"/>
      <w:r w:rsidRPr="00CF1106">
        <w:rPr>
          <w:rFonts w:ascii="Times New Roman" w:hAnsi="Times New Roman" w:cs="Times New Roman"/>
          <w:i/>
          <w:iCs/>
        </w:rPr>
        <w:t>eolim</w:t>
      </w:r>
      <w:proofErr w:type="spellEnd"/>
      <w:r w:rsidRPr="00CF1106">
        <w:rPr>
          <w:rFonts w:ascii="Times New Roman" w:hAnsi="Times New Roman" w:cs="Times New Roman"/>
          <w:i/>
          <w:iCs/>
        </w:rPr>
        <w:t>*) AND TITLE-ABS-KEY (</w:t>
      </w:r>
      <w:proofErr w:type="spellStart"/>
      <w:r w:rsidRPr="00CF1106">
        <w:rPr>
          <w:rFonts w:ascii="Times New Roman" w:hAnsi="Times New Roman" w:cs="Times New Roman"/>
          <w:i/>
          <w:iCs/>
        </w:rPr>
        <w:t>conserv</w:t>
      </w:r>
      <w:proofErr w:type="spellEnd"/>
      <w:r w:rsidRPr="00CF1106">
        <w:rPr>
          <w:rFonts w:ascii="Times New Roman" w:hAnsi="Times New Roman" w:cs="Times New Roman"/>
          <w:i/>
          <w:iCs/>
        </w:rPr>
        <w:t>*)</w:t>
      </w:r>
      <w:r w:rsidRPr="00CF1106">
        <w:rPr>
          <w:rFonts w:ascii="Times New Roman" w:hAnsi="Times New Roman" w:cs="Times New Roman"/>
        </w:rPr>
        <w:t>”; for PubMed, the term “</w:t>
      </w:r>
      <w:r w:rsidRPr="00CF1106">
        <w:rPr>
          <w:rFonts w:ascii="Times New Roman" w:hAnsi="Times New Roman" w:cs="Times New Roman"/>
          <w:i/>
          <w:iCs/>
        </w:rPr>
        <w:t>(</w:t>
      </w:r>
      <w:proofErr w:type="spellStart"/>
      <w:r w:rsidRPr="00CF1106">
        <w:rPr>
          <w:rFonts w:ascii="Times New Roman" w:hAnsi="Times New Roman" w:cs="Times New Roman"/>
          <w:i/>
          <w:iCs/>
        </w:rPr>
        <w:t>paleolimnolog</w:t>
      </w:r>
      <w:proofErr w:type="spellEnd"/>
      <w:r w:rsidRPr="00CF1106">
        <w:rPr>
          <w:rFonts w:ascii="Times New Roman" w:hAnsi="Times New Roman" w:cs="Times New Roman"/>
          <w:i/>
          <w:iCs/>
        </w:rPr>
        <w:t xml:space="preserve">* OR </w:t>
      </w:r>
      <w:proofErr w:type="spellStart"/>
      <w:r w:rsidRPr="00CF1106">
        <w:rPr>
          <w:rFonts w:ascii="Times New Roman" w:hAnsi="Times New Roman" w:cs="Times New Roman"/>
          <w:i/>
          <w:iCs/>
        </w:rPr>
        <w:t>palaeolimnolog</w:t>
      </w:r>
      <w:proofErr w:type="spellEnd"/>
      <w:r w:rsidRPr="00CF1106">
        <w:rPr>
          <w:rFonts w:ascii="Times New Roman" w:hAnsi="Times New Roman" w:cs="Times New Roman"/>
          <w:i/>
          <w:iCs/>
        </w:rPr>
        <w:t xml:space="preserve">*) AND </w:t>
      </w:r>
      <w:proofErr w:type="spellStart"/>
      <w:r w:rsidRPr="00CF1106">
        <w:rPr>
          <w:rFonts w:ascii="Times New Roman" w:hAnsi="Times New Roman" w:cs="Times New Roman"/>
          <w:i/>
          <w:iCs/>
        </w:rPr>
        <w:t>conserv</w:t>
      </w:r>
      <w:proofErr w:type="spellEnd"/>
      <w:r w:rsidRPr="00CF1106">
        <w:rPr>
          <w:rFonts w:ascii="Times New Roman" w:hAnsi="Times New Roman" w:cs="Times New Roman"/>
          <w:i/>
          <w:iCs/>
        </w:rPr>
        <w:t>*”</w:t>
      </w:r>
      <w:r w:rsidRPr="00CF1106">
        <w:rPr>
          <w:rFonts w:ascii="Times New Roman" w:hAnsi="Times New Roman" w:cs="Times New Roman"/>
        </w:rPr>
        <w:t xml:space="preserve"> was used. Of importance to note is that PubMed does not have the option to search only in titles, </w:t>
      </w:r>
      <w:proofErr w:type="gramStart"/>
      <w:r w:rsidRPr="00CF1106">
        <w:rPr>
          <w:rFonts w:ascii="Times New Roman" w:hAnsi="Times New Roman" w:cs="Times New Roman"/>
        </w:rPr>
        <w:t>abstracts</w:t>
      </w:r>
      <w:proofErr w:type="gramEnd"/>
      <w:r w:rsidRPr="00CF1106">
        <w:rPr>
          <w:rFonts w:ascii="Times New Roman" w:hAnsi="Times New Roman" w:cs="Times New Roman"/>
        </w:rPr>
        <w:t xml:space="preserve"> and keywords, so the search result was likely to include more irrelevant content. The returns from the databases were further filtered by limiting results to relevant subjects; for Web of Science this was done through filtering Research Area to “Environmental Sciences Ecology” and “Biodiversity Conservation”. For Scopus this was done via the operator (LIMIT-TO (</w:t>
      </w:r>
      <w:proofErr w:type="gramStart"/>
      <w:r w:rsidRPr="00CF1106">
        <w:rPr>
          <w:rFonts w:ascii="Times New Roman" w:hAnsi="Times New Roman" w:cs="Times New Roman"/>
        </w:rPr>
        <w:t>SUBJAREA ,</w:t>
      </w:r>
      <w:proofErr w:type="gramEnd"/>
      <w:r w:rsidRPr="00CF1106">
        <w:rPr>
          <w:rFonts w:ascii="Times New Roman" w:hAnsi="Times New Roman" w:cs="Times New Roman"/>
        </w:rPr>
        <w:t xml:space="preserve"> "ENVI")). PubMed does not provide this option.</w:t>
      </w:r>
    </w:p>
    <w:p w14:paraId="40DD2BE9" w14:textId="77777777" w:rsidR="003310DB" w:rsidRPr="00CF1106" w:rsidRDefault="003310DB" w:rsidP="003310DB">
      <w:pPr>
        <w:ind w:firstLine="720"/>
        <w:rPr>
          <w:rFonts w:ascii="Times New Roman" w:hAnsi="Times New Roman" w:cs="Times New Roman"/>
        </w:rPr>
      </w:pPr>
      <w:r w:rsidRPr="00CF1106">
        <w:rPr>
          <w:rFonts w:ascii="Times New Roman" w:hAnsi="Times New Roman" w:cs="Times New Roman"/>
        </w:rPr>
        <w:t xml:space="preserve">An additional search was used to supplement the gathered literature, as it became apparent that some highly relevant studies in the </w:t>
      </w:r>
      <w:r w:rsidRPr="00CF1106">
        <w:rPr>
          <w:rFonts w:ascii="Times New Roman" w:hAnsi="Times New Roman" w:cs="Times New Roman"/>
          <w:i/>
          <w:iCs/>
        </w:rPr>
        <w:t xml:space="preserve">Journal of Paleolimnology </w:t>
      </w:r>
      <w:r w:rsidRPr="00CF1106">
        <w:rPr>
          <w:rFonts w:ascii="Times New Roman" w:hAnsi="Times New Roman" w:cs="Times New Roman"/>
        </w:rPr>
        <w:t xml:space="preserve">were not detected by using “palaeolimnology” as a search term for abstract, title and keyword queries due to it being superfluous in the context of the journal. Additionally, some relevant studies use the more general term “palaeoecology” instead, perhaps due to search engine optimisation or fitting the article to the chosen journal. </w:t>
      </w:r>
      <w:proofErr w:type="gramStart"/>
      <w:r w:rsidRPr="00CF1106">
        <w:rPr>
          <w:rFonts w:ascii="Times New Roman" w:hAnsi="Times New Roman" w:cs="Times New Roman"/>
        </w:rPr>
        <w:t>In order to</w:t>
      </w:r>
      <w:proofErr w:type="gramEnd"/>
      <w:r w:rsidRPr="00CF1106">
        <w:rPr>
          <w:rFonts w:ascii="Times New Roman" w:hAnsi="Times New Roman" w:cs="Times New Roman"/>
        </w:rPr>
        <w:t xml:space="preserve"> capture these additional papers, an additional query was conducted on each database using “palaeoecology”, “conservation” and “ponds” or “lakes”. This was carried out as above, using operators to account for variation and searching only in title, abstract and keywords where possible.</w:t>
      </w:r>
    </w:p>
    <w:p w14:paraId="7FEA6C52" w14:textId="77777777" w:rsidR="003310DB" w:rsidRPr="00CF1106" w:rsidRDefault="003310DB" w:rsidP="003310DB">
      <w:pPr>
        <w:rPr>
          <w:rFonts w:ascii="Times New Roman" w:hAnsi="Times New Roman" w:cs="Times New Roman"/>
        </w:rPr>
      </w:pPr>
      <w:r w:rsidRPr="00CF1106">
        <w:rPr>
          <w:rFonts w:ascii="Times New Roman" w:hAnsi="Times New Roman" w:cs="Times New Roman"/>
        </w:rPr>
        <w:t>Screening</w:t>
      </w:r>
    </w:p>
    <w:p w14:paraId="5F4A8E75" w14:textId="1F5D7BB9" w:rsidR="003310DB" w:rsidRPr="00CF1106" w:rsidRDefault="003310DB" w:rsidP="003310DB">
      <w:pPr>
        <w:rPr>
          <w:rFonts w:ascii="Times New Roman" w:hAnsi="Times New Roman" w:cs="Times New Roman"/>
        </w:rPr>
      </w:pPr>
      <w:r w:rsidRPr="00CF1106">
        <w:rPr>
          <w:rFonts w:ascii="Times New Roman" w:hAnsi="Times New Roman" w:cs="Times New Roman"/>
        </w:rPr>
        <w:lastRenderedPageBreak/>
        <w:t xml:space="preserve">A PRISMA (Preferred Reporting Items for Systematic reviews and Meta-Analyses) Framework was developed to structure the literature review, and ensure transparency in the criteria chosen to narrow the search to the most eligible articles for the research </w:t>
      </w:r>
      <w:r w:rsidRPr="00CF1106">
        <w:rPr>
          <w:rFonts w:ascii="Times New Roman" w:hAnsi="Times New Roman" w:cs="Times New Roman"/>
        </w:rPr>
        <w:fldChar w:fldCharType="begin"/>
      </w:r>
      <w:r w:rsidR="00166135">
        <w:rPr>
          <w:rFonts w:ascii="Times New Roman" w:hAnsi="Times New Roman" w:cs="Times New Roman"/>
        </w:rPr>
        <w:instrText xml:space="preserve"> ADDIN ZOTERO_ITEM CSL_CITATION {"citationID":"bUo5zsDp","properties":{"formattedCitation":"(Page et al. 2021)","plainCitation":"(Page et al. 2021)","noteIndex":0},"citationItems":[{"id":1762,"uris":["http://zotero.org/users/10235684/items/AJHS8QF9"],"itemData":{"id":1762,"type":"article-journal","container-title":"International journal of surgery","note":"ISBN: 1743-9191\npublisher: Elsevier","page":"105906","title":"The PRISMA 2020 statement: an updated guideline for reporting systematic reviews","volume":"88","author":[{"family":"Page","given":"Matthew J."},{"family":"McKenzie","given":"Joanne E."},{"family":"Bossuyt","given":"Patrick M."},{"family":"Boutron","given":"Isabelle"},{"family":"Hoffmann","given":"Tammy C."},{"family":"Mulrow","given":"Cynthia D."},{"family":"Shamseer","given":"Larissa"},{"family":"Tetzlaff","given":"Jennifer M."},{"family":"Akl","given":"Elie A."},{"family":"Brennan","given":"Sue E."}],"issued":{"date-parts":[["2021"]]}}}],"schema":"https://github.com/citation-style-language/schema/raw/master/csl-citation.json"} </w:instrText>
      </w:r>
      <w:r w:rsidRPr="00CF1106">
        <w:rPr>
          <w:rFonts w:ascii="Times New Roman" w:hAnsi="Times New Roman" w:cs="Times New Roman"/>
        </w:rPr>
        <w:fldChar w:fldCharType="separate"/>
      </w:r>
      <w:r w:rsidR="00166135" w:rsidRPr="00166135">
        <w:rPr>
          <w:rFonts w:ascii="Times New Roman" w:hAnsi="Times New Roman" w:cs="Times New Roman"/>
        </w:rPr>
        <w:t>(Page et al. 2021)</w:t>
      </w:r>
      <w:r w:rsidRPr="00CF1106">
        <w:rPr>
          <w:rFonts w:ascii="Times New Roman" w:hAnsi="Times New Roman" w:cs="Times New Roman"/>
        </w:rPr>
        <w:fldChar w:fldCharType="end"/>
      </w:r>
      <w:r w:rsidRPr="00CF1106">
        <w:rPr>
          <w:rFonts w:ascii="Times New Roman" w:hAnsi="Times New Roman" w:cs="Times New Roman"/>
        </w:rPr>
        <w:t>. This was employed to review the articles and confirm their content met the study inclusion criteria. To be eligible, the study must i) use palaeolimnological methods to collect primary data, or use secondary data originally captured via palaeolimnological methods; ii) use the results of the study to make explicit recommendations for conservation; and iii) be an original research piece; not a review, modelling/</w:t>
      </w:r>
      <w:proofErr w:type="gramStart"/>
      <w:r w:rsidRPr="00CF1106">
        <w:rPr>
          <w:rFonts w:ascii="Times New Roman" w:hAnsi="Times New Roman" w:cs="Times New Roman"/>
        </w:rPr>
        <w:t>methods</w:t>
      </w:r>
      <w:proofErr w:type="gramEnd"/>
      <w:r w:rsidRPr="00CF1106">
        <w:rPr>
          <w:rFonts w:ascii="Times New Roman" w:hAnsi="Times New Roman" w:cs="Times New Roman"/>
        </w:rPr>
        <w:t xml:space="preserve"> or perspective piece. The intention was to remove pure research, theoretical and conceptual articles, to retain those which were explicitly applied studies. A total of 179 unique studies were screened against these criteria.</w:t>
      </w:r>
    </w:p>
    <w:p w14:paraId="4A480455" w14:textId="20B993DA" w:rsidR="003310DB" w:rsidRDefault="003310DB" w:rsidP="003310DB">
      <w:pPr>
        <w:ind w:firstLine="720"/>
        <w:rPr>
          <w:rFonts w:ascii="Times New Roman" w:hAnsi="Times New Roman" w:cs="Times New Roman"/>
        </w:rPr>
      </w:pPr>
      <w:r w:rsidRPr="00CF1106">
        <w:rPr>
          <w:rFonts w:ascii="Times New Roman" w:hAnsi="Times New Roman" w:cs="Times New Roman"/>
        </w:rPr>
        <w:t xml:space="preserve">For the final step of article screening, studies were read in full and judged against the protocol used by Conservation Evidence, an initiative which summarises and synthesises academic literature for conservation practitioners, as a basis for inclusion in their database of conservation actions </w:t>
      </w:r>
      <w:r w:rsidRPr="00CF1106">
        <w:rPr>
          <w:rFonts w:ascii="Times New Roman" w:hAnsi="Times New Roman" w:cs="Times New Roman"/>
        </w:rPr>
        <w:fldChar w:fldCharType="begin"/>
      </w:r>
      <w:r w:rsidR="00166135">
        <w:rPr>
          <w:rFonts w:ascii="Times New Roman" w:hAnsi="Times New Roman" w:cs="Times New Roman"/>
        </w:rPr>
        <w:instrText xml:space="preserve"> ADDIN ZOTERO_ITEM CSL_CITATION {"citationID":"aMco90au","properties":{"formattedCitation":"(Bladon and Smith 2019)","plainCitation":"(Bladon and Smith 2019)","noteIndex":0},"citationItems":[{"id":2674,"uris":["http://zotero.org/users/10235684/items/Z5H9A7XX"],"itemData":{"id":2674,"type":"standard","abstract":"Presented by OSF","authority":"Conservation Evidence","DOI":"https://doi.org/10.17605/OSF.IO/HQ6M8","language":"en-us","note":"publisher: Open Science Framework","source":"osf.io","title":"Effects of conservation interventions on terrestrial and freshwater invertebrates: a protocol for subject-wide evidence synthesis","URL":"https://osf.io/https://osf.io/mzfh5","author":[{"family":"Bladon","given":"Andrew"},{"family":"Smith","given":"Rebecca K."}],"accessed":{"date-parts":[["2024",4,5]]},"issued":{"date-parts":[["2019",9,17]]}}}],"schema":"https://github.com/citation-style-language/schema/raw/master/csl-citation.json"} </w:instrText>
      </w:r>
      <w:r w:rsidRPr="00CF1106">
        <w:rPr>
          <w:rFonts w:ascii="Times New Roman" w:hAnsi="Times New Roman" w:cs="Times New Roman"/>
        </w:rPr>
        <w:fldChar w:fldCharType="separate"/>
      </w:r>
      <w:r w:rsidR="00166135" w:rsidRPr="00166135">
        <w:rPr>
          <w:rFonts w:ascii="Times New Roman" w:hAnsi="Times New Roman" w:cs="Times New Roman"/>
        </w:rPr>
        <w:t>(Bladon and Smith 2019)</w:t>
      </w:r>
      <w:r w:rsidRPr="00CF1106">
        <w:rPr>
          <w:rFonts w:ascii="Times New Roman" w:hAnsi="Times New Roman" w:cs="Times New Roman"/>
        </w:rPr>
        <w:fldChar w:fldCharType="end"/>
      </w:r>
      <w:r w:rsidRPr="00CF1106">
        <w:rPr>
          <w:rFonts w:ascii="Times New Roman" w:hAnsi="Times New Roman" w:cs="Times New Roman"/>
        </w:rPr>
        <w:t xml:space="preserve">. Specifically, studies were included/excluded when judged against their inclusion statement </w:t>
      </w:r>
      <w:r w:rsidRPr="00CF1106">
        <w:rPr>
          <w:rFonts w:ascii="Times New Roman" w:hAnsi="Times New Roman" w:cs="Times New Roman"/>
          <w:i/>
          <w:iCs/>
        </w:rPr>
        <w:t xml:space="preserve">“Could the action be put in place by a conservationist/decision maker to protect, manage, restore or reduce impacts of threats to wild taxa or habitats, or control or mitigate the impact of the invasive/problem taxon on wild taxa or habitats?”. </w:t>
      </w:r>
      <w:r w:rsidRPr="00CF1106">
        <w:rPr>
          <w:rFonts w:ascii="Times New Roman" w:hAnsi="Times New Roman" w:cs="Times New Roman"/>
        </w:rPr>
        <w:t>In this way, articles with no discernible action for practitioners were removed. A total of 60 articles met the above criteria and were subsequently examined</w:t>
      </w:r>
      <w:r w:rsidR="00B646ED">
        <w:rPr>
          <w:rFonts w:ascii="Times New Roman" w:hAnsi="Times New Roman" w:cs="Times New Roman"/>
        </w:rPr>
        <w:t>.</w:t>
      </w:r>
    </w:p>
    <w:p w14:paraId="445D55FF" w14:textId="77777777" w:rsidR="00835BE1" w:rsidRDefault="00835BE1" w:rsidP="00C41716">
      <w:pPr>
        <w:rPr>
          <w:rFonts w:ascii="Times New Roman" w:hAnsi="Times New Roman" w:cs="Times New Roman"/>
        </w:rPr>
      </w:pPr>
    </w:p>
    <w:p w14:paraId="0E06B2FC" w14:textId="2BE9D356" w:rsidR="00572F0F" w:rsidRDefault="00572F0F" w:rsidP="00C41716">
      <w:pPr>
        <w:rPr>
          <w:rFonts w:ascii="Times New Roman" w:hAnsi="Times New Roman" w:cs="Times New Roman"/>
          <w:b/>
          <w:bCs/>
        </w:rPr>
      </w:pPr>
      <w:r>
        <w:rPr>
          <w:rFonts w:ascii="Times New Roman" w:hAnsi="Times New Roman" w:cs="Times New Roman"/>
          <w:b/>
          <w:bCs/>
        </w:rPr>
        <w:t>References for Supplementary Material 1:</w:t>
      </w:r>
    </w:p>
    <w:p w14:paraId="37DFC5B7" w14:textId="77777777" w:rsidR="00C23B02" w:rsidRPr="00C23B02" w:rsidRDefault="00C23B02" w:rsidP="00C23B02">
      <w:pPr>
        <w:pStyle w:val="Bibliography"/>
        <w:rPr>
          <w:rFonts w:ascii="Times New Roman" w:hAnsi="Times New Roman" w:cs="Times New Roman"/>
        </w:rPr>
      </w:pPr>
      <w:r w:rsidRPr="00C23B02">
        <w:rPr>
          <w:rFonts w:ascii="Times New Roman" w:hAnsi="Times New Roman" w:cs="Times New Roman"/>
        </w:rPr>
        <w:fldChar w:fldCharType="begin"/>
      </w:r>
      <w:r w:rsidRPr="00C23B02">
        <w:rPr>
          <w:rFonts w:ascii="Times New Roman" w:hAnsi="Times New Roman" w:cs="Times New Roman"/>
        </w:rPr>
        <w:instrText xml:space="preserve"> ADDIN ZOTERO_BIBL {"uncited":[],"omitted":[],"custom":[]} CSL_BIBLIOGRAPHY </w:instrText>
      </w:r>
      <w:r w:rsidRPr="00C23B02">
        <w:rPr>
          <w:rFonts w:ascii="Times New Roman" w:hAnsi="Times New Roman" w:cs="Times New Roman"/>
        </w:rPr>
        <w:fldChar w:fldCharType="separate"/>
      </w:r>
      <w:r w:rsidRPr="00C23B02">
        <w:rPr>
          <w:rFonts w:ascii="Times New Roman" w:hAnsi="Times New Roman" w:cs="Times New Roman"/>
        </w:rPr>
        <w:t>Bell MA, Blais JM (2021) Paleolimnology in support of archeology: a review of past investigations and a proposed framework for future study design. J Paleolimnol 65:1–32. https://doi.org/10.1007/s10933-020-00156-8</w:t>
      </w:r>
    </w:p>
    <w:p w14:paraId="1EB0DA65" w14:textId="77777777" w:rsidR="00C23B02" w:rsidRPr="00C23B02" w:rsidRDefault="00C23B02" w:rsidP="00C23B02">
      <w:pPr>
        <w:pStyle w:val="Bibliography"/>
        <w:rPr>
          <w:rFonts w:ascii="Times New Roman" w:hAnsi="Times New Roman" w:cs="Times New Roman"/>
        </w:rPr>
      </w:pPr>
      <w:r w:rsidRPr="00C23B02">
        <w:rPr>
          <w:rFonts w:ascii="Times New Roman" w:hAnsi="Times New Roman" w:cs="Times New Roman"/>
        </w:rPr>
        <w:t>Bladon A, Smith RK (2019) Effects of conservation interventions on terrestrial and freshwater invertebrates: a protocol for subject-wide evidence synthesis</w:t>
      </w:r>
    </w:p>
    <w:p w14:paraId="01B7112A" w14:textId="77777777" w:rsidR="00C23B02" w:rsidRPr="00C23B02" w:rsidRDefault="00C23B02" w:rsidP="00C23B02">
      <w:pPr>
        <w:pStyle w:val="Bibliography"/>
        <w:rPr>
          <w:rFonts w:ascii="Times New Roman" w:hAnsi="Times New Roman" w:cs="Times New Roman"/>
        </w:rPr>
      </w:pPr>
      <w:r w:rsidRPr="00C23B02">
        <w:rPr>
          <w:rFonts w:ascii="Times New Roman" w:hAnsi="Times New Roman" w:cs="Times New Roman"/>
        </w:rPr>
        <w:t>Dillon EM, Pier JQ, Smith JA, et al (2022) What is conservation paleobiology? Tracking 20 years of research and development. Frontiers in Ecology and Evolution 10:. https://doi.org/10.3389/fevo.2022.1031483</w:t>
      </w:r>
    </w:p>
    <w:p w14:paraId="671A1BC6" w14:textId="77777777" w:rsidR="00C23B02" w:rsidRPr="00C23B02" w:rsidRDefault="00C23B02" w:rsidP="00C23B02">
      <w:pPr>
        <w:pStyle w:val="Bibliography"/>
        <w:rPr>
          <w:rFonts w:ascii="Times New Roman" w:hAnsi="Times New Roman" w:cs="Times New Roman"/>
        </w:rPr>
      </w:pPr>
      <w:r w:rsidRPr="00C23B02">
        <w:rPr>
          <w:rFonts w:ascii="Times New Roman" w:hAnsi="Times New Roman" w:cs="Times New Roman"/>
        </w:rPr>
        <w:t>Groff DV, McDonough MacKenzie C, Pier JQ, et al (2023) Knowing but not doing: Quantifying the research-implementation gap in conservation paleobiology. Frontiers in Ecology and Evolution 11:. https://doi.org/10.3389/fevo.2023.1058992</w:t>
      </w:r>
    </w:p>
    <w:p w14:paraId="6FA85884" w14:textId="77777777" w:rsidR="00C23B02" w:rsidRPr="00C23B02" w:rsidRDefault="00C23B02" w:rsidP="00C23B02">
      <w:pPr>
        <w:pStyle w:val="Bibliography"/>
        <w:rPr>
          <w:rFonts w:ascii="Times New Roman" w:hAnsi="Times New Roman" w:cs="Times New Roman"/>
        </w:rPr>
      </w:pPr>
      <w:r w:rsidRPr="00C23B02">
        <w:rPr>
          <w:rFonts w:ascii="Times New Roman" w:hAnsi="Times New Roman" w:cs="Times New Roman"/>
        </w:rPr>
        <w:t>Gusenbauer M, Haddaway NR (2020) Which academic search systems are suitable for systematic reviews or meta-analyses? Evaluating retrieval qualities of Google Scholar, PubMed, and 26 other resources. Research Synthesis Methods 11:181–217. https://doi.org/10.1002/jrsm.1378</w:t>
      </w:r>
    </w:p>
    <w:p w14:paraId="2858ABC7" w14:textId="77777777" w:rsidR="00C23B02" w:rsidRPr="00C23B02" w:rsidRDefault="00C23B02" w:rsidP="00C23B02">
      <w:pPr>
        <w:pStyle w:val="Bibliography"/>
        <w:rPr>
          <w:rFonts w:ascii="Times New Roman" w:hAnsi="Times New Roman" w:cs="Times New Roman"/>
        </w:rPr>
      </w:pPr>
      <w:r w:rsidRPr="00C23B02">
        <w:rPr>
          <w:rFonts w:ascii="Times New Roman" w:hAnsi="Times New Roman" w:cs="Times New Roman"/>
        </w:rPr>
        <w:t>Halevi G, Moed H, Bar-Ilan J (2017) Suitability of Google Scholar as a source of scientific information and as a source of data for scientific evaluation—Review of the Literature. Journal of Informetrics 11:823–834. https://doi.org/10.1016/j.joi.2017.06.005</w:t>
      </w:r>
    </w:p>
    <w:p w14:paraId="6CC2B374" w14:textId="77777777" w:rsidR="00C23B02" w:rsidRPr="00C23B02" w:rsidRDefault="00C23B02" w:rsidP="00C23B02">
      <w:pPr>
        <w:pStyle w:val="Bibliography"/>
        <w:rPr>
          <w:rFonts w:ascii="Times New Roman" w:hAnsi="Times New Roman" w:cs="Times New Roman"/>
        </w:rPr>
      </w:pPr>
      <w:r w:rsidRPr="00C23B02">
        <w:rPr>
          <w:rFonts w:ascii="Times New Roman" w:hAnsi="Times New Roman" w:cs="Times New Roman"/>
        </w:rPr>
        <w:t>Martín-Martín A, Thelwall M, Orduna-Malea E, Delgado López-Cózar E (2021) Google Scholar, Microsoft Academic, Scopus, Dimensions, Web of Science, and OpenCitations’ COCI: a multidisciplinary comparison of coverage via citations. Scientometrics 126:871–906. https://doi.org/10.1007/s11192-020-03690-4</w:t>
      </w:r>
    </w:p>
    <w:p w14:paraId="046B51E5" w14:textId="77777777" w:rsidR="00C23B02" w:rsidRPr="00C23B02" w:rsidRDefault="00C23B02" w:rsidP="00C23B02">
      <w:pPr>
        <w:pStyle w:val="Bibliography"/>
        <w:rPr>
          <w:rFonts w:ascii="Times New Roman" w:hAnsi="Times New Roman" w:cs="Times New Roman"/>
        </w:rPr>
      </w:pPr>
      <w:r w:rsidRPr="00C23B02">
        <w:rPr>
          <w:rFonts w:ascii="Times New Roman" w:hAnsi="Times New Roman" w:cs="Times New Roman"/>
        </w:rPr>
        <w:t>Page MJ, McKenzie JE, Bossuyt PM, et al (2021) The PRISMA 2020 statement: an updated guideline for reporting systematic reviews. International journal of surgery 88:105906</w:t>
      </w:r>
    </w:p>
    <w:p w14:paraId="24316F45" w14:textId="77777777" w:rsidR="00C23B02" w:rsidRPr="00C23B02" w:rsidRDefault="00C23B02" w:rsidP="00C23B02">
      <w:pPr>
        <w:pStyle w:val="Bibliography"/>
        <w:rPr>
          <w:rFonts w:ascii="Times New Roman" w:hAnsi="Times New Roman" w:cs="Times New Roman"/>
        </w:rPr>
      </w:pPr>
      <w:r w:rsidRPr="00C23B02">
        <w:rPr>
          <w:rFonts w:ascii="Times New Roman" w:hAnsi="Times New Roman" w:cs="Times New Roman"/>
        </w:rPr>
        <w:lastRenderedPageBreak/>
        <w:t>Watson VT, Medeiros AS (2021) The value of paleolimnology in reconstructing and managing ecosystem vulnerability: a systematic map. FACETS 6:517–536. https://doi.org/10.1139/facets-2020-0067</w:t>
      </w:r>
    </w:p>
    <w:p w14:paraId="616D4EBC" w14:textId="178682EF" w:rsidR="008846DD" w:rsidRDefault="00C23B02" w:rsidP="00C23B02">
      <w:pPr>
        <w:rPr>
          <w:rFonts w:ascii="Times New Roman" w:hAnsi="Times New Roman" w:cs="Times New Roman"/>
          <w:b/>
          <w:bCs/>
        </w:rPr>
      </w:pPr>
      <w:r w:rsidRPr="00C23B02">
        <w:rPr>
          <w:rFonts w:ascii="Times New Roman" w:hAnsi="Times New Roman" w:cs="Times New Roman"/>
        </w:rPr>
        <w:fldChar w:fldCharType="end"/>
      </w:r>
    </w:p>
    <w:p w14:paraId="3B710398" w14:textId="7A9B4530" w:rsidR="00C23B02" w:rsidRDefault="00C23B02">
      <w:pPr>
        <w:rPr>
          <w:rFonts w:ascii="Times New Roman" w:hAnsi="Times New Roman" w:cs="Times New Roman"/>
          <w:b/>
          <w:bCs/>
        </w:rPr>
      </w:pPr>
      <w:r>
        <w:rPr>
          <w:rFonts w:ascii="Times New Roman" w:hAnsi="Times New Roman" w:cs="Times New Roman"/>
          <w:b/>
          <w:bCs/>
        </w:rPr>
        <w:br w:type="page"/>
      </w:r>
    </w:p>
    <w:p w14:paraId="4D6E891F" w14:textId="43023CFF" w:rsidR="00C41716" w:rsidRDefault="00C41716" w:rsidP="00C41716">
      <w:pPr>
        <w:rPr>
          <w:rFonts w:ascii="Times New Roman" w:hAnsi="Times New Roman" w:cs="Times New Roman"/>
          <w:b/>
          <w:bCs/>
        </w:rPr>
      </w:pPr>
      <w:r w:rsidRPr="00B7106A">
        <w:rPr>
          <w:rFonts w:ascii="Times New Roman" w:hAnsi="Times New Roman" w:cs="Times New Roman"/>
          <w:b/>
          <w:bCs/>
        </w:rPr>
        <w:lastRenderedPageBreak/>
        <w:t xml:space="preserve">Supplementary Material </w:t>
      </w:r>
      <w:r>
        <w:rPr>
          <w:rFonts w:ascii="Times New Roman" w:hAnsi="Times New Roman" w:cs="Times New Roman"/>
          <w:b/>
          <w:bCs/>
        </w:rPr>
        <w:t>2:</w:t>
      </w:r>
      <w:r w:rsidRPr="00B7106A">
        <w:rPr>
          <w:rFonts w:ascii="Times New Roman" w:hAnsi="Times New Roman" w:cs="Times New Roman"/>
          <w:b/>
          <w:bCs/>
        </w:rPr>
        <w:t xml:space="preserve"> </w:t>
      </w:r>
      <w:r>
        <w:rPr>
          <w:rFonts w:ascii="Times New Roman" w:hAnsi="Times New Roman" w:cs="Times New Roman"/>
          <w:b/>
          <w:bCs/>
        </w:rPr>
        <w:t xml:space="preserve">Included </w:t>
      </w:r>
      <w:proofErr w:type="gramStart"/>
      <w:r>
        <w:rPr>
          <w:rFonts w:ascii="Times New Roman" w:hAnsi="Times New Roman" w:cs="Times New Roman"/>
          <w:b/>
          <w:bCs/>
        </w:rPr>
        <w:t>papers</w:t>
      </w:r>
      <w:proofErr w:type="gramEnd"/>
      <w:r w:rsidRPr="00B7106A">
        <w:rPr>
          <w:rFonts w:ascii="Times New Roman" w:hAnsi="Times New Roman" w:cs="Times New Roman"/>
          <w:b/>
          <w:bCs/>
        </w:rPr>
        <w:t xml:space="preserve"> </w:t>
      </w:r>
    </w:p>
    <w:tbl>
      <w:tblPr>
        <w:tblStyle w:val="TableGrid"/>
        <w:tblW w:w="10060" w:type="dxa"/>
        <w:tblLayout w:type="fixed"/>
        <w:tblLook w:val="04A0" w:firstRow="1" w:lastRow="0" w:firstColumn="1" w:lastColumn="0" w:noHBand="0" w:noVBand="1"/>
      </w:tblPr>
      <w:tblGrid>
        <w:gridCol w:w="3681"/>
        <w:gridCol w:w="5670"/>
        <w:gridCol w:w="709"/>
      </w:tblGrid>
      <w:tr w:rsidR="00C3316D" w:rsidRPr="00C3316D" w14:paraId="4AFA0483" w14:textId="77777777" w:rsidTr="00C3316D">
        <w:trPr>
          <w:trHeight w:val="300"/>
        </w:trPr>
        <w:tc>
          <w:tcPr>
            <w:tcW w:w="3681" w:type="dxa"/>
            <w:noWrap/>
            <w:hideMark/>
          </w:tcPr>
          <w:p w14:paraId="14FFC9CF" w14:textId="77777777" w:rsidR="00C3316D" w:rsidRPr="00C3316D" w:rsidRDefault="00C3316D" w:rsidP="00C3316D">
            <w:pPr>
              <w:rPr>
                <w:rFonts w:ascii="Times New Roman" w:eastAsia="Times New Roman" w:hAnsi="Times New Roman" w:cs="Times New Roman"/>
                <w:b/>
                <w:bCs/>
                <w:kern w:val="0"/>
                <w:sz w:val="20"/>
                <w:szCs w:val="20"/>
                <w:lang w:eastAsia="en-GB"/>
                <w14:ligatures w14:val="none"/>
              </w:rPr>
            </w:pPr>
            <w:r w:rsidRPr="00C3316D">
              <w:rPr>
                <w:rFonts w:ascii="Times New Roman" w:eastAsia="Times New Roman" w:hAnsi="Times New Roman" w:cs="Times New Roman"/>
                <w:b/>
                <w:bCs/>
                <w:kern w:val="0"/>
                <w:sz w:val="20"/>
                <w:szCs w:val="20"/>
                <w:lang w:eastAsia="en-GB"/>
                <w14:ligatures w14:val="none"/>
              </w:rPr>
              <w:t>Author</w:t>
            </w:r>
          </w:p>
        </w:tc>
        <w:tc>
          <w:tcPr>
            <w:tcW w:w="5670" w:type="dxa"/>
            <w:noWrap/>
            <w:hideMark/>
          </w:tcPr>
          <w:p w14:paraId="33EDB67C" w14:textId="77777777" w:rsidR="00C3316D" w:rsidRPr="00C3316D" w:rsidRDefault="00C3316D" w:rsidP="00C3316D">
            <w:pPr>
              <w:rPr>
                <w:rFonts w:ascii="Times New Roman" w:eastAsia="Times New Roman" w:hAnsi="Times New Roman" w:cs="Times New Roman"/>
                <w:b/>
                <w:bCs/>
                <w:kern w:val="0"/>
                <w:sz w:val="20"/>
                <w:szCs w:val="20"/>
                <w:lang w:eastAsia="en-GB"/>
                <w14:ligatures w14:val="none"/>
              </w:rPr>
            </w:pPr>
            <w:r w:rsidRPr="00C3316D">
              <w:rPr>
                <w:rFonts w:ascii="Times New Roman" w:eastAsia="Times New Roman" w:hAnsi="Times New Roman" w:cs="Times New Roman"/>
                <w:b/>
                <w:bCs/>
                <w:kern w:val="0"/>
                <w:sz w:val="20"/>
                <w:szCs w:val="20"/>
                <w:lang w:eastAsia="en-GB"/>
                <w14:ligatures w14:val="none"/>
              </w:rPr>
              <w:t>Paper Title</w:t>
            </w:r>
          </w:p>
        </w:tc>
        <w:tc>
          <w:tcPr>
            <w:tcW w:w="709" w:type="dxa"/>
            <w:noWrap/>
            <w:hideMark/>
          </w:tcPr>
          <w:p w14:paraId="417E73EF" w14:textId="77777777" w:rsidR="00C3316D" w:rsidRPr="00C3316D" w:rsidRDefault="00C3316D" w:rsidP="00C3316D">
            <w:pPr>
              <w:rPr>
                <w:rFonts w:ascii="Times New Roman" w:eastAsia="Times New Roman" w:hAnsi="Times New Roman" w:cs="Times New Roman"/>
                <w:b/>
                <w:bCs/>
                <w:kern w:val="0"/>
                <w:sz w:val="20"/>
                <w:szCs w:val="20"/>
                <w:lang w:eastAsia="en-GB"/>
                <w14:ligatures w14:val="none"/>
              </w:rPr>
            </w:pPr>
            <w:r w:rsidRPr="00C3316D">
              <w:rPr>
                <w:rFonts w:ascii="Times New Roman" w:eastAsia="Times New Roman" w:hAnsi="Times New Roman" w:cs="Times New Roman"/>
                <w:b/>
                <w:bCs/>
                <w:kern w:val="0"/>
                <w:sz w:val="20"/>
                <w:szCs w:val="20"/>
                <w:lang w:eastAsia="en-GB"/>
                <w14:ligatures w14:val="none"/>
              </w:rPr>
              <w:t>Year</w:t>
            </w:r>
          </w:p>
        </w:tc>
      </w:tr>
      <w:tr w:rsidR="00C3316D" w:rsidRPr="00C3316D" w14:paraId="4C74AD6A" w14:textId="77777777" w:rsidTr="00C3316D">
        <w:trPr>
          <w:trHeight w:val="300"/>
        </w:trPr>
        <w:tc>
          <w:tcPr>
            <w:tcW w:w="3681" w:type="dxa"/>
            <w:noWrap/>
            <w:hideMark/>
          </w:tcPr>
          <w:p w14:paraId="748C0082"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Alderton, E; Sayer, CD; Davies, R; Lambert, SJ; Axmacher, JC</w:t>
            </w:r>
          </w:p>
        </w:tc>
        <w:tc>
          <w:tcPr>
            <w:tcW w:w="5670" w:type="dxa"/>
            <w:noWrap/>
            <w:hideMark/>
          </w:tcPr>
          <w:p w14:paraId="39FC8326"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Buried alive: Aquatic plants survive in 'ghost ponds' under agricultural fields</w:t>
            </w:r>
          </w:p>
        </w:tc>
        <w:tc>
          <w:tcPr>
            <w:tcW w:w="709" w:type="dxa"/>
            <w:noWrap/>
            <w:hideMark/>
          </w:tcPr>
          <w:p w14:paraId="27400F77"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2017</w:t>
            </w:r>
          </w:p>
        </w:tc>
      </w:tr>
      <w:tr w:rsidR="00C3316D" w:rsidRPr="00C3316D" w14:paraId="0CBCC35F" w14:textId="77777777" w:rsidTr="00C3316D">
        <w:trPr>
          <w:trHeight w:val="300"/>
        </w:trPr>
        <w:tc>
          <w:tcPr>
            <w:tcW w:w="3681" w:type="dxa"/>
            <w:noWrap/>
            <w:hideMark/>
          </w:tcPr>
          <w:p w14:paraId="332D9CEA"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Armstrong, Z; Kurek, J</w:t>
            </w:r>
          </w:p>
        </w:tc>
        <w:tc>
          <w:tcPr>
            <w:tcW w:w="5670" w:type="dxa"/>
            <w:noWrap/>
            <w:hideMark/>
          </w:tcPr>
          <w:p w14:paraId="77E99BF0"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Sensitivity and response of low-nutrient lakes to post twentieth century environmental change in New Brunswick, Canada</w:t>
            </w:r>
          </w:p>
        </w:tc>
        <w:tc>
          <w:tcPr>
            <w:tcW w:w="709" w:type="dxa"/>
            <w:noWrap/>
            <w:hideMark/>
          </w:tcPr>
          <w:p w14:paraId="58104BB5"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2019</w:t>
            </w:r>
          </w:p>
        </w:tc>
      </w:tr>
      <w:tr w:rsidR="00C3316D" w:rsidRPr="00C3316D" w14:paraId="16814576" w14:textId="77777777" w:rsidTr="00C3316D">
        <w:trPr>
          <w:trHeight w:val="300"/>
        </w:trPr>
        <w:tc>
          <w:tcPr>
            <w:tcW w:w="3681" w:type="dxa"/>
            <w:noWrap/>
            <w:hideMark/>
          </w:tcPr>
          <w:p w14:paraId="409FCDBB"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 xml:space="preserve">Ayres K.R.; Sayer C.D.; </w:t>
            </w:r>
            <w:proofErr w:type="spellStart"/>
            <w:r w:rsidRPr="00C3316D">
              <w:rPr>
                <w:rFonts w:ascii="Times New Roman" w:eastAsia="Times New Roman" w:hAnsi="Times New Roman" w:cs="Times New Roman"/>
                <w:kern w:val="0"/>
                <w:sz w:val="20"/>
                <w:szCs w:val="20"/>
                <w:lang w:eastAsia="en-GB"/>
                <w14:ligatures w14:val="none"/>
              </w:rPr>
              <w:t>Skeate</w:t>
            </w:r>
            <w:proofErr w:type="spellEnd"/>
            <w:r w:rsidRPr="00C3316D">
              <w:rPr>
                <w:rFonts w:ascii="Times New Roman" w:eastAsia="Times New Roman" w:hAnsi="Times New Roman" w:cs="Times New Roman"/>
                <w:kern w:val="0"/>
                <w:sz w:val="20"/>
                <w:szCs w:val="20"/>
                <w:lang w:eastAsia="en-GB"/>
                <w14:ligatures w14:val="none"/>
              </w:rPr>
              <w:t xml:space="preserve"> E.R.; </w:t>
            </w:r>
            <w:proofErr w:type="spellStart"/>
            <w:r w:rsidRPr="00C3316D">
              <w:rPr>
                <w:rFonts w:ascii="Times New Roman" w:eastAsia="Times New Roman" w:hAnsi="Times New Roman" w:cs="Times New Roman"/>
                <w:kern w:val="0"/>
                <w:sz w:val="20"/>
                <w:szCs w:val="20"/>
                <w:lang w:eastAsia="en-GB"/>
                <w14:ligatures w14:val="none"/>
              </w:rPr>
              <w:t>Perrow</w:t>
            </w:r>
            <w:proofErr w:type="spellEnd"/>
            <w:r w:rsidRPr="00C3316D">
              <w:rPr>
                <w:rFonts w:ascii="Times New Roman" w:eastAsia="Times New Roman" w:hAnsi="Times New Roman" w:cs="Times New Roman"/>
                <w:kern w:val="0"/>
                <w:sz w:val="20"/>
                <w:szCs w:val="20"/>
                <w:lang w:eastAsia="en-GB"/>
                <w14:ligatures w14:val="none"/>
              </w:rPr>
              <w:t xml:space="preserve"> M.R.</w:t>
            </w:r>
          </w:p>
        </w:tc>
        <w:tc>
          <w:tcPr>
            <w:tcW w:w="5670" w:type="dxa"/>
            <w:noWrap/>
            <w:hideMark/>
          </w:tcPr>
          <w:p w14:paraId="4DA45DF1"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Palaeolimnology as a tool to inform shallow lake management: An example from Upton Great Broad, Norfolk, UK</w:t>
            </w:r>
          </w:p>
        </w:tc>
        <w:tc>
          <w:tcPr>
            <w:tcW w:w="709" w:type="dxa"/>
            <w:noWrap/>
            <w:hideMark/>
          </w:tcPr>
          <w:p w14:paraId="35B4CCAE"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2008</w:t>
            </w:r>
          </w:p>
        </w:tc>
      </w:tr>
      <w:tr w:rsidR="00C3316D" w:rsidRPr="00C3316D" w14:paraId="5BCE705E" w14:textId="77777777" w:rsidTr="00C3316D">
        <w:trPr>
          <w:trHeight w:val="300"/>
        </w:trPr>
        <w:tc>
          <w:tcPr>
            <w:tcW w:w="3681" w:type="dxa"/>
            <w:noWrap/>
            <w:hideMark/>
          </w:tcPr>
          <w:p w14:paraId="78527EE1"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Bennion H.; Appleby P.</w:t>
            </w:r>
          </w:p>
        </w:tc>
        <w:tc>
          <w:tcPr>
            <w:tcW w:w="5670" w:type="dxa"/>
            <w:noWrap/>
            <w:hideMark/>
          </w:tcPr>
          <w:p w14:paraId="0FDA74BA"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 xml:space="preserve">An assessment of recent environmental change in </w:t>
            </w:r>
            <w:proofErr w:type="spellStart"/>
            <w:r w:rsidRPr="00C3316D">
              <w:rPr>
                <w:rFonts w:ascii="Times New Roman" w:eastAsia="Times New Roman" w:hAnsi="Times New Roman" w:cs="Times New Roman"/>
                <w:kern w:val="0"/>
                <w:sz w:val="20"/>
                <w:szCs w:val="20"/>
                <w:lang w:eastAsia="en-GB"/>
                <w14:ligatures w14:val="none"/>
              </w:rPr>
              <w:t>Llangorse</w:t>
            </w:r>
            <w:proofErr w:type="spellEnd"/>
            <w:r w:rsidRPr="00C3316D">
              <w:rPr>
                <w:rFonts w:ascii="Times New Roman" w:eastAsia="Times New Roman" w:hAnsi="Times New Roman" w:cs="Times New Roman"/>
                <w:kern w:val="0"/>
                <w:sz w:val="20"/>
                <w:szCs w:val="20"/>
                <w:lang w:eastAsia="en-GB"/>
                <w14:ligatures w14:val="none"/>
              </w:rPr>
              <w:t xml:space="preserve"> Lake using palaeolimnology</w:t>
            </w:r>
          </w:p>
        </w:tc>
        <w:tc>
          <w:tcPr>
            <w:tcW w:w="709" w:type="dxa"/>
            <w:noWrap/>
            <w:hideMark/>
          </w:tcPr>
          <w:p w14:paraId="4ABCC821"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1999</w:t>
            </w:r>
          </w:p>
        </w:tc>
      </w:tr>
      <w:tr w:rsidR="00C3316D" w:rsidRPr="00C3316D" w14:paraId="03DDF35D" w14:textId="77777777" w:rsidTr="00C3316D">
        <w:trPr>
          <w:trHeight w:val="300"/>
        </w:trPr>
        <w:tc>
          <w:tcPr>
            <w:tcW w:w="3681" w:type="dxa"/>
            <w:noWrap/>
            <w:hideMark/>
          </w:tcPr>
          <w:p w14:paraId="19B99D11"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 xml:space="preserve">Bennion H.; </w:t>
            </w:r>
            <w:proofErr w:type="spellStart"/>
            <w:r w:rsidRPr="00C3316D">
              <w:rPr>
                <w:rFonts w:ascii="Times New Roman" w:eastAsia="Times New Roman" w:hAnsi="Times New Roman" w:cs="Times New Roman"/>
                <w:kern w:val="0"/>
                <w:sz w:val="20"/>
                <w:szCs w:val="20"/>
                <w:lang w:eastAsia="en-GB"/>
                <w14:ligatures w14:val="none"/>
              </w:rPr>
              <w:t>Duigan</w:t>
            </w:r>
            <w:proofErr w:type="spellEnd"/>
            <w:r w:rsidRPr="00C3316D">
              <w:rPr>
                <w:rFonts w:ascii="Times New Roman" w:eastAsia="Times New Roman" w:hAnsi="Times New Roman" w:cs="Times New Roman"/>
                <w:kern w:val="0"/>
                <w:sz w:val="20"/>
                <w:szCs w:val="20"/>
                <w:lang w:eastAsia="en-GB"/>
                <w14:ligatures w14:val="none"/>
              </w:rPr>
              <w:t xml:space="preserve"> C.A.; Haworth E.Y.; Allott T.E.H.; Anderson N.J.; </w:t>
            </w:r>
            <w:proofErr w:type="spellStart"/>
            <w:r w:rsidRPr="00C3316D">
              <w:rPr>
                <w:rFonts w:ascii="Times New Roman" w:eastAsia="Times New Roman" w:hAnsi="Times New Roman" w:cs="Times New Roman"/>
                <w:kern w:val="0"/>
                <w:sz w:val="20"/>
                <w:szCs w:val="20"/>
                <w:lang w:eastAsia="en-GB"/>
                <w14:ligatures w14:val="none"/>
              </w:rPr>
              <w:t>Juggins</w:t>
            </w:r>
            <w:proofErr w:type="spellEnd"/>
            <w:r w:rsidRPr="00C3316D">
              <w:rPr>
                <w:rFonts w:ascii="Times New Roman" w:eastAsia="Times New Roman" w:hAnsi="Times New Roman" w:cs="Times New Roman"/>
                <w:kern w:val="0"/>
                <w:sz w:val="20"/>
                <w:szCs w:val="20"/>
                <w:lang w:eastAsia="en-GB"/>
                <w14:ligatures w14:val="none"/>
              </w:rPr>
              <w:t xml:space="preserve"> S.; Monteith D.T.</w:t>
            </w:r>
          </w:p>
        </w:tc>
        <w:tc>
          <w:tcPr>
            <w:tcW w:w="5670" w:type="dxa"/>
            <w:noWrap/>
            <w:hideMark/>
          </w:tcPr>
          <w:p w14:paraId="00CB63A1"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The Anglesey lakes, Wales, UK - Changes in trophic status of three standing waters as inferred from diatom transfer functions and their implications for conservation</w:t>
            </w:r>
          </w:p>
        </w:tc>
        <w:tc>
          <w:tcPr>
            <w:tcW w:w="709" w:type="dxa"/>
            <w:noWrap/>
            <w:hideMark/>
          </w:tcPr>
          <w:p w14:paraId="15B9D1C9"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1996</w:t>
            </w:r>
          </w:p>
        </w:tc>
      </w:tr>
      <w:tr w:rsidR="00C3316D" w:rsidRPr="00C3316D" w14:paraId="5156D7C1" w14:textId="77777777" w:rsidTr="00C3316D">
        <w:trPr>
          <w:trHeight w:val="300"/>
        </w:trPr>
        <w:tc>
          <w:tcPr>
            <w:tcW w:w="3681" w:type="dxa"/>
            <w:noWrap/>
            <w:hideMark/>
          </w:tcPr>
          <w:p w14:paraId="74CDE906"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 xml:space="preserve">Bennion H.; Sayer C.; Baker A.; Bishop I.; Glover A.; Jones V.; Law A.; </w:t>
            </w:r>
            <w:proofErr w:type="spellStart"/>
            <w:r w:rsidRPr="00C3316D">
              <w:rPr>
                <w:rFonts w:ascii="Times New Roman" w:eastAsia="Times New Roman" w:hAnsi="Times New Roman" w:cs="Times New Roman"/>
                <w:kern w:val="0"/>
                <w:sz w:val="20"/>
                <w:szCs w:val="20"/>
                <w:lang w:eastAsia="en-GB"/>
                <w14:ligatures w14:val="none"/>
              </w:rPr>
              <w:t>Madgwick</w:t>
            </w:r>
            <w:proofErr w:type="spellEnd"/>
            <w:r w:rsidRPr="00C3316D">
              <w:rPr>
                <w:rFonts w:ascii="Times New Roman" w:eastAsia="Times New Roman" w:hAnsi="Times New Roman" w:cs="Times New Roman"/>
                <w:kern w:val="0"/>
                <w:sz w:val="20"/>
                <w:szCs w:val="20"/>
                <w:lang w:eastAsia="en-GB"/>
                <w14:ligatures w14:val="none"/>
              </w:rPr>
              <w:t xml:space="preserve"> G.; Peglar S.; Roberts C.; Rose N.; Turner S.; </w:t>
            </w:r>
            <w:proofErr w:type="spellStart"/>
            <w:r w:rsidRPr="00C3316D">
              <w:rPr>
                <w:rFonts w:ascii="Times New Roman" w:eastAsia="Times New Roman" w:hAnsi="Times New Roman" w:cs="Times New Roman"/>
                <w:kern w:val="0"/>
                <w:sz w:val="20"/>
                <w:szCs w:val="20"/>
                <w:lang w:eastAsia="en-GB"/>
                <w14:ligatures w14:val="none"/>
              </w:rPr>
              <w:t>Willby</w:t>
            </w:r>
            <w:proofErr w:type="spellEnd"/>
            <w:r w:rsidRPr="00C3316D">
              <w:rPr>
                <w:rFonts w:ascii="Times New Roman" w:eastAsia="Times New Roman" w:hAnsi="Times New Roman" w:cs="Times New Roman"/>
                <w:kern w:val="0"/>
                <w:sz w:val="20"/>
                <w:szCs w:val="20"/>
                <w:lang w:eastAsia="en-GB"/>
                <w14:ligatures w14:val="none"/>
              </w:rPr>
              <w:t xml:space="preserve"> N.; Yang H.</w:t>
            </w:r>
          </w:p>
        </w:tc>
        <w:tc>
          <w:tcPr>
            <w:tcW w:w="5670" w:type="dxa"/>
            <w:noWrap/>
            <w:hideMark/>
          </w:tcPr>
          <w:p w14:paraId="1A717026"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Will they be back? A framework to guide rare macrophyte conservation decisions in lakes</w:t>
            </w:r>
          </w:p>
        </w:tc>
        <w:tc>
          <w:tcPr>
            <w:tcW w:w="709" w:type="dxa"/>
            <w:noWrap/>
            <w:hideMark/>
          </w:tcPr>
          <w:p w14:paraId="0CE81F53"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2024</w:t>
            </w:r>
          </w:p>
        </w:tc>
      </w:tr>
      <w:tr w:rsidR="00C3316D" w:rsidRPr="00C3316D" w14:paraId="7DBFA801" w14:textId="77777777" w:rsidTr="00C3316D">
        <w:trPr>
          <w:trHeight w:val="300"/>
        </w:trPr>
        <w:tc>
          <w:tcPr>
            <w:tcW w:w="3681" w:type="dxa"/>
            <w:noWrap/>
            <w:hideMark/>
          </w:tcPr>
          <w:p w14:paraId="0B9FE12E"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 xml:space="preserve">Bennion, H; Sayer, CD; Clarke, SJ; Davidson, TA; Rose, NL; Goldsmith, B; Rawcliffe, R; Burgess, A; Clarke, G; Turner, S; </w:t>
            </w:r>
            <w:proofErr w:type="spellStart"/>
            <w:r w:rsidRPr="00C3316D">
              <w:rPr>
                <w:rFonts w:ascii="Times New Roman" w:eastAsia="Times New Roman" w:hAnsi="Times New Roman" w:cs="Times New Roman"/>
                <w:kern w:val="0"/>
                <w:sz w:val="20"/>
                <w:szCs w:val="20"/>
                <w:lang w:eastAsia="en-GB"/>
                <w14:ligatures w14:val="none"/>
              </w:rPr>
              <w:t>Wiik</w:t>
            </w:r>
            <w:proofErr w:type="spellEnd"/>
            <w:r w:rsidRPr="00C3316D">
              <w:rPr>
                <w:rFonts w:ascii="Times New Roman" w:eastAsia="Times New Roman" w:hAnsi="Times New Roman" w:cs="Times New Roman"/>
                <w:kern w:val="0"/>
                <w:sz w:val="20"/>
                <w:szCs w:val="20"/>
                <w:lang w:eastAsia="en-GB"/>
                <w14:ligatures w14:val="none"/>
              </w:rPr>
              <w:t>, E</w:t>
            </w:r>
          </w:p>
        </w:tc>
        <w:tc>
          <w:tcPr>
            <w:tcW w:w="5670" w:type="dxa"/>
            <w:noWrap/>
            <w:hideMark/>
          </w:tcPr>
          <w:p w14:paraId="0F8E61EE"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Sedimentary macrofossil records reveal ecological change in English lakes: implications for conservation</w:t>
            </w:r>
          </w:p>
        </w:tc>
        <w:tc>
          <w:tcPr>
            <w:tcW w:w="709" w:type="dxa"/>
            <w:noWrap/>
            <w:hideMark/>
          </w:tcPr>
          <w:p w14:paraId="644F8E1F"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2018</w:t>
            </w:r>
          </w:p>
        </w:tc>
      </w:tr>
      <w:tr w:rsidR="00C3316D" w:rsidRPr="00C3316D" w14:paraId="6D1BC171" w14:textId="77777777" w:rsidTr="00C3316D">
        <w:trPr>
          <w:trHeight w:val="300"/>
        </w:trPr>
        <w:tc>
          <w:tcPr>
            <w:tcW w:w="3681" w:type="dxa"/>
            <w:noWrap/>
            <w:hideMark/>
          </w:tcPr>
          <w:p w14:paraId="3C9D2F9D"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Bishop, IJ; Bennion, H; Sayer, CD; Patmore, IR; Yang, HD</w:t>
            </w:r>
          </w:p>
        </w:tc>
        <w:tc>
          <w:tcPr>
            <w:tcW w:w="5670" w:type="dxa"/>
            <w:noWrap/>
            <w:hideMark/>
          </w:tcPr>
          <w:p w14:paraId="7538809C"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 xml:space="preserve">Filling the data gap: Using paleoecology to investigate the decline of </w:t>
            </w:r>
            <w:proofErr w:type="spellStart"/>
            <w:r w:rsidRPr="00C3316D">
              <w:rPr>
                <w:rFonts w:ascii="Times New Roman" w:eastAsia="Times New Roman" w:hAnsi="Times New Roman" w:cs="Times New Roman"/>
                <w:kern w:val="0"/>
                <w:sz w:val="20"/>
                <w:szCs w:val="20"/>
                <w:lang w:eastAsia="en-GB"/>
                <w14:ligatures w14:val="none"/>
              </w:rPr>
              <w:t>Najas</w:t>
            </w:r>
            <w:proofErr w:type="spellEnd"/>
            <w:r w:rsidRPr="00C3316D">
              <w:rPr>
                <w:rFonts w:ascii="Times New Roman" w:eastAsia="Times New Roman" w:hAnsi="Times New Roman" w:cs="Times New Roman"/>
                <w:kern w:val="0"/>
                <w:sz w:val="20"/>
                <w:szCs w:val="20"/>
                <w:lang w:eastAsia="en-GB"/>
                <w14:ligatures w14:val="none"/>
              </w:rPr>
              <w:t xml:space="preserve"> </w:t>
            </w:r>
            <w:proofErr w:type="spellStart"/>
            <w:r w:rsidRPr="00C3316D">
              <w:rPr>
                <w:rFonts w:ascii="Times New Roman" w:eastAsia="Times New Roman" w:hAnsi="Times New Roman" w:cs="Times New Roman"/>
                <w:kern w:val="0"/>
                <w:sz w:val="20"/>
                <w:szCs w:val="20"/>
                <w:lang w:eastAsia="en-GB"/>
                <w14:ligatures w14:val="none"/>
              </w:rPr>
              <w:t>flexilis</w:t>
            </w:r>
            <w:proofErr w:type="spellEnd"/>
            <w:r w:rsidRPr="00C3316D">
              <w:rPr>
                <w:rFonts w:ascii="Times New Roman" w:eastAsia="Times New Roman" w:hAnsi="Times New Roman" w:cs="Times New Roman"/>
                <w:kern w:val="0"/>
                <w:sz w:val="20"/>
                <w:szCs w:val="20"/>
                <w:lang w:eastAsia="en-GB"/>
                <w14:ligatures w14:val="none"/>
              </w:rPr>
              <w:t xml:space="preserve"> (a rare aquatic plant)</w:t>
            </w:r>
          </w:p>
        </w:tc>
        <w:tc>
          <w:tcPr>
            <w:tcW w:w="709" w:type="dxa"/>
            <w:noWrap/>
            <w:hideMark/>
          </w:tcPr>
          <w:p w14:paraId="13AAD411"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2019</w:t>
            </w:r>
          </w:p>
        </w:tc>
      </w:tr>
      <w:tr w:rsidR="00C3316D" w:rsidRPr="00C3316D" w14:paraId="622D8E35" w14:textId="77777777" w:rsidTr="00C3316D">
        <w:trPr>
          <w:trHeight w:val="300"/>
        </w:trPr>
        <w:tc>
          <w:tcPr>
            <w:tcW w:w="3681" w:type="dxa"/>
            <w:noWrap/>
            <w:hideMark/>
          </w:tcPr>
          <w:p w14:paraId="5CD90D4D"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proofErr w:type="spellStart"/>
            <w:r w:rsidRPr="00C3316D">
              <w:rPr>
                <w:rFonts w:ascii="Times New Roman" w:eastAsia="Times New Roman" w:hAnsi="Times New Roman" w:cs="Times New Roman"/>
                <w:kern w:val="0"/>
                <w:sz w:val="20"/>
                <w:szCs w:val="20"/>
                <w:lang w:eastAsia="en-GB"/>
                <w14:ligatures w14:val="none"/>
              </w:rPr>
              <w:t>Brzozowski</w:t>
            </w:r>
            <w:proofErr w:type="spellEnd"/>
            <w:r w:rsidRPr="00C3316D">
              <w:rPr>
                <w:rFonts w:ascii="Times New Roman" w:eastAsia="Times New Roman" w:hAnsi="Times New Roman" w:cs="Times New Roman"/>
                <w:kern w:val="0"/>
                <w:sz w:val="20"/>
                <w:szCs w:val="20"/>
                <w:lang w:eastAsia="en-GB"/>
                <w14:ligatures w14:val="none"/>
              </w:rPr>
              <w:t xml:space="preserve"> M.; </w:t>
            </w:r>
            <w:proofErr w:type="spellStart"/>
            <w:r w:rsidRPr="00C3316D">
              <w:rPr>
                <w:rFonts w:ascii="Times New Roman" w:eastAsia="Times New Roman" w:hAnsi="Times New Roman" w:cs="Times New Roman"/>
                <w:kern w:val="0"/>
                <w:sz w:val="20"/>
                <w:szCs w:val="20"/>
                <w:lang w:eastAsia="en-GB"/>
                <w14:ligatures w14:val="none"/>
              </w:rPr>
              <w:t>Kowalewski</w:t>
            </w:r>
            <w:proofErr w:type="spellEnd"/>
            <w:r w:rsidRPr="00C3316D">
              <w:rPr>
                <w:rFonts w:ascii="Times New Roman" w:eastAsia="Times New Roman" w:hAnsi="Times New Roman" w:cs="Times New Roman"/>
                <w:kern w:val="0"/>
                <w:sz w:val="20"/>
                <w:szCs w:val="20"/>
                <w:lang w:eastAsia="en-GB"/>
                <w14:ligatures w14:val="none"/>
              </w:rPr>
              <w:t xml:space="preserve"> G.; </w:t>
            </w:r>
            <w:proofErr w:type="spellStart"/>
            <w:r w:rsidRPr="00C3316D">
              <w:rPr>
                <w:rFonts w:ascii="Times New Roman" w:eastAsia="Times New Roman" w:hAnsi="Times New Roman" w:cs="Times New Roman"/>
                <w:kern w:val="0"/>
                <w:sz w:val="20"/>
                <w:szCs w:val="20"/>
                <w:lang w:eastAsia="en-GB"/>
                <w14:ligatures w14:val="none"/>
              </w:rPr>
              <w:t>Szczuciński</w:t>
            </w:r>
            <w:proofErr w:type="spellEnd"/>
            <w:r w:rsidRPr="00C3316D">
              <w:rPr>
                <w:rFonts w:ascii="Times New Roman" w:eastAsia="Times New Roman" w:hAnsi="Times New Roman" w:cs="Times New Roman"/>
                <w:kern w:val="0"/>
                <w:sz w:val="20"/>
                <w:szCs w:val="20"/>
                <w:lang w:eastAsia="en-GB"/>
                <w14:ligatures w14:val="none"/>
              </w:rPr>
              <w:t xml:space="preserve"> W.; Kaczmarek L.; </w:t>
            </w:r>
            <w:proofErr w:type="spellStart"/>
            <w:r w:rsidRPr="00C3316D">
              <w:rPr>
                <w:rFonts w:ascii="Times New Roman" w:eastAsia="Times New Roman" w:hAnsi="Times New Roman" w:cs="Times New Roman"/>
                <w:kern w:val="0"/>
                <w:sz w:val="20"/>
                <w:szCs w:val="20"/>
                <w:lang w:eastAsia="en-GB"/>
                <w14:ligatures w14:val="none"/>
              </w:rPr>
              <w:t>Pełechaty</w:t>
            </w:r>
            <w:proofErr w:type="spellEnd"/>
            <w:r w:rsidRPr="00C3316D">
              <w:rPr>
                <w:rFonts w:ascii="Times New Roman" w:eastAsia="Times New Roman" w:hAnsi="Times New Roman" w:cs="Times New Roman"/>
                <w:kern w:val="0"/>
                <w:sz w:val="20"/>
                <w:szCs w:val="20"/>
                <w:lang w:eastAsia="en-GB"/>
                <w14:ligatures w14:val="none"/>
              </w:rPr>
              <w:t xml:space="preserve"> M.</w:t>
            </w:r>
          </w:p>
        </w:tc>
        <w:tc>
          <w:tcPr>
            <w:tcW w:w="5670" w:type="dxa"/>
            <w:noWrap/>
            <w:hideMark/>
          </w:tcPr>
          <w:p w14:paraId="0DE0298E"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 xml:space="preserve">Preliminary evidence of an endangered species benefiting from moderate climate warming: A palaeolimnological study of the charophyte </w:t>
            </w:r>
            <w:proofErr w:type="spellStart"/>
            <w:r w:rsidRPr="00C3316D">
              <w:rPr>
                <w:rFonts w:ascii="Times New Roman" w:eastAsia="Times New Roman" w:hAnsi="Times New Roman" w:cs="Times New Roman"/>
                <w:kern w:val="0"/>
                <w:sz w:val="20"/>
                <w:szCs w:val="20"/>
                <w:lang w:eastAsia="en-GB"/>
                <w14:ligatures w14:val="none"/>
              </w:rPr>
              <w:t>Lychnothamnus</w:t>
            </w:r>
            <w:proofErr w:type="spellEnd"/>
            <w:r w:rsidRPr="00C3316D">
              <w:rPr>
                <w:rFonts w:ascii="Times New Roman" w:eastAsia="Times New Roman" w:hAnsi="Times New Roman" w:cs="Times New Roman"/>
                <w:kern w:val="0"/>
                <w:sz w:val="20"/>
                <w:szCs w:val="20"/>
                <w:lang w:eastAsia="en-GB"/>
                <w14:ligatures w14:val="none"/>
              </w:rPr>
              <w:t xml:space="preserve"> barbatus</w:t>
            </w:r>
          </w:p>
        </w:tc>
        <w:tc>
          <w:tcPr>
            <w:tcW w:w="709" w:type="dxa"/>
            <w:noWrap/>
            <w:hideMark/>
          </w:tcPr>
          <w:p w14:paraId="6BA6D33F"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2021</w:t>
            </w:r>
          </w:p>
        </w:tc>
      </w:tr>
      <w:tr w:rsidR="00C3316D" w:rsidRPr="00C3316D" w14:paraId="71541724" w14:textId="77777777" w:rsidTr="00C3316D">
        <w:trPr>
          <w:trHeight w:val="300"/>
        </w:trPr>
        <w:tc>
          <w:tcPr>
            <w:tcW w:w="3681" w:type="dxa"/>
            <w:noWrap/>
            <w:hideMark/>
          </w:tcPr>
          <w:p w14:paraId="08B56930"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proofErr w:type="spellStart"/>
            <w:r w:rsidRPr="00C3316D">
              <w:rPr>
                <w:rFonts w:ascii="Times New Roman" w:eastAsia="Times New Roman" w:hAnsi="Times New Roman" w:cs="Times New Roman"/>
                <w:kern w:val="0"/>
                <w:sz w:val="20"/>
                <w:szCs w:val="20"/>
                <w:lang w:eastAsia="en-GB"/>
                <w14:ligatures w14:val="none"/>
              </w:rPr>
              <w:t>Cantonati</w:t>
            </w:r>
            <w:proofErr w:type="spellEnd"/>
            <w:r w:rsidRPr="00C3316D">
              <w:rPr>
                <w:rFonts w:ascii="Times New Roman" w:eastAsia="Times New Roman" w:hAnsi="Times New Roman" w:cs="Times New Roman"/>
                <w:kern w:val="0"/>
                <w:sz w:val="20"/>
                <w:szCs w:val="20"/>
                <w:lang w:eastAsia="en-GB"/>
                <w14:ligatures w14:val="none"/>
              </w:rPr>
              <w:t xml:space="preserve"> M.; </w:t>
            </w:r>
            <w:proofErr w:type="spellStart"/>
            <w:r w:rsidRPr="00C3316D">
              <w:rPr>
                <w:rFonts w:ascii="Times New Roman" w:eastAsia="Times New Roman" w:hAnsi="Times New Roman" w:cs="Times New Roman"/>
                <w:kern w:val="0"/>
                <w:sz w:val="20"/>
                <w:szCs w:val="20"/>
                <w:lang w:eastAsia="en-GB"/>
                <w14:ligatures w14:val="none"/>
              </w:rPr>
              <w:t>Zorza</w:t>
            </w:r>
            <w:proofErr w:type="spellEnd"/>
            <w:r w:rsidRPr="00C3316D">
              <w:rPr>
                <w:rFonts w:ascii="Times New Roman" w:eastAsia="Times New Roman" w:hAnsi="Times New Roman" w:cs="Times New Roman"/>
                <w:kern w:val="0"/>
                <w:sz w:val="20"/>
                <w:szCs w:val="20"/>
                <w:lang w:eastAsia="en-GB"/>
                <w14:ligatures w14:val="none"/>
              </w:rPr>
              <w:t xml:space="preserve"> R.; </w:t>
            </w:r>
            <w:proofErr w:type="spellStart"/>
            <w:r w:rsidRPr="00C3316D">
              <w:rPr>
                <w:rFonts w:ascii="Times New Roman" w:eastAsia="Times New Roman" w:hAnsi="Times New Roman" w:cs="Times New Roman"/>
                <w:kern w:val="0"/>
                <w:sz w:val="20"/>
                <w:szCs w:val="20"/>
                <w:lang w:eastAsia="en-GB"/>
                <w14:ligatures w14:val="none"/>
              </w:rPr>
              <w:t>Bertoli</w:t>
            </w:r>
            <w:proofErr w:type="spellEnd"/>
            <w:r w:rsidRPr="00C3316D">
              <w:rPr>
                <w:rFonts w:ascii="Times New Roman" w:eastAsia="Times New Roman" w:hAnsi="Times New Roman" w:cs="Times New Roman"/>
                <w:kern w:val="0"/>
                <w:sz w:val="20"/>
                <w:szCs w:val="20"/>
                <w:lang w:eastAsia="en-GB"/>
                <w14:ligatures w14:val="none"/>
              </w:rPr>
              <w:t xml:space="preserve"> M.; Pastorino P.; Salvi G.; </w:t>
            </w:r>
            <w:proofErr w:type="spellStart"/>
            <w:r w:rsidRPr="00C3316D">
              <w:rPr>
                <w:rFonts w:ascii="Times New Roman" w:eastAsia="Times New Roman" w:hAnsi="Times New Roman" w:cs="Times New Roman"/>
                <w:kern w:val="0"/>
                <w:sz w:val="20"/>
                <w:szCs w:val="20"/>
                <w:lang w:eastAsia="en-GB"/>
                <w14:ligatures w14:val="none"/>
              </w:rPr>
              <w:t>Platania</w:t>
            </w:r>
            <w:proofErr w:type="spellEnd"/>
            <w:r w:rsidRPr="00C3316D">
              <w:rPr>
                <w:rFonts w:ascii="Times New Roman" w:eastAsia="Times New Roman" w:hAnsi="Times New Roman" w:cs="Times New Roman"/>
                <w:kern w:val="0"/>
                <w:sz w:val="20"/>
                <w:szCs w:val="20"/>
                <w:lang w:eastAsia="en-GB"/>
                <w14:ligatures w14:val="none"/>
              </w:rPr>
              <w:t xml:space="preserve"> G.; </w:t>
            </w:r>
            <w:proofErr w:type="spellStart"/>
            <w:r w:rsidRPr="00C3316D">
              <w:rPr>
                <w:rFonts w:ascii="Times New Roman" w:eastAsia="Times New Roman" w:hAnsi="Times New Roman" w:cs="Times New Roman"/>
                <w:kern w:val="0"/>
                <w:sz w:val="20"/>
                <w:szCs w:val="20"/>
                <w:lang w:eastAsia="en-GB"/>
                <w14:ligatures w14:val="none"/>
              </w:rPr>
              <w:t>Prearo</w:t>
            </w:r>
            <w:proofErr w:type="spellEnd"/>
            <w:r w:rsidRPr="00C3316D">
              <w:rPr>
                <w:rFonts w:ascii="Times New Roman" w:eastAsia="Times New Roman" w:hAnsi="Times New Roman" w:cs="Times New Roman"/>
                <w:kern w:val="0"/>
                <w:sz w:val="20"/>
                <w:szCs w:val="20"/>
                <w:lang w:eastAsia="en-GB"/>
                <w14:ligatures w14:val="none"/>
              </w:rPr>
              <w:t xml:space="preserve"> M.; </w:t>
            </w:r>
            <w:proofErr w:type="spellStart"/>
            <w:r w:rsidRPr="00C3316D">
              <w:rPr>
                <w:rFonts w:ascii="Times New Roman" w:eastAsia="Times New Roman" w:hAnsi="Times New Roman" w:cs="Times New Roman"/>
                <w:kern w:val="0"/>
                <w:sz w:val="20"/>
                <w:szCs w:val="20"/>
                <w:lang w:eastAsia="en-GB"/>
                <w14:ligatures w14:val="none"/>
              </w:rPr>
              <w:t>Pizzul</w:t>
            </w:r>
            <w:proofErr w:type="spellEnd"/>
            <w:r w:rsidRPr="00C3316D">
              <w:rPr>
                <w:rFonts w:ascii="Times New Roman" w:eastAsia="Times New Roman" w:hAnsi="Times New Roman" w:cs="Times New Roman"/>
                <w:kern w:val="0"/>
                <w:sz w:val="20"/>
                <w:szCs w:val="20"/>
                <w:lang w:eastAsia="en-GB"/>
                <w14:ligatures w14:val="none"/>
              </w:rPr>
              <w:t xml:space="preserve"> E.</w:t>
            </w:r>
          </w:p>
        </w:tc>
        <w:tc>
          <w:tcPr>
            <w:tcW w:w="5670" w:type="dxa"/>
            <w:noWrap/>
            <w:hideMark/>
          </w:tcPr>
          <w:p w14:paraId="3291196D"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Recent and subfossil diatom assemblages as indicators of environmental change (including fish introduction) in a high-mountain lake</w:t>
            </w:r>
          </w:p>
        </w:tc>
        <w:tc>
          <w:tcPr>
            <w:tcW w:w="709" w:type="dxa"/>
            <w:noWrap/>
            <w:hideMark/>
          </w:tcPr>
          <w:p w14:paraId="03892CEA"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2021</w:t>
            </w:r>
          </w:p>
        </w:tc>
      </w:tr>
      <w:tr w:rsidR="00C3316D" w:rsidRPr="00C3316D" w14:paraId="1DAFE126" w14:textId="77777777" w:rsidTr="00C3316D">
        <w:trPr>
          <w:trHeight w:val="300"/>
        </w:trPr>
        <w:tc>
          <w:tcPr>
            <w:tcW w:w="3681" w:type="dxa"/>
            <w:noWrap/>
            <w:hideMark/>
          </w:tcPr>
          <w:p w14:paraId="4208B21F"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Chambers F.M.</w:t>
            </w:r>
          </w:p>
        </w:tc>
        <w:tc>
          <w:tcPr>
            <w:tcW w:w="5670" w:type="dxa"/>
            <w:noWrap/>
            <w:hideMark/>
          </w:tcPr>
          <w:p w14:paraId="62A6146B"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 xml:space="preserve">The Quaternary history of </w:t>
            </w:r>
            <w:proofErr w:type="spellStart"/>
            <w:r w:rsidRPr="00C3316D">
              <w:rPr>
                <w:rFonts w:ascii="Times New Roman" w:eastAsia="Times New Roman" w:hAnsi="Times New Roman" w:cs="Times New Roman"/>
                <w:kern w:val="0"/>
                <w:sz w:val="20"/>
                <w:szCs w:val="20"/>
                <w:lang w:eastAsia="en-GB"/>
                <w14:ligatures w14:val="none"/>
              </w:rPr>
              <w:t>Llangorse</w:t>
            </w:r>
            <w:proofErr w:type="spellEnd"/>
            <w:r w:rsidRPr="00C3316D">
              <w:rPr>
                <w:rFonts w:ascii="Times New Roman" w:eastAsia="Times New Roman" w:hAnsi="Times New Roman" w:cs="Times New Roman"/>
                <w:kern w:val="0"/>
                <w:sz w:val="20"/>
                <w:szCs w:val="20"/>
                <w:lang w:eastAsia="en-GB"/>
                <w14:ligatures w14:val="none"/>
              </w:rPr>
              <w:t xml:space="preserve"> Lake: Implications for conservation</w:t>
            </w:r>
          </w:p>
        </w:tc>
        <w:tc>
          <w:tcPr>
            <w:tcW w:w="709" w:type="dxa"/>
            <w:noWrap/>
            <w:hideMark/>
          </w:tcPr>
          <w:p w14:paraId="186A3FD0"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1999</w:t>
            </w:r>
          </w:p>
        </w:tc>
      </w:tr>
      <w:tr w:rsidR="00C3316D" w:rsidRPr="00C3316D" w14:paraId="33A7A15C" w14:textId="77777777" w:rsidTr="00C3316D">
        <w:trPr>
          <w:trHeight w:val="300"/>
        </w:trPr>
        <w:tc>
          <w:tcPr>
            <w:tcW w:w="3681" w:type="dxa"/>
            <w:noWrap/>
            <w:hideMark/>
          </w:tcPr>
          <w:p w14:paraId="7F5D2114"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Chen, X; Liang, J; Zeng, LH; Cao, YM; Stevenson, MA</w:t>
            </w:r>
          </w:p>
        </w:tc>
        <w:tc>
          <w:tcPr>
            <w:tcW w:w="5670" w:type="dxa"/>
            <w:noWrap/>
            <w:hideMark/>
          </w:tcPr>
          <w:p w14:paraId="32CAF7E6"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Heterogeneity in diatom diversity response to decadal scale eutrophication in floodplain lakes of the middle Yangtze reaches</w:t>
            </w:r>
          </w:p>
        </w:tc>
        <w:tc>
          <w:tcPr>
            <w:tcW w:w="709" w:type="dxa"/>
            <w:noWrap/>
            <w:hideMark/>
          </w:tcPr>
          <w:p w14:paraId="2F95014E"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2022</w:t>
            </w:r>
          </w:p>
        </w:tc>
      </w:tr>
      <w:tr w:rsidR="00C3316D" w:rsidRPr="00C3316D" w14:paraId="2EF19253" w14:textId="77777777" w:rsidTr="00C3316D">
        <w:trPr>
          <w:trHeight w:val="300"/>
        </w:trPr>
        <w:tc>
          <w:tcPr>
            <w:tcW w:w="3681" w:type="dxa"/>
            <w:noWrap/>
            <w:hideMark/>
          </w:tcPr>
          <w:p w14:paraId="40E60391"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Cohen A.S.</w:t>
            </w:r>
          </w:p>
        </w:tc>
        <w:tc>
          <w:tcPr>
            <w:tcW w:w="5670" w:type="dxa"/>
            <w:noWrap/>
            <w:hideMark/>
          </w:tcPr>
          <w:p w14:paraId="5323A48C"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 xml:space="preserve">Linking spatial and temporal change in the diversity structure of ancient lakes: Examples from the ecology and palaeoecology of the </w:t>
            </w:r>
            <w:proofErr w:type="spellStart"/>
            <w:r w:rsidRPr="00C3316D">
              <w:rPr>
                <w:rFonts w:ascii="Times New Roman" w:eastAsia="Times New Roman" w:hAnsi="Times New Roman" w:cs="Times New Roman"/>
                <w:kern w:val="0"/>
                <w:sz w:val="20"/>
                <w:szCs w:val="20"/>
                <w:lang w:eastAsia="en-GB"/>
                <w14:ligatures w14:val="none"/>
              </w:rPr>
              <w:t>Tanganyikan</w:t>
            </w:r>
            <w:proofErr w:type="spellEnd"/>
            <w:r w:rsidRPr="00C3316D">
              <w:rPr>
                <w:rFonts w:ascii="Times New Roman" w:eastAsia="Times New Roman" w:hAnsi="Times New Roman" w:cs="Times New Roman"/>
                <w:kern w:val="0"/>
                <w:sz w:val="20"/>
                <w:szCs w:val="20"/>
                <w:lang w:eastAsia="en-GB"/>
                <w14:ligatures w14:val="none"/>
              </w:rPr>
              <w:t xml:space="preserve"> ostracods</w:t>
            </w:r>
          </w:p>
        </w:tc>
        <w:tc>
          <w:tcPr>
            <w:tcW w:w="709" w:type="dxa"/>
            <w:noWrap/>
            <w:hideMark/>
          </w:tcPr>
          <w:p w14:paraId="196C64A8"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2000</w:t>
            </w:r>
          </w:p>
        </w:tc>
      </w:tr>
      <w:tr w:rsidR="00C3316D" w:rsidRPr="00C3316D" w14:paraId="19F65E9D" w14:textId="77777777" w:rsidTr="00C3316D">
        <w:trPr>
          <w:trHeight w:val="300"/>
        </w:trPr>
        <w:tc>
          <w:tcPr>
            <w:tcW w:w="3681" w:type="dxa"/>
            <w:noWrap/>
            <w:hideMark/>
          </w:tcPr>
          <w:p w14:paraId="0487343A"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Cohen, AS</w:t>
            </w:r>
          </w:p>
        </w:tc>
        <w:tc>
          <w:tcPr>
            <w:tcW w:w="5670" w:type="dxa"/>
            <w:noWrap/>
            <w:hideMark/>
          </w:tcPr>
          <w:p w14:paraId="51EB3FC7"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 xml:space="preserve">The past is a key to the future: Lessons </w:t>
            </w:r>
            <w:proofErr w:type="spellStart"/>
            <w:r w:rsidRPr="00C3316D">
              <w:rPr>
                <w:rFonts w:ascii="Times New Roman" w:eastAsia="Times New Roman" w:hAnsi="Times New Roman" w:cs="Times New Roman"/>
                <w:kern w:val="0"/>
                <w:sz w:val="20"/>
                <w:szCs w:val="20"/>
                <w:lang w:eastAsia="en-GB"/>
                <w14:ligatures w14:val="none"/>
              </w:rPr>
              <w:t>paleoecological</w:t>
            </w:r>
            <w:proofErr w:type="spellEnd"/>
            <w:r w:rsidRPr="00C3316D">
              <w:rPr>
                <w:rFonts w:ascii="Times New Roman" w:eastAsia="Times New Roman" w:hAnsi="Times New Roman" w:cs="Times New Roman"/>
                <w:kern w:val="0"/>
                <w:sz w:val="20"/>
                <w:szCs w:val="20"/>
                <w:lang w:eastAsia="en-GB"/>
                <w14:ligatures w14:val="none"/>
              </w:rPr>
              <w:t xml:space="preserve"> data can provide for management of the African Great Lakes</w:t>
            </w:r>
          </w:p>
        </w:tc>
        <w:tc>
          <w:tcPr>
            <w:tcW w:w="709" w:type="dxa"/>
            <w:noWrap/>
            <w:hideMark/>
          </w:tcPr>
          <w:p w14:paraId="48FAA3AA"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2018</w:t>
            </w:r>
          </w:p>
        </w:tc>
      </w:tr>
      <w:tr w:rsidR="00C3316D" w:rsidRPr="00C3316D" w14:paraId="02707E21" w14:textId="77777777" w:rsidTr="00C3316D">
        <w:trPr>
          <w:trHeight w:val="300"/>
        </w:trPr>
        <w:tc>
          <w:tcPr>
            <w:tcW w:w="3681" w:type="dxa"/>
            <w:noWrap/>
            <w:hideMark/>
          </w:tcPr>
          <w:p w14:paraId="1B986ED3"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Cohen, AS</w:t>
            </w:r>
          </w:p>
        </w:tc>
        <w:tc>
          <w:tcPr>
            <w:tcW w:w="5670" w:type="dxa"/>
            <w:noWrap/>
            <w:hideMark/>
          </w:tcPr>
          <w:p w14:paraId="41E05A90"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proofErr w:type="spellStart"/>
            <w:r w:rsidRPr="00C3316D">
              <w:rPr>
                <w:rFonts w:ascii="Times New Roman" w:eastAsia="Times New Roman" w:hAnsi="Times New Roman" w:cs="Times New Roman"/>
                <w:kern w:val="0"/>
                <w:sz w:val="20"/>
                <w:szCs w:val="20"/>
                <w:lang w:eastAsia="en-GB"/>
                <w14:ligatures w14:val="none"/>
              </w:rPr>
              <w:t>Paleoecological</w:t>
            </w:r>
            <w:proofErr w:type="spellEnd"/>
            <w:r w:rsidRPr="00C3316D">
              <w:rPr>
                <w:rFonts w:ascii="Times New Roman" w:eastAsia="Times New Roman" w:hAnsi="Times New Roman" w:cs="Times New Roman"/>
                <w:kern w:val="0"/>
                <w:sz w:val="20"/>
                <w:szCs w:val="20"/>
                <w:lang w:eastAsia="en-GB"/>
                <w14:ligatures w14:val="none"/>
              </w:rPr>
              <w:t xml:space="preserve"> approaches to the conservation biology of benthos in ancient lakes: A case study from Lake Tanganyika</w:t>
            </w:r>
          </w:p>
        </w:tc>
        <w:tc>
          <w:tcPr>
            <w:tcW w:w="709" w:type="dxa"/>
            <w:noWrap/>
            <w:hideMark/>
          </w:tcPr>
          <w:p w14:paraId="56FF0BD8"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1995</w:t>
            </w:r>
          </w:p>
        </w:tc>
      </w:tr>
      <w:tr w:rsidR="00C3316D" w:rsidRPr="00C3316D" w14:paraId="5322C7E0" w14:textId="77777777" w:rsidTr="00C3316D">
        <w:trPr>
          <w:trHeight w:val="300"/>
        </w:trPr>
        <w:tc>
          <w:tcPr>
            <w:tcW w:w="3681" w:type="dxa"/>
            <w:noWrap/>
            <w:hideMark/>
          </w:tcPr>
          <w:p w14:paraId="30A36D6A"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Daoud-</w:t>
            </w:r>
            <w:proofErr w:type="spellStart"/>
            <w:r w:rsidRPr="00C3316D">
              <w:rPr>
                <w:rFonts w:ascii="Times New Roman" w:eastAsia="Times New Roman" w:hAnsi="Times New Roman" w:cs="Times New Roman"/>
                <w:kern w:val="0"/>
                <w:sz w:val="20"/>
                <w:szCs w:val="20"/>
                <w:lang w:eastAsia="en-GB"/>
                <w14:ligatures w14:val="none"/>
              </w:rPr>
              <w:t>Bouattour</w:t>
            </w:r>
            <w:proofErr w:type="spellEnd"/>
            <w:r w:rsidRPr="00C3316D">
              <w:rPr>
                <w:rFonts w:ascii="Times New Roman" w:eastAsia="Times New Roman" w:hAnsi="Times New Roman" w:cs="Times New Roman"/>
                <w:kern w:val="0"/>
                <w:sz w:val="20"/>
                <w:szCs w:val="20"/>
                <w:lang w:eastAsia="en-GB"/>
                <w14:ligatures w14:val="none"/>
              </w:rPr>
              <w:t xml:space="preserve"> A, Muller SD, Jamaa HF, Saad-</w:t>
            </w:r>
            <w:proofErr w:type="spellStart"/>
            <w:r w:rsidRPr="00C3316D">
              <w:rPr>
                <w:rFonts w:ascii="Times New Roman" w:eastAsia="Times New Roman" w:hAnsi="Times New Roman" w:cs="Times New Roman"/>
                <w:kern w:val="0"/>
                <w:sz w:val="20"/>
                <w:szCs w:val="20"/>
                <w:lang w:eastAsia="en-GB"/>
                <w14:ligatures w14:val="none"/>
              </w:rPr>
              <w:t>Limam</w:t>
            </w:r>
            <w:proofErr w:type="spellEnd"/>
            <w:r w:rsidRPr="00C3316D">
              <w:rPr>
                <w:rFonts w:ascii="Times New Roman" w:eastAsia="Times New Roman" w:hAnsi="Times New Roman" w:cs="Times New Roman"/>
                <w:kern w:val="0"/>
                <w:sz w:val="20"/>
                <w:szCs w:val="20"/>
                <w:lang w:eastAsia="en-GB"/>
                <w14:ligatures w14:val="none"/>
              </w:rPr>
              <w:t xml:space="preserve"> SB, </w:t>
            </w:r>
            <w:proofErr w:type="spellStart"/>
            <w:r w:rsidRPr="00C3316D">
              <w:rPr>
                <w:rFonts w:ascii="Times New Roman" w:eastAsia="Times New Roman" w:hAnsi="Times New Roman" w:cs="Times New Roman"/>
                <w:kern w:val="0"/>
                <w:sz w:val="20"/>
                <w:szCs w:val="20"/>
                <w:lang w:eastAsia="en-GB"/>
                <w14:ligatures w14:val="none"/>
              </w:rPr>
              <w:t>Rhazi</w:t>
            </w:r>
            <w:proofErr w:type="spellEnd"/>
            <w:r w:rsidRPr="00C3316D">
              <w:rPr>
                <w:rFonts w:ascii="Times New Roman" w:eastAsia="Times New Roman" w:hAnsi="Times New Roman" w:cs="Times New Roman"/>
                <w:kern w:val="0"/>
                <w:sz w:val="20"/>
                <w:szCs w:val="20"/>
                <w:lang w:eastAsia="en-GB"/>
                <w14:ligatures w14:val="none"/>
              </w:rPr>
              <w:t xml:space="preserve"> L, </w:t>
            </w:r>
            <w:proofErr w:type="spellStart"/>
            <w:r w:rsidRPr="00C3316D">
              <w:rPr>
                <w:rFonts w:ascii="Times New Roman" w:eastAsia="Times New Roman" w:hAnsi="Times New Roman" w:cs="Times New Roman"/>
                <w:kern w:val="0"/>
                <w:sz w:val="20"/>
                <w:szCs w:val="20"/>
                <w:lang w:eastAsia="en-GB"/>
                <w14:ligatures w14:val="none"/>
              </w:rPr>
              <w:t>Soulié-Märsche</w:t>
            </w:r>
            <w:proofErr w:type="spellEnd"/>
            <w:r w:rsidRPr="00C3316D">
              <w:rPr>
                <w:rFonts w:ascii="Times New Roman" w:eastAsia="Times New Roman" w:hAnsi="Times New Roman" w:cs="Times New Roman"/>
                <w:kern w:val="0"/>
                <w:sz w:val="20"/>
                <w:szCs w:val="20"/>
                <w:lang w:eastAsia="en-GB"/>
                <w14:ligatures w14:val="none"/>
              </w:rPr>
              <w:t xml:space="preserve"> I, </w:t>
            </w:r>
            <w:proofErr w:type="spellStart"/>
            <w:r w:rsidRPr="00C3316D">
              <w:rPr>
                <w:rFonts w:ascii="Times New Roman" w:eastAsia="Times New Roman" w:hAnsi="Times New Roman" w:cs="Times New Roman"/>
                <w:kern w:val="0"/>
                <w:sz w:val="20"/>
                <w:szCs w:val="20"/>
                <w:lang w:eastAsia="en-GB"/>
                <w14:ligatures w14:val="none"/>
              </w:rPr>
              <w:t>Rouissi</w:t>
            </w:r>
            <w:proofErr w:type="spellEnd"/>
            <w:r w:rsidRPr="00C3316D">
              <w:rPr>
                <w:rFonts w:ascii="Times New Roman" w:eastAsia="Times New Roman" w:hAnsi="Times New Roman" w:cs="Times New Roman"/>
                <w:kern w:val="0"/>
                <w:sz w:val="20"/>
                <w:szCs w:val="20"/>
                <w:lang w:eastAsia="en-GB"/>
                <w14:ligatures w14:val="none"/>
              </w:rPr>
              <w:t xml:space="preserve"> M, Touati B, Jilani IB, </w:t>
            </w:r>
            <w:proofErr w:type="spellStart"/>
            <w:r w:rsidRPr="00C3316D">
              <w:rPr>
                <w:rFonts w:ascii="Times New Roman" w:eastAsia="Times New Roman" w:hAnsi="Times New Roman" w:cs="Times New Roman"/>
                <w:kern w:val="0"/>
                <w:sz w:val="20"/>
                <w:szCs w:val="20"/>
                <w:lang w:eastAsia="en-GB"/>
                <w14:ligatures w14:val="none"/>
              </w:rPr>
              <w:t>Gammar</w:t>
            </w:r>
            <w:proofErr w:type="spellEnd"/>
            <w:r w:rsidRPr="00C3316D">
              <w:rPr>
                <w:rFonts w:ascii="Times New Roman" w:eastAsia="Times New Roman" w:hAnsi="Times New Roman" w:cs="Times New Roman"/>
                <w:kern w:val="0"/>
                <w:sz w:val="20"/>
                <w:szCs w:val="20"/>
                <w:lang w:eastAsia="en-GB"/>
                <w14:ligatures w14:val="none"/>
              </w:rPr>
              <w:t xml:space="preserve"> AM, </w:t>
            </w:r>
            <w:proofErr w:type="spellStart"/>
            <w:r w:rsidRPr="00C3316D">
              <w:rPr>
                <w:rFonts w:ascii="Times New Roman" w:eastAsia="Times New Roman" w:hAnsi="Times New Roman" w:cs="Times New Roman"/>
                <w:kern w:val="0"/>
                <w:sz w:val="20"/>
                <w:szCs w:val="20"/>
                <w:lang w:eastAsia="en-GB"/>
                <w14:ligatures w14:val="none"/>
              </w:rPr>
              <w:t>Ghrabi-Gammar</w:t>
            </w:r>
            <w:proofErr w:type="spellEnd"/>
            <w:r w:rsidRPr="00C3316D">
              <w:rPr>
                <w:rFonts w:ascii="Times New Roman" w:eastAsia="Times New Roman" w:hAnsi="Times New Roman" w:cs="Times New Roman"/>
                <w:kern w:val="0"/>
                <w:sz w:val="20"/>
                <w:szCs w:val="20"/>
                <w:lang w:eastAsia="en-GB"/>
                <w14:ligatures w14:val="none"/>
              </w:rPr>
              <w:t xml:space="preserve"> Z.</w:t>
            </w:r>
          </w:p>
        </w:tc>
        <w:tc>
          <w:tcPr>
            <w:tcW w:w="5670" w:type="dxa"/>
            <w:noWrap/>
            <w:hideMark/>
          </w:tcPr>
          <w:p w14:paraId="08A9428C"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Conservation of Mediterranean wetlands: interest of historical approach</w:t>
            </w:r>
          </w:p>
        </w:tc>
        <w:tc>
          <w:tcPr>
            <w:tcW w:w="709" w:type="dxa"/>
            <w:noWrap/>
            <w:hideMark/>
          </w:tcPr>
          <w:p w14:paraId="606AA077"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2011</w:t>
            </w:r>
          </w:p>
        </w:tc>
      </w:tr>
      <w:tr w:rsidR="00C3316D" w:rsidRPr="00C3316D" w14:paraId="30C16D52" w14:textId="77777777" w:rsidTr="00C3316D">
        <w:trPr>
          <w:trHeight w:val="300"/>
        </w:trPr>
        <w:tc>
          <w:tcPr>
            <w:tcW w:w="3681" w:type="dxa"/>
            <w:noWrap/>
            <w:hideMark/>
          </w:tcPr>
          <w:p w14:paraId="785ACFFC"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Denys, L</w:t>
            </w:r>
          </w:p>
        </w:tc>
        <w:tc>
          <w:tcPr>
            <w:tcW w:w="5670" w:type="dxa"/>
            <w:noWrap/>
            <w:hideMark/>
          </w:tcPr>
          <w:p w14:paraId="4EEA012A"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Environmental changes in man-made coastal dune pools since 1850 as indicated by sedimentary and epiphytic diatom assemblages (Belgium)</w:t>
            </w:r>
          </w:p>
        </w:tc>
        <w:tc>
          <w:tcPr>
            <w:tcW w:w="709" w:type="dxa"/>
            <w:noWrap/>
            <w:hideMark/>
          </w:tcPr>
          <w:p w14:paraId="023B8399"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2003</w:t>
            </w:r>
          </w:p>
        </w:tc>
      </w:tr>
      <w:tr w:rsidR="00C3316D" w:rsidRPr="00C3316D" w14:paraId="43935933" w14:textId="77777777" w:rsidTr="00C3316D">
        <w:trPr>
          <w:trHeight w:val="300"/>
        </w:trPr>
        <w:tc>
          <w:tcPr>
            <w:tcW w:w="3681" w:type="dxa"/>
            <w:noWrap/>
            <w:hideMark/>
          </w:tcPr>
          <w:p w14:paraId="078BA927"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proofErr w:type="spellStart"/>
            <w:r w:rsidRPr="00C3316D">
              <w:rPr>
                <w:rFonts w:ascii="Times New Roman" w:eastAsia="Times New Roman" w:hAnsi="Times New Roman" w:cs="Times New Roman"/>
                <w:kern w:val="0"/>
                <w:sz w:val="20"/>
                <w:szCs w:val="20"/>
                <w:lang w:eastAsia="en-GB"/>
                <w14:ligatures w14:val="none"/>
              </w:rPr>
              <w:t>Djamali</w:t>
            </w:r>
            <w:proofErr w:type="spellEnd"/>
            <w:r w:rsidRPr="00C3316D">
              <w:rPr>
                <w:rFonts w:ascii="Times New Roman" w:eastAsia="Times New Roman" w:hAnsi="Times New Roman" w:cs="Times New Roman"/>
                <w:kern w:val="0"/>
                <w:sz w:val="20"/>
                <w:szCs w:val="20"/>
                <w:lang w:eastAsia="en-GB"/>
                <w14:ligatures w14:val="none"/>
              </w:rPr>
              <w:t>, M; Segarra-</w:t>
            </w:r>
            <w:proofErr w:type="spellStart"/>
            <w:r w:rsidRPr="00C3316D">
              <w:rPr>
                <w:rFonts w:ascii="Times New Roman" w:eastAsia="Times New Roman" w:hAnsi="Times New Roman" w:cs="Times New Roman"/>
                <w:kern w:val="0"/>
                <w:sz w:val="20"/>
                <w:szCs w:val="20"/>
                <w:lang w:eastAsia="en-GB"/>
                <w14:ligatures w14:val="none"/>
              </w:rPr>
              <w:t>Moragues</w:t>
            </w:r>
            <w:proofErr w:type="spellEnd"/>
            <w:r w:rsidRPr="00C3316D">
              <w:rPr>
                <w:rFonts w:ascii="Times New Roman" w:eastAsia="Times New Roman" w:hAnsi="Times New Roman" w:cs="Times New Roman"/>
                <w:kern w:val="0"/>
                <w:sz w:val="20"/>
                <w:szCs w:val="20"/>
                <w:lang w:eastAsia="en-GB"/>
                <w14:ligatures w14:val="none"/>
              </w:rPr>
              <w:t>, JG</w:t>
            </w:r>
          </w:p>
        </w:tc>
        <w:tc>
          <w:tcPr>
            <w:tcW w:w="5670" w:type="dxa"/>
            <w:noWrap/>
            <w:hideMark/>
          </w:tcPr>
          <w:p w14:paraId="13E4DFCA"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Palaeoecology and conservation of endangered hidden species; example of the liverwort Riella (</w:t>
            </w:r>
            <w:proofErr w:type="spellStart"/>
            <w:r w:rsidRPr="00C3316D">
              <w:rPr>
                <w:rFonts w:ascii="Times New Roman" w:eastAsia="Times New Roman" w:hAnsi="Times New Roman" w:cs="Times New Roman"/>
                <w:kern w:val="0"/>
                <w:sz w:val="20"/>
                <w:szCs w:val="20"/>
                <w:lang w:eastAsia="en-GB"/>
                <w14:ligatures w14:val="none"/>
              </w:rPr>
              <w:t>Riellaceae</w:t>
            </w:r>
            <w:proofErr w:type="spellEnd"/>
            <w:r w:rsidRPr="00C3316D">
              <w:rPr>
                <w:rFonts w:ascii="Times New Roman" w:eastAsia="Times New Roman" w:hAnsi="Times New Roman" w:cs="Times New Roman"/>
                <w:kern w:val="0"/>
                <w:sz w:val="20"/>
                <w:szCs w:val="20"/>
                <w:lang w:eastAsia="en-GB"/>
                <w14:ligatures w14:val="none"/>
              </w:rPr>
              <w:t>)</w:t>
            </w:r>
          </w:p>
        </w:tc>
        <w:tc>
          <w:tcPr>
            <w:tcW w:w="709" w:type="dxa"/>
            <w:noWrap/>
            <w:hideMark/>
          </w:tcPr>
          <w:p w14:paraId="4E69F8B6"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2021</w:t>
            </w:r>
          </w:p>
        </w:tc>
      </w:tr>
      <w:tr w:rsidR="00C3316D" w:rsidRPr="00C3316D" w14:paraId="56C85BC2" w14:textId="77777777" w:rsidTr="00C3316D">
        <w:trPr>
          <w:trHeight w:val="300"/>
        </w:trPr>
        <w:tc>
          <w:tcPr>
            <w:tcW w:w="3681" w:type="dxa"/>
            <w:noWrap/>
            <w:hideMark/>
          </w:tcPr>
          <w:p w14:paraId="06D1DE62"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 xml:space="preserve">Drake DC, </w:t>
            </w:r>
            <w:proofErr w:type="spellStart"/>
            <w:r w:rsidRPr="00C3316D">
              <w:rPr>
                <w:rFonts w:ascii="Times New Roman" w:eastAsia="Times New Roman" w:hAnsi="Times New Roman" w:cs="Times New Roman"/>
                <w:kern w:val="0"/>
                <w:sz w:val="20"/>
                <w:szCs w:val="20"/>
                <w:lang w:eastAsia="en-GB"/>
                <w14:ligatures w14:val="none"/>
              </w:rPr>
              <w:t>Naiman</w:t>
            </w:r>
            <w:proofErr w:type="spellEnd"/>
            <w:r w:rsidRPr="00C3316D">
              <w:rPr>
                <w:rFonts w:ascii="Times New Roman" w:eastAsia="Times New Roman" w:hAnsi="Times New Roman" w:cs="Times New Roman"/>
                <w:kern w:val="0"/>
                <w:sz w:val="20"/>
                <w:szCs w:val="20"/>
                <w:lang w:eastAsia="en-GB"/>
                <w14:ligatures w14:val="none"/>
              </w:rPr>
              <w:t xml:space="preserve"> RJ.</w:t>
            </w:r>
          </w:p>
        </w:tc>
        <w:tc>
          <w:tcPr>
            <w:tcW w:w="5670" w:type="dxa"/>
            <w:noWrap/>
            <w:hideMark/>
          </w:tcPr>
          <w:p w14:paraId="3C4D1BCF"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An Evaluation of Restoration Efforts in Fishless Lakes Stocked with Exotic Trout</w:t>
            </w:r>
          </w:p>
        </w:tc>
        <w:tc>
          <w:tcPr>
            <w:tcW w:w="709" w:type="dxa"/>
            <w:noWrap/>
            <w:hideMark/>
          </w:tcPr>
          <w:p w14:paraId="7530B59A"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2000</w:t>
            </w:r>
          </w:p>
        </w:tc>
      </w:tr>
      <w:tr w:rsidR="00C3316D" w:rsidRPr="00C3316D" w14:paraId="0139065F" w14:textId="77777777" w:rsidTr="00C3316D">
        <w:trPr>
          <w:trHeight w:val="300"/>
        </w:trPr>
        <w:tc>
          <w:tcPr>
            <w:tcW w:w="3681" w:type="dxa"/>
            <w:noWrap/>
            <w:hideMark/>
          </w:tcPr>
          <w:p w14:paraId="5F74F625"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proofErr w:type="spellStart"/>
            <w:r w:rsidRPr="00C3316D">
              <w:rPr>
                <w:rFonts w:ascii="Times New Roman" w:eastAsia="Times New Roman" w:hAnsi="Times New Roman" w:cs="Times New Roman"/>
                <w:kern w:val="0"/>
                <w:sz w:val="20"/>
                <w:szCs w:val="20"/>
                <w:lang w:eastAsia="en-GB"/>
                <w14:ligatures w14:val="none"/>
              </w:rPr>
              <w:t>Duda</w:t>
            </w:r>
            <w:proofErr w:type="spellEnd"/>
            <w:r w:rsidRPr="00C3316D">
              <w:rPr>
                <w:rFonts w:ascii="Times New Roman" w:eastAsia="Times New Roman" w:hAnsi="Times New Roman" w:cs="Times New Roman"/>
                <w:kern w:val="0"/>
                <w:sz w:val="20"/>
                <w:szCs w:val="20"/>
                <w:lang w:eastAsia="en-GB"/>
                <w14:ligatures w14:val="none"/>
              </w:rPr>
              <w:t xml:space="preserve"> M.P.; Robertson G.J.; Lim J.E.; Kissinger J.A.; </w:t>
            </w:r>
            <w:proofErr w:type="spellStart"/>
            <w:r w:rsidRPr="00C3316D">
              <w:rPr>
                <w:rFonts w:ascii="Times New Roman" w:eastAsia="Times New Roman" w:hAnsi="Times New Roman" w:cs="Times New Roman"/>
                <w:kern w:val="0"/>
                <w:sz w:val="20"/>
                <w:szCs w:val="20"/>
                <w:lang w:eastAsia="en-GB"/>
                <w14:ligatures w14:val="none"/>
              </w:rPr>
              <w:t>Eickmeyer</w:t>
            </w:r>
            <w:proofErr w:type="spellEnd"/>
            <w:r w:rsidRPr="00C3316D">
              <w:rPr>
                <w:rFonts w:ascii="Times New Roman" w:eastAsia="Times New Roman" w:hAnsi="Times New Roman" w:cs="Times New Roman"/>
                <w:kern w:val="0"/>
                <w:sz w:val="20"/>
                <w:szCs w:val="20"/>
                <w:lang w:eastAsia="en-GB"/>
                <w14:ligatures w14:val="none"/>
              </w:rPr>
              <w:t xml:space="preserve"> D.C.; Grooms C.; </w:t>
            </w:r>
            <w:proofErr w:type="spellStart"/>
            <w:r w:rsidRPr="00C3316D">
              <w:rPr>
                <w:rFonts w:ascii="Times New Roman" w:eastAsia="Times New Roman" w:hAnsi="Times New Roman" w:cs="Times New Roman"/>
                <w:kern w:val="0"/>
                <w:sz w:val="20"/>
                <w:szCs w:val="20"/>
                <w:lang w:eastAsia="en-GB"/>
                <w14:ligatures w14:val="none"/>
              </w:rPr>
              <w:t>Kimpe</w:t>
            </w:r>
            <w:proofErr w:type="spellEnd"/>
            <w:r w:rsidRPr="00C3316D">
              <w:rPr>
                <w:rFonts w:ascii="Times New Roman" w:eastAsia="Times New Roman" w:hAnsi="Times New Roman" w:cs="Times New Roman"/>
                <w:kern w:val="0"/>
                <w:sz w:val="20"/>
                <w:szCs w:val="20"/>
                <w:lang w:eastAsia="en-GB"/>
                <w14:ligatures w14:val="none"/>
              </w:rPr>
              <w:t xml:space="preserve"> L.E.; </w:t>
            </w:r>
            <w:proofErr w:type="spellStart"/>
            <w:r w:rsidRPr="00C3316D">
              <w:rPr>
                <w:rFonts w:ascii="Times New Roman" w:eastAsia="Times New Roman" w:hAnsi="Times New Roman" w:cs="Times New Roman"/>
                <w:kern w:val="0"/>
                <w:sz w:val="20"/>
                <w:szCs w:val="20"/>
                <w:lang w:eastAsia="en-GB"/>
                <w14:ligatures w14:val="none"/>
              </w:rPr>
              <w:t>Montevecchi</w:t>
            </w:r>
            <w:proofErr w:type="spellEnd"/>
            <w:r w:rsidRPr="00C3316D">
              <w:rPr>
                <w:rFonts w:ascii="Times New Roman" w:eastAsia="Times New Roman" w:hAnsi="Times New Roman" w:cs="Times New Roman"/>
                <w:kern w:val="0"/>
                <w:sz w:val="20"/>
                <w:szCs w:val="20"/>
                <w:lang w:eastAsia="en-GB"/>
                <w14:ligatures w14:val="none"/>
              </w:rPr>
              <w:t xml:space="preserve"> W.A.; </w:t>
            </w:r>
            <w:proofErr w:type="spellStart"/>
            <w:r w:rsidRPr="00C3316D">
              <w:rPr>
                <w:rFonts w:ascii="Times New Roman" w:eastAsia="Times New Roman" w:hAnsi="Times New Roman" w:cs="Times New Roman"/>
                <w:kern w:val="0"/>
                <w:sz w:val="20"/>
                <w:szCs w:val="20"/>
                <w:lang w:eastAsia="en-GB"/>
                <w14:ligatures w14:val="none"/>
              </w:rPr>
              <w:t>Michelutti</w:t>
            </w:r>
            <w:proofErr w:type="spellEnd"/>
            <w:r w:rsidRPr="00C3316D">
              <w:rPr>
                <w:rFonts w:ascii="Times New Roman" w:eastAsia="Times New Roman" w:hAnsi="Times New Roman" w:cs="Times New Roman"/>
                <w:kern w:val="0"/>
                <w:sz w:val="20"/>
                <w:szCs w:val="20"/>
                <w:lang w:eastAsia="en-GB"/>
                <w14:ligatures w14:val="none"/>
              </w:rPr>
              <w:t xml:space="preserve"> N.; </w:t>
            </w:r>
            <w:proofErr w:type="spellStart"/>
            <w:r w:rsidRPr="00C3316D">
              <w:rPr>
                <w:rFonts w:ascii="Times New Roman" w:eastAsia="Times New Roman" w:hAnsi="Times New Roman" w:cs="Times New Roman"/>
                <w:kern w:val="0"/>
                <w:sz w:val="20"/>
                <w:szCs w:val="20"/>
                <w:lang w:eastAsia="en-GB"/>
                <w14:ligatures w14:val="none"/>
              </w:rPr>
              <w:t>Blais</w:t>
            </w:r>
            <w:proofErr w:type="spellEnd"/>
            <w:r w:rsidRPr="00C3316D">
              <w:rPr>
                <w:rFonts w:ascii="Times New Roman" w:eastAsia="Times New Roman" w:hAnsi="Times New Roman" w:cs="Times New Roman"/>
                <w:kern w:val="0"/>
                <w:sz w:val="20"/>
                <w:szCs w:val="20"/>
                <w:lang w:eastAsia="en-GB"/>
                <w14:ligatures w14:val="none"/>
              </w:rPr>
              <w:t xml:space="preserve"> J.M.; </w:t>
            </w:r>
            <w:proofErr w:type="spellStart"/>
            <w:r w:rsidRPr="00C3316D">
              <w:rPr>
                <w:rFonts w:ascii="Times New Roman" w:eastAsia="Times New Roman" w:hAnsi="Times New Roman" w:cs="Times New Roman"/>
                <w:kern w:val="0"/>
                <w:sz w:val="20"/>
                <w:szCs w:val="20"/>
                <w:lang w:eastAsia="en-GB"/>
                <w14:ligatures w14:val="none"/>
              </w:rPr>
              <w:t>Smol</w:t>
            </w:r>
            <w:proofErr w:type="spellEnd"/>
            <w:r w:rsidRPr="00C3316D">
              <w:rPr>
                <w:rFonts w:ascii="Times New Roman" w:eastAsia="Times New Roman" w:hAnsi="Times New Roman" w:cs="Times New Roman"/>
                <w:kern w:val="0"/>
                <w:sz w:val="20"/>
                <w:szCs w:val="20"/>
                <w:lang w:eastAsia="en-GB"/>
                <w14:ligatures w14:val="none"/>
              </w:rPr>
              <w:t xml:space="preserve"> J.P.</w:t>
            </w:r>
          </w:p>
        </w:tc>
        <w:tc>
          <w:tcPr>
            <w:tcW w:w="5670" w:type="dxa"/>
            <w:noWrap/>
            <w:hideMark/>
          </w:tcPr>
          <w:p w14:paraId="2513CD06"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Striking centennial-scale changes in the population size of a threatened seabird</w:t>
            </w:r>
          </w:p>
        </w:tc>
        <w:tc>
          <w:tcPr>
            <w:tcW w:w="709" w:type="dxa"/>
            <w:noWrap/>
            <w:hideMark/>
          </w:tcPr>
          <w:p w14:paraId="03AD2205"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2020</w:t>
            </w:r>
          </w:p>
        </w:tc>
      </w:tr>
      <w:tr w:rsidR="00C3316D" w:rsidRPr="00C3316D" w14:paraId="7FC9E3D9" w14:textId="77777777" w:rsidTr="00C3316D">
        <w:trPr>
          <w:trHeight w:val="300"/>
        </w:trPr>
        <w:tc>
          <w:tcPr>
            <w:tcW w:w="3681" w:type="dxa"/>
            <w:noWrap/>
            <w:hideMark/>
          </w:tcPr>
          <w:p w14:paraId="03B61274"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 xml:space="preserve">Flower, RJ; </w:t>
            </w:r>
            <w:proofErr w:type="spellStart"/>
            <w:r w:rsidRPr="00C3316D">
              <w:rPr>
                <w:rFonts w:ascii="Times New Roman" w:eastAsia="Times New Roman" w:hAnsi="Times New Roman" w:cs="Times New Roman"/>
                <w:kern w:val="0"/>
                <w:sz w:val="20"/>
                <w:szCs w:val="20"/>
                <w:lang w:eastAsia="en-GB"/>
                <w14:ligatures w14:val="none"/>
              </w:rPr>
              <w:t>Juggins</w:t>
            </w:r>
            <w:proofErr w:type="spellEnd"/>
            <w:r w:rsidRPr="00C3316D">
              <w:rPr>
                <w:rFonts w:ascii="Times New Roman" w:eastAsia="Times New Roman" w:hAnsi="Times New Roman" w:cs="Times New Roman"/>
                <w:kern w:val="0"/>
                <w:sz w:val="20"/>
                <w:szCs w:val="20"/>
                <w:lang w:eastAsia="en-GB"/>
                <w14:ligatures w14:val="none"/>
              </w:rPr>
              <w:t xml:space="preserve">, S; </w:t>
            </w:r>
            <w:proofErr w:type="spellStart"/>
            <w:r w:rsidRPr="00C3316D">
              <w:rPr>
                <w:rFonts w:ascii="Times New Roman" w:eastAsia="Times New Roman" w:hAnsi="Times New Roman" w:cs="Times New Roman"/>
                <w:kern w:val="0"/>
                <w:sz w:val="20"/>
                <w:szCs w:val="20"/>
                <w:lang w:eastAsia="en-GB"/>
                <w14:ligatures w14:val="none"/>
              </w:rPr>
              <w:t>Battarbee</w:t>
            </w:r>
            <w:proofErr w:type="spellEnd"/>
            <w:r w:rsidRPr="00C3316D">
              <w:rPr>
                <w:rFonts w:ascii="Times New Roman" w:eastAsia="Times New Roman" w:hAnsi="Times New Roman" w:cs="Times New Roman"/>
                <w:kern w:val="0"/>
                <w:sz w:val="20"/>
                <w:szCs w:val="20"/>
                <w:lang w:eastAsia="en-GB"/>
                <w14:ligatures w14:val="none"/>
              </w:rPr>
              <w:t>, RW</w:t>
            </w:r>
          </w:p>
        </w:tc>
        <w:tc>
          <w:tcPr>
            <w:tcW w:w="5670" w:type="dxa"/>
            <w:noWrap/>
            <w:hideMark/>
          </w:tcPr>
          <w:p w14:paraId="7AEE987F"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Matching diatom assemblages in take sediment cores and modern surface sediment samples: The implications for lake conservation and restoration with special reference to acidified systems</w:t>
            </w:r>
          </w:p>
        </w:tc>
        <w:tc>
          <w:tcPr>
            <w:tcW w:w="709" w:type="dxa"/>
            <w:noWrap/>
            <w:hideMark/>
          </w:tcPr>
          <w:p w14:paraId="2E5D39DB"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1997</w:t>
            </w:r>
          </w:p>
        </w:tc>
      </w:tr>
      <w:tr w:rsidR="00C3316D" w:rsidRPr="00C3316D" w14:paraId="62953B0D" w14:textId="77777777" w:rsidTr="00C3316D">
        <w:trPr>
          <w:trHeight w:val="300"/>
        </w:trPr>
        <w:tc>
          <w:tcPr>
            <w:tcW w:w="3681" w:type="dxa"/>
            <w:noWrap/>
            <w:hideMark/>
          </w:tcPr>
          <w:p w14:paraId="7F3701BA"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lastRenderedPageBreak/>
              <w:t>Foster, DR; Hall, B; Barry, S; Clayden, S; Parshall, T</w:t>
            </w:r>
          </w:p>
        </w:tc>
        <w:tc>
          <w:tcPr>
            <w:tcW w:w="5670" w:type="dxa"/>
            <w:noWrap/>
            <w:hideMark/>
          </w:tcPr>
          <w:p w14:paraId="7C4A2D2F"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 xml:space="preserve">Cultural, </w:t>
            </w:r>
            <w:proofErr w:type="gramStart"/>
            <w:r w:rsidRPr="00C3316D">
              <w:rPr>
                <w:rFonts w:ascii="Times New Roman" w:eastAsia="Times New Roman" w:hAnsi="Times New Roman" w:cs="Times New Roman"/>
                <w:kern w:val="0"/>
                <w:sz w:val="20"/>
                <w:szCs w:val="20"/>
                <w:lang w:eastAsia="en-GB"/>
                <w14:ligatures w14:val="none"/>
              </w:rPr>
              <w:t>environmental</w:t>
            </w:r>
            <w:proofErr w:type="gramEnd"/>
            <w:r w:rsidRPr="00C3316D">
              <w:rPr>
                <w:rFonts w:ascii="Times New Roman" w:eastAsia="Times New Roman" w:hAnsi="Times New Roman" w:cs="Times New Roman"/>
                <w:kern w:val="0"/>
                <w:sz w:val="20"/>
                <w:szCs w:val="20"/>
                <w:lang w:eastAsia="en-GB"/>
                <w14:ligatures w14:val="none"/>
              </w:rPr>
              <w:t xml:space="preserve"> and historical controls of vegetation patterns and the modern conservation setting on the island of Martha's Vineyard, USA</w:t>
            </w:r>
          </w:p>
        </w:tc>
        <w:tc>
          <w:tcPr>
            <w:tcW w:w="709" w:type="dxa"/>
            <w:noWrap/>
            <w:hideMark/>
          </w:tcPr>
          <w:p w14:paraId="44B46494"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2002</w:t>
            </w:r>
          </w:p>
        </w:tc>
      </w:tr>
      <w:tr w:rsidR="00C3316D" w:rsidRPr="00C3316D" w14:paraId="5181C414" w14:textId="77777777" w:rsidTr="00C3316D">
        <w:trPr>
          <w:trHeight w:val="300"/>
        </w:trPr>
        <w:tc>
          <w:tcPr>
            <w:tcW w:w="3681" w:type="dxa"/>
            <w:noWrap/>
            <w:hideMark/>
          </w:tcPr>
          <w:p w14:paraId="120753B1"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Ge, YW; Zhang, QH; Dong, XH; Yang, XD</w:t>
            </w:r>
          </w:p>
        </w:tc>
        <w:tc>
          <w:tcPr>
            <w:tcW w:w="5670" w:type="dxa"/>
            <w:noWrap/>
            <w:hideMark/>
          </w:tcPr>
          <w:p w14:paraId="3E226B58"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 xml:space="preserve">Revealing anthropogenic effects on lakes and wetlands: Pollen-based environmental changes of </w:t>
            </w:r>
            <w:proofErr w:type="spellStart"/>
            <w:r w:rsidRPr="00C3316D">
              <w:rPr>
                <w:rFonts w:ascii="Times New Roman" w:eastAsia="Times New Roman" w:hAnsi="Times New Roman" w:cs="Times New Roman"/>
                <w:kern w:val="0"/>
                <w:sz w:val="20"/>
                <w:szCs w:val="20"/>
                <w:lang w:eastAsia="en-GB"/>
                <w14:ligatures w14:val="none"/>
              </w:rPr>
              <w:t>Liangzi</w:t>
            </w:r>
            <w:proofErr w:type="spellEnd"/>
            <w:r w:rsidRPr="00C3316D">
              <w:rPr>
                <w:rFonts w:ascii="Times New Roman" w:eastAsia="Times New Roman" w:hAnsi="Times New Roman" w:cs="Times New Roman"/>
                <w:kern w:val="0"/>
                <w:sz w:val="20"/>
                <w:szCs w:val="20"/>
                <w:lang w:eastAsia="en-GB"/>
                <w14:ligatures w14:val="none"/>
              </w:rPr>
              <w:t xml:space="preserve"> Lake, China over the last 150 years</w:t>
            </w:r>
          </w:p>
        </w:tc>
        <w:tc>
          <w:tcPr>
            <w:tcW w:w="709" w:type="dxa"/>
            <w:noWrap/>
            <w:hideMark/>
          </w:tcPr>
          <w:p w14:paraId="497CD1BB"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2021</w:t>
            </w:r>
          </w:p>
        </w:tc>
      </w:tr>
      <w:tr w:rsidR="00C3316D" w:rsidRPr="00C3316D" w14:paraId="1AF184F7" w14:textId="77777777" w:rsidTr="00C3316D">
        <w:trPr>
          <w:trHeight w:val="300"/>
        </w:trPr>
        <w:tc>
          <w:tcPr>
            <w:tcW w:w="3681" w:type="dxa"/>
            <w:noWrap/>
            <w:hideMark/>
          </w:tcPr>
          <w:p w14:paraId="7A4C0130"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 xml:space="preserve">Griffiths H.I.; Reed J.M.; </w:t>
            </w:r>
            <w:proofErr w:type="spellStart"/>
            <w:r w:rsidRPr="00C3316D">
              <w:rPr>
                <w:rFonts w:ascii="Times New Roman" w:eastAsia="Times New Roman" w:hAnsi="Times New Roman" w:cs="Times New Roman"/>
                <w:kern w:val="0"/>
                <w:sz w:val="20"/>
                <w:szCs w:val="20"/>
                <w:lang w:eastAsia="en-GB"/>
                <w14:ligatures w14:val="none"/>
              </w:rPr>
              <w:t>Leng</w:t>
            </w:r>
            <w:proofErr w:type="spellEnd"/>
            <w:r w:rsidRPr="00C3316D">
              <w:rPr>
                <w:rFonts w:ascii="Times New Roman" w:eastAsia="Times New Roman" w:hAnsi="Times New Roman" w:cs="Times New Roman"/>
                <w:kern w:val="0"/>
                <w:sz w:val="20"/>
                <w:szCs w:val="20"/>
                <w:lang w:eastAsia="en-GB"/>
                <w14:ligatures w14:val="none"/>
              </w:rPr>
              <w:t xml:space="preserve"> M.J.; Ryan S.; </w:t>
            </w:r>
            <w:proofErr w:type="spellStart"/>
            <w:r w:rsidRPr="00C3316D">
              <w:rPr>
                <w:rFonts w:ascii="Times New Roman" w:eastAsia="Times New Roman" w:hAnsi="Times New Roman" w:cs="Times New Roman"/>
                <w:kern w:val="0"/>
                <w:sz w:val="20"/>
                <w:szCs w:val="20"/>
                <w:lang w:eastAsia="en-GB"/>
                <w14:ligatures w14:val="none"/>
              </w:rPr>
              <w:t>Petkovski</w:t>
            </w:r>
            <w:proofErr w:type="spellEnd"/>
            <w:r w:rsidRPr="00C3316D">
              <w:rPr>
                <w:rFonts w:ascii="Times New Roman" w:eastAsia="Times New Roman" w:hAnsi="Times New Roman" w:cs="Times New Roman"/>
                <w:kern w:val="0"/>
                <w:sz w:val="20"/>
                <w:szCs w:val="20"/>
                <w:lang w:eastAsia="en-GB"/>
                <w14:ligatures w14:val="none"/>
              </w:rPr>
              <w:t xml:space="preserve"> S.</w:t>
            </w:r>
          </w:p>
        </w:tc>
        <w:tc>
          <w:tcPr>
            <w:tcW w:w="5670" w:type="dxa"/>
            <w:noWrap/>
            <w:hideMark/>
          </w:tcPr>
          <w:p w14:paraId="50D68B0B"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 xml:space="preserve">The recent palaeoecology and conservation status of Balkan Lake </w:t>
            </w:r>
            <w:proofErr w:type="spellStart"/>
            <w:r w:rsidRPr="00C3316D">
              <w:rPr>
                <w:rFonts w:ascii="Times New Roman" w:eastAsia="Times New Roman" w:hAnsi="Times New Roman" w:cs="Times New Roman"/>
                <w:kern w:val="0"/>
                <w:sz w:val="20"/>
                <w:szCs w:val="20"/>
                <w:lang w:eastAsia="en-GB"/>
                <w14:ligatures w14:val="none"/>
              </w:rPr>
              <w:t>Dojran</w:t>
            </w:r>
            <w:proofErr w:type="spellEnd"/>
          </w:p>
        </w:tc>
        <w:tc>
          <w:tcPr>
            <w:tcW w:w="709" w:type="dxa"/>
            <w:noWrap/>
            <w:hideMark/>
          </w:tcPr>
          <w:p w14:paraId="51A10188"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2002</w:t>
            </w:r>
          </w:p>
        </w:tc>
      </w:tr>
      <w:tr w:rsidR="00C3316D" w:rsidRPr="00C3316D" w14:paraId="79FD7030" w14:textId="77777777" w:rsidTr="00C3316D">
        <w:trPr>
          <w:trHeight w:val="300"/>
        </w:trPr>
        <w:tc>
          <w:tcPr>
            <w:tcW w:w="3681" w:type="dxa"/>
            <w:noWrap/>
            <w:hideMark/>
          </w:tcPr>
          <w:p w14:paraId="3E86AD14"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Hamilton R.; Penny D.; Hall T.L.</w:t>
            </w:r>
          </w:p>
        </w:tc>
        <w:tc>
          <w:tcPr>
            <w:tcW w:w="5670" w:type="dxa"/>
            <w:noWrap/>
            <w:hideMark/>
          </w:tcPr>
          <w:p w14:paraId="4FAABEB1"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Forest, fire &amp; monsoon: investigating the long-term threshold dynamics of south-east Asia's seasonally dry tropical forests</w:t>
            </w:r>
          </w:p>
        </w:tc>
        <w:tc>
          <w:tcPr>
            <w:tcW w:w="709" w:type="dxa"/>
            <w:noWrap/>
            <w:hideMark/>
          </w:tcPr>
          <w:p w14:paraId="646271C0"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2020</w:t>
            </w:r>
          </w:p>
        </w:tc>
      </w:tr>
      <w:tr w:rsidR="00C3316D" w:rsidRPr="00C3316D" w14:paraId="3F51ADB8" w14:textId="77777777" w:rsidTr="00C3316D">
        <w:trPr>
          <w:trHeight w:val="300"/>
        </w:trPr>
        <w:tc>
          <w:tcPr>
            <w:tcW w:w="3681" w:type="dxa"/>
            <w:noWrap/>
            <w:hideMark/>
          </w:tcPr>
          <w:p w14:paraId="0AC5E9BC"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proofErr w:type="spellStart"/>
            <w:r w:rsidRPr="00C3316D">
              <w:rPr>
                <w:rFonts w:ascii="Times New Roman" w:eastAsia="Times New Roman" w:hAnsi="Times New Roman" w:cs="Times New Roman"/>
                <w:kern w:val="0"/>
                <w:sz w:val="20"/>
                <w:szCs w:val="20"/>
                <w:lang w:eastAsia="en-GB"/>
                <w14:ligatures w14:val="none"/>
              </w:rPr>
              <w:t>Hargan</w:t>
            </w:r>
            <w:proofErr w:type="spellEnd"/>
            <w:r w:rsidRPr="00C3316D">
              <w:rPr>
                <w:rFonts w:ascii="Times New Roman" w:eastAsia="Times New Roman" w:hAnsi="Times New Roman" w:cs="Times New Roman"/>
                <w:kern w:val="0"/>
                <w:sz w:val="20"/>
                <w:szCs w:val="20"/>
                <w:lang w:eastAsia="en-GB"/>
                <w14:ligatures w14:val="none"/>
              </w:rPr>
              <w:t xml:space="preserve">, KE; Gilchrist, HG; Clyde, NMT; Iverson, SA; Forbes, MR; </w:t>
            </w:r>
            <w:proofErr w:type="spellStart"/>
            <w:r w:rsidRPr="00C3316D">
              <w:rPr>
                <w:rFonts w:ascii="Times New Roman" w:eastAsia="Times New Roman" w:hAnsi="Times New Roman" w:cs="Times New Roman"/>
                <w:kern w:val="0"/>
                <w:sz w:val="20"/>
                <w:szCs w:val="20"/>
                <w:lang w:eastAsia="en-GB"/>
                <w14:ligatures w14:val="none"/>
              </w:rPr>
              <w:t>Kimpe</w:t>
            </w:r>
            <w:proofErr w:type="spellEnd"/>
            <w:r w:rsidRPr="00C3316D">
              <w:rPr>
                <w:rFonts w:ascii="Times New Roman" w:eastAsia="Times New Roman" w:hAnsi="Times New Roman" w:cs="Times New Roman"/>
                <w:kern w:val="0"/>
                <w:sz w:val="20"/>
                <w:szCs w:val="20"/>
                <w:lang w:eastAsia="en-GB"/>
                <w14:ligatures w14:val="none"/>
              </w:rPr>
              <w:t xml:space="preserve">, LE; Mallory, ML; </w:t>
            </w:r>
            <w:proofErr w:type="spellStart"/>
            <w:r w:rsidRPr="00C3316D">
              <w:rPr>
                <w:rFonts w:ascii="Times New Roman" w:eastAsia="Times New Roman" w:hAnsi="Times New Roman" w:cs="Times New Roman"/>
                <w:kern w:val="0"/>
                <w:sz w:val="20"/>
                <w:szCs w:val="20"/>
                <w:lang w:eastAsia="en-GB"/>
                <w14:ligatures w14:val="none"/>
              </w:rPr>
              <w:t>Michelutti</w:t>
            </w:r>
            <w:proofErr w:type="spellEnd"/>
            <w:r w:rsidRPr="00C3316D">
              <w:rPr>
                <w:rFonts w:ascii="Times New Roman" w:eastAsia="Times New Roman" w:hAnsi="Times New Roman" w:cs="Times New Roman"/>
                <w:kern w:val="0"/>
                <w:sz w:val="20"/>
                <w:szCs w:val="20"/>
                <w:lang w:eastAsia="en-GB"/>
                <w14:ligatures w14:val="none"/>
              </w:rPr>
              <w:t xml:space="preserve">, N; </w:t>
            </w:r>
            <w:proofErr w:type="spellStart"/>
            <w:r w:rsidRPr="00C3316D">
              <w:rPr>
                <w:rFonts w:ascii="Times New Roman" w:eastAsia="Times New Roman" w:hAnsi="Times New Roman" w:cs="Times New Roman"/>
                <w:kern w:val="0"/>
                <w:sz w:val="20"/>
                <w:szCs w:val="20"/>
                <w:lang w:eastAsia="en-GB"/>
                <w14:ligatures w14:val="none"/>
              </w:rPr>
              <w:t>Smol</w:t>
            </w:r>
            <w:proofErr w:type="spellEnd"/>
            <w:r w:rsidRPr="00C3316D">
              <w:rPr>
                <w:rFonts w:ascii="Times New Roman" w:eastAsia="Times New Roman" w:hAnsi="Times New Roman" w:cs="Times New Roman"/>
                <w:kern w:val="0"/>
                <w:sz w:val="20"/>
                <w:szCs w:val="20"/>
                <w:lang w:eastAsia="en-GB"/>
                <w14:ligatures w14:val="none"/>
              </w:rPr>
              <w:t xml:space="preserve">, JP; </w:t>
            </w:r>
            <w:proofErr w:type="spellStart"/>
            <w:r w:rsidRPr="00C3316D">
              <w:rPr>
                <w:rFonts w:ascii="Times New Roman" w:eastAsia="Times New Roman" w:hAnsi="Times New Roman" w:cs="Times New Roman"/>
                <w:kern w:val="0"/>
                <w:sz w:val="20"/>
                <w:szCs w:val="20"/>
                <w:lang w:eastAsia="en-GB"/>
                <w14:ligatures w14:val="none"/>
              </w:rPr>
              <w:t>Blais</w:t>
            </w:r>
            <w:proofErr w:type="spellEnd"/>
            <w:r w:rsidRPr="00C3316D">
              <w:rPr>
                <w:rFonts w:ascii="Times New Roman" w:eastAsia="Times New Roman" w:hAnsi="Times New Roman" w:cs="Times New Roman"/>
                <w:kern w:val="0"/>
                <w:sz w:val="20"/>
                <w:szCs w:val="20"/>
                <w:lang w:eastAsia="en-GB"/>
                <w14:ligatures w14:val="none"/>
              </w:rPr>
              <w:t>, JM</w:t>
            </w:r>
          </w:p>
        </w:tc>
        <w:tc>
          <w:tcPr>
            <w:tcW w:w="5670" w:type="dxa"/>
            <w:noWrap/>
            <w:hideMark/>
          </w:tcPr>
          <w:p w14:paraId="65A4945B"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proofErr w:type="spellStart"/>
            <w:r w:rsidRPr="00C3316D">
              <w:rPr>
                <w:rFonts w:ascii="Times New Roman" w:eastAsia="Times New Roman" w:hAnsi="Times New Roman" w:cs="Times New Roman"/>
                <w:kern w:val="0"/>
                <w:sz w:val="20"/>
                <w:szCs w:val="20"/>
                <w:lang w:eastAsia="en-GB"/>
                <w14:ligatures w14:val="none"/>
              </w:rPr>
              <w:t>Multicentury</w:t>
            </w:r>
            <w:proofErr w:type="spellEnd"/>
            <w:r w:rsidRPr="00C3316D">
              <w:rPr>
                <w:rFonts w:ascii="Times New Roman" w:eastAsia="Times New Roman" w:hAnsi="Times New Roman" w:cs="Times New Roman"/>
                <w:kern w:val="0"/>
                <w:sz w:val="20"/>
                <w:szCs w:val="20"/>
                <w:lang w:eastAsia="en-GB"/>
                <w14:ligatures w14:val="none"/>
              </w:rPr>
              <w:t xml:space="preserve"> perspective assessing the sustainability of the historical harvest of </w:t>
            </w:r>
            <w:proofErr w:type="spellStart"/>
            <w:r w:rsidRPr="00C3316D">
              <w:rPr>
                <w:rFonts w:ascii="Times New Roman" w:eastAsia="Times New Roman" w:hAnsi="Times New Roman" w:cs="Times New Roman"/>
                <w:kern w:val="0"/>
                <w:sz w:val="20"/>
                <w:szCs w:val="20"/>
                <w:lang w:eastAsia="en-GB"/>
                <w14:ligatures w14:val="none"/>
              </w:rPr>
              <w:t>seaducks</w:t>
            </w:r>
            <w:proofErr w:type="spellEnd"/>
          </w:p>
        </w:tc>
        <w:tc>
          <w:tcPr>
            <w:tcW w:w="709" w:type="dxa"/>
            <w:noWrap/>
            <w:hideMark/>
          </w:tcPr>
          <w:p w14:paraId="75DC56B3"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2019</w:t>
            </w:r>
          </w:p>
        </w:tc>
      </w:tr>
      <w:tr w:rsidR="00C3316D" w:rsidRPr="00C3316D" w14:paraId="61404DCD" w14:textId="77777777" w:rsidTr="00C3316D">
        <w:trPr>
          <w:trHeight w:val="300"/>
        </w:trPr>
        <w:tc>
          <w:tcPr>
            <w:tcW w:w="3681" w:type="dxa"/>
            <w:noWrap/>
            <w:hideMark/>
          </w:tcPr>
          <w:p w14:paraId="3B823AF8"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 xml:space="preserve">Haworth E.Y.; Pinder L.C.V.; Lishman J.P.; </w:t>
            </w:r>
            <w:proofErr w:type="spellStart"/>
            <w:r w:rsidRPr="00C3316D">
              <w:rPr>
                <w:rFonts w:ascii="Times New Roman" w:eastAsia="Times New Roman" w:hAnsi="Times New Roman" w:cs="Times New Roman"/>
                <w:kern w:val="0"/>
                <w:sz w:val="20"/>
                <w:szCs w:val="20"/>
                <w:lang w:eastAsia="en-GB"/>
                <w14:ligatures w14:val="none"/>
              </w:rPr>
              <w:t>Duigan</w:t>
            </w:r>
            <w:proofErr w:type="spellEnd"/>
            <w:r w:rsidRPr="00C3316D">
              <w:rPr>
                <w:rFonts w:ascii="Times New Roman" w:eastAsia="Times New Roman" w:hAnsi="Times New Roman" w:cs="Times New Roman"/>
                <w:kern w:val="0"/>
                <w:sz w:val="20"/>
                <w:szCs w:val="20"/>
                <w:lang w:eastAsia="en-GB"/>
                <w14:ligatures w14:val="none"/>
              </w:rPr>
              <w:t xml:space="preserve"> C.A.</w:t>
            </w:r>
          </w:p>
        </w:tc>
        <w:tc>
          <w:tcPr>
            <w:tcW w:w="5670" w:type="dxa"/>
            <w:noWrap/>
            <w:hideMark/>
          </w:tcPr>
          <w:p w14:paraId="0E1D0EBE"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The Anglesey lakes, Wales, UK - A palaeolimnological study of the eutrophication and nature conservation status</w:t>
            </w:r>
          </w:p>
        </w:tc>
        <w:tc>
          <w:tcPr>
            <w:tcW w:w="709" w:type="dxa"/>
            <w:noWrap/>
            <w:hideMark/>
          </w:tcPr>
          <w:p w14:paraId="0BCB4FEA"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1996</w:t>
            </w:r>
          </w:p>
        </w:tc>
      </w:tr>
      <w:tr w:rsidR="00C3316D" w:rsidRPr="00C3316D" w14:paraId="23A4DEED" w14:textId="77777777" w:rsidTr="00C3316D">
        <w:trPr>
          <w:trHeight w:val="300"/>
        </w:trPr>
        <w:tc>
          <w:tcPr>
            <w:tcW w:w="3681" w:type="dxa"/>
            <w:noWrap/>
            <w:hideMark/>
          </w:tcPr>
          <w:p w14:paraId="7AF59C64"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 xml:space="preserve">Hobbs, WO; </w:t>
            </w:r>
            <w:proofErr w:type="spellStart"/>
            <w:r w:rsidRPr="00C3316D">
              <w:rPr>
                <w:rFonts w:ascii="Times New Roman" w:eastAsia="Times New Roman" w:hAnsi="Times New Roman" w:cs="Times New Roman"/>
                <w:kern w:val="0"/>
                <w:sz w:val="20"/>
                <w:szCs w:val="20"/>
                <w:lang w:eastAsia="en-GB"/>
                <w14:ligatures w14:val="none"/>
              </w:rPr>
              <w:t>Theissen</w:t>
            </w:r>
            <w:proofErr w:type="spellEnd"/>
            <w:r w:rsidRPr="00C3316D">
              <w:rPr>
                <w:rFonts w:ascii="Times New Roman" w:eastAsia="Times New Roman" w:hAnsi="Times New Roman" w:cs="Times New Roman"/>
                <w:kern w:val="0"/>
                <w:sz w:val="20"/>
                <w:szCs w:val="20"/>
                <w:lang w:eastAsia="en-GB"/>
                <w14:ligatures w14:val="none"/>
              </w:rPr>
              <w:t xml:space="preserve">, KM; Hagen, SM; </w:t>
            </w:r>
            <w:proofErr w:type="spellStart"/>
            <w:r w:rsidRPr="00C3316D">
              <w:rPr>
                <w:rFonts w:ascii="Times New Roman" w:eastAsia="Times New Roman" w:hAnsi="Times New Roman" w:cs="Times New Roman"/>
                <w:kern w:val="0"/>
                <w:sz w:val="20"/>
                <w:szCs w:val="20"/>
                <w:lang w:eastAsia="en-GB"/>
                <w14:ligatures w14:val="none"/>
              </w:rPr>
              <w:t>Bruchu</w:t>
            </w:r>
            <w:proofErr w:type="spellEnd"/>
            <w:r w:rsidRPr="00C3316D">
              <w:rPr>
                <w:rFonts w:ascii="Times New Roman" w:eastAsia="Times New Roman" w:hAnsi="Times New Roman" w:cs="Times New Roman"/>
                <w:kern w:val="0"/>
                <w:sz w:val="20"/>
                <w:szCs w:val="20"/>
                <w:lang w:eastAsia="en-GB"/>
                <w14:ligatures w14:val="none"/>
              </w:rPr>
              <w:t xml:space="preserve">, CW; </w:t>
            </w:r>
            <w:proofErr w:type="spellStart"/>
            <w:r w:rsidRPr="00C3316D">
              <w:rPr>
                <w:rFonts w:ascii="Times New Roman" w:eastAsia="Times New Roman" w:hAnsi="Times New Roman" w:cs="Times New Roman"/>
                <w:kern w:val="0"/>
                <w:sz w:val="20"/>
                <w:szCs w:val="20"/>
                <w:lang w:eastAsia="en-GB"/>
                <w14:ligatures w14:val="none"/>
              </w:rPr>
              <w:t>Czeck</w:t>
            </w:r>
            <w:proofErr w:type="spellEnd"/>
            <w:r w:rsidRPr="00C3316D">
              <w:rPr>
                <w:rFonts w:ascii="Times New Roman" w:eastAsia="Times New Roman" w:hAnsi="Times New Roman" w:cs="Times New Roman"/>
                <w:kern w:val="0"/>
                <w:sz w:val="20"/>
                <w:szCs w:val="20"/>
                <w:lang w:eastAsia="en-GB"/>
                <w14:ligatures w14:val="none"/>
              </w:rPr>
              <w:t>, BC; Hobbs, JMR; Zimmer, KD</w:t>
            </w:r>
          </w:p>
        </w:tc>
        <w:tc>
          <w:tcPr>
            <w:tcW w:w="5670" w:type="dxa"/>
            <w:noWrap/>
            <w:hideMark/>
          </w:tcPr>
          <w:p w14:paraId="3B7DB040"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Persistence of clear-water, shallow-lake ecosystems: the role of protected areas and stable aquatic food webs</w:t>
            </w:r>
          </w:p>
        </w:tc>
        <w:tc>
          <w:tcPr>
            <w:tcW w:w="709" w:type="dxa"/>
            <w:noWrap/>
            <w:hideMark/>
          </w:tcPr>
          <w:p w14:paraId="5FDF4DE8"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2014</w:t>
            </w:r>
          </w:p>
        </w:tc>
      </w:tr>
      <w:tr w:rsidR="00C3316D" w:rsidRPr="00C3316D" w14:paraId="511210B8" w14:textId="77777777" w:rsidTr="00C3316D">
        <w:trPr>
          <w:trHeight w:val="300"/>
        </w:trPr>
        <w:tc>
          <w:tcPr>
            <w:tcW w:w="3681" w:type="dxa"/>
            <w:noWrap/>
            <w:hideMark/>
          </w:tcPr>
          <w:p w14:paraId="0708E525"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 xml:space="preserve">Hodgson D.A.; Johnston N.M.; </w:t>
            </w:r>
            <w:proofErr w:type="spellStart"/>
            <w:r w:rsidRPr="00C3316D">
              <w:rPr>
                <w:rFonts w:ascii="Times New Roman" w:eastAsia="Times New Roman" w:hAnsi="Times New Roman" w:cs="Times New Roman"/>
                <w:kern w:val="0"/>
                <w:sz w:val="20"/>
                <w:szCs w:val="20"/>
                <w:lang w:eastAsia="en-GB"/>
                <w14:ligatures w14:val="none"/>
              </w:rPr>
              <w:t>Caulkett</w:t>
            </w:r>
            <w:proofErr w:type="spellEnd"/>
            <w:r w:rsidRPr="00C3316D">
              <w:rPr>
                <w:rFonts w:ascii="Times New Roman" w:eastAsia="Times New Roman" w:hAnsi="Times New Roman" w:cs="Times New Roman"/>
                <w:kern w:val="0"/>
                <w:sz w:val="20"/>
                <w:szCs w:val="20"/>
                <w:lang w:eastAsia="en-GB"/>
                <w14:ligatures w14:val="none"/>
              </w:rPr>
              <w:t xml:space="preserve"> A.P.; Jones V.J.</w:t>
            </w:r>
          </w:p>
        </w:tc>
        <w:tc>
          <w:tcPr>
            <w:tcW w:w="5670" w:type="dxa"/>
            <w:noWrap/>
            <w:hideMark/>
          </w:tcPr>
          <w:p w14:paraId="7B4B7502"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 xml:space="preserve">Palaeolimnology of </w:t>
            </w:r>
            <w:proofErr w:type="spellStart"/>
            <w:r w:rsidRPr="00C3316D">
              <w:rPr>
                <w:rFonts w:ascii="Times New Roman" w:eastAsia="Times New Roman" w:hAnsi="Times New Roman" w:cs="Times New Roman"/>
                <w:kern w:val="0"/>
                <w:sz w:val="20"/>
                <w:szCs w:val="20"/>
                <w:lang w:eastAsia="en-GB"/>
                <w14:ligatures w14:val="none"/>
              </w:rPr>
              <w:t>antarctic</w:t>
            </w:r>
            <w:proofErr w:type="spellEnd"/>
            <w:r w:rsidRPr="00C3316D">
              <w:rPr>
                <w:rFonts w:ascii="Times New Roman" w:eastAsia="Times New Roman" w:hAnsi="Times New Roman" w:cs="Times New Roman"/>
                <w:kern w:val="0"/>
                <w:sz w:val="20"/>
                <w:szCs w:val="20"/>
                <w:lang w:eastAsia="en-GB"/>
                <w14:ligatures w14:val="none"/>
              </w:rPr>
              <w:t xml:space="preserve"> fur seal Arctocephalus gazella populations and implications for </w:t>
            </w:r>
            <w:proofErr w:type="spellStart"/>
            <w:r w:rsidRPr="00C3316D">
              <w:rPr>
                <w:rFonts w:ascii="Times New Roman" w:eastAsia="Times New Roman" w:hAnsi="Times New Roman" w:cs="Times New Roman"/>
                <w:kern w:val="0"/>
                <w:sz w:val="20"/>
                <w:szCs w:val="20"/>
                <w:lang w:eastAsia="en-GB"/>
                <w14:ligatures w14:val="none"/>
              </w:rPr>
              <w:t>antarctic</w:t>
            </w:r>
            <w:proofErr w:type="spellEnd"/>
            <w:r w:rsidRPr="00C3316D">
              <w:rPr>
                <w:rFonts w:ascii="Times New Roman" w:eastAsia="Times New Roman" w:hAnsi="Times New Roman" w:cs="Times New Roman"/>
                <w:kern w:val="0"/>
                <w:sz w:val="20"/>
                <w:szCs w:val="20"/>
                <w:lang w:eastAsia="en-GB"/>
                <w14:ligatures w14:val="none"/>
              </w:rPr>
              <w:t xml:space="preserve"> management</w:t>
            </w:r>
          </w:p>
        </w:tc>
        <w:tc>
          <w:tcPr>
            <w:tcW w:w="709" w:type="dxa"/>
            <w:noWrap/>
            <w:hideMark/>
          </w:tcPr>
          <w:p w14:paraId="18D4D340"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1998</w:t>
            </w:r>
          </w:p>
        </w:tc>
      </w:tr>
      <w:tr w:rsidR="00C3316D" w:rsidRPr="00C3316D" w14:paraId="6B73F9C7" w14:textId="77777777" w:rsidTr="00C3316D">
        <w:trPr>
          <w:trHeight w:val="300"/>
        </w:trPr>
        <w:tc>
          <w:tcPr>
            <w:tcW w:w="3681" w:type="dxa"/>
            <w:noWrap/>
            <w:hideMark/>
          </w:tcPr>
          <w:p w14:paraId="3D18436D"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proofErr w:type="spellStart"/>
            <w:r w:rsidRPr="00C3316D">
              <w:rPr>
                <w:rFonts w:ascii="Times New Roman" w:eastAsia="Times New Roman" w:hAnsi="Times New Roman" w:cs="Times New Roman"/>
                <w:kern w:val="0"/>
                <w:sz w:val="20"/>
                <w:szCs w:val="20"/>
                <w:lang w:eastAsia="en-GB"/>
                <w14:ligatures w14:val="none"/>
              </w:rPr>
              <w:t>Köster</w:t>
            </w:r>
            <w:proofErr w:type="spellEnd"/>
            <w:r w:rsidRPr="00C3316D">
              <w:rPr>
                <w:rFonts w:ascii="Times New Roman" w:eastAsia="Times New Roman" w:hAnsi="Times New Roman" w:cs="Times New Roman"/>
                <w:kern w:val="0"/>
                <w:sz w:val="20"/>
                <w:szCs w:val="20"/>
                <w:lang w:eastAsia="en-GB"/>
                <w14:ligatures w14:val="none"/>
              </w:rPr>
              <w:t xml:space="preserve"> D.; </w:t>
            </w:r>
            <w:proofErr w:type="spellStart"/>
            <w:r w:rsidRPr="00C3316D">
              <w:rPr>
                <w:rFonts w:ascii="Times New Roman" w:eastAsia="Times New Roman" w:hAnsi="Times New Roman" w:cs="Times New Roman"/>
                <w:kern w:val="0"/>
                <w:sz w:val="20"/>
                <w:szCs w:val="20"/>
                <w:lang w:eastAsia="en-GB"/>
                <w14:ligatures w14:val="none"/>
              </w:rPr>
              <w:t>Pienitz</w:t>
            </w:r>
            <w:proofErr w:type="spellEnd"/>
            <w:r w:rsidRPr="00C3316D">
              <w:rPr>
                <w:rFonts w:ascii="Times New Roman" w:eastAsia="Times New Roman" w:hAnsi="Times New Roman" w:cs="Times New Roman"/>
                <w:kern w:val="0"/>
                <w:sz w:val="20"/>
                <w:szCs w:val="20"/>
                <w:lang w:eastAsia="en-GB"/>
                <w14:ligatures w14:val="none"/>
              </w:rPr>
              <w:t xml:space="preserve"> R.; Wolfe B.B.; Barry S.; Foster D.R.; Dixit S.S.</w:t>
            </w:r>
          </w:p>
        </w:tc>
        <w:tc>
          <w:tcPr>
            <w:tcW w:w="5670" w:type="dxa"/>
            <w:noWrap/>
            <w:hideMark/>
          </w:tcPr>
          <w:p w14:paraId="66DF8B9B"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Paleolimnological assessment of human-induced impacts on Walden Pond (Massachusetts, USA) using diatoms and stable isotopes</w:t>
            </w:r>
          </w:p>
        </w:tc>
        <w:tc>
          <w:tcPr>
            <w:tcW w:w="709" w:type="dxa"/>
            <w:noWrap/>
            <w:hideMark/>
          </w:tcPr>
          <w:p w14:paraId="28FB9F70"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2005</w:t>
            </w:r>
          </w:p>
        </w:tc>
      </w:tr>
      <w:tr w:rsidR="00C3316D" w:rsidRPr="00C3316D" w14:paraId="1806C0EA" w14:textId="77777777" w:rsidTr="00C3316D">
        <w:trPr>
          <w:trHeight w:val="300"/>
        </w:trPr>
        <w:tc>
          <w:tcPr>
            <w:tcW w:w="3681" w:type="dxa"/>
            <w:noWrap/>
            <w:hideMark/>
          </w:tcPr>
          <w:p w14:paraId="5B422C98"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 xml:space="preserve">Levine S.N.; </w:t>
            </w:r>
            <w:proofErr w:type="spellStart"/>
            <w:r w:rsidRPr="00C3316D">
              <w:rPr>
                <w:rFonts w:ascii="Times New Roman" w:eastAsia="Times New Roman" w:hAnsi="Times New Roman" w:cs="Times New Roman"/>
                <w:kern w:val="0"/>
                <w:sz w:val="20"/>
                <w:szCs w:val="20"/>
                <w:lang w:eastAsia="en-GB"/>
                <w14:ligatures w14:val="none"/>
              </w:rPr>
              <w:t>Lini</w:t>
            </w:r>
            <w:proofErr w:type="spellEnd"/>
            <w:r w:rsidRPr="00C3316D">
              <w:rPr>
                <w:rFonts w:ascii="Times New Roman" w:eastAsia="Times New Roman" w:hAnsi="Times New Roman" w:cs="Times New Roman"/>
                <w:kern w:val="0"/>
                <w:sz w:val="20"/>
                <w:szCs w:val="20"/>
                <w:lang w:eastAsia="en-GB"/>
                <w14:ligatures w14:val="none"/>
              </w:rPr>
              <w:t xml:space="preserve"> A.; </w:t>
            </w:r>
            <w:proofErr w:type="spellStart"/>
            <w:r w:rsidRPr="00C3316D">
              <w:rPr>
                <w:rFonts w:ascii="Times New Roman" w:eastAsia="Times New Roman" w:hAnsi="Times New Roman" w:cs="Times New Roman"/>
                <w:kern w:val="0"/>
                <w:sz w:val="20"/>
                <w:szCs w:val="20"/>
                <w:lang w:eastAsia="en-GB"/>
                <w14:ligatures w14:val="none"/>
              </w:rPr>
              <w:t>Ostrofsky</w:t>
            </w:r>
            <w:proofErr w:type="spellEnd"/>
            <w:r w:rsidRPr="00C3316D">
              <w:rPr>
                <w:rFonts w:ascii="Times New Roman" w:eastAsia="Times New Roman" w:hAnsi="Times New Roman" w:cs="Times New Roman"/>
                <w:kern w:val="0"/>
                <w:sz w:val="20"/>
                <w:szCs w:val="20"/>
                <w:lang w:eastAsia="en-GB"/>
                <w14:ligatures w14:val="none"/>
              </w:rPr>
              <w:t xml:space="preserve"> M.L.; Burgess-Grant H.; </w:t>
            </w:r>
            <w:proofErr w:type="spellStart"/>
            <w:r w:rsidRPr="00C3316D">
              <w:rPr>
                <w:rFonts w:ascii="Times New Roman" w:eastAsia="Times New Roman" w:hAnsi="Times New Roman" w:cs="Times New Roman"/>
                <w:kern w:val="0"/>
                <w:sz w:val="20"/>
                <w:szCs w:val="20"/>
                <w:lang w:eastAsia="en-GB"/>
                <w14:ligatures w14:val="none"/>
              </w:rPr>
              <w:t>Lami</w:t>
            </w:r>
            <w:proofErr w:type="spellEnd"/>
            <w:r w:rsidRPr="00C3316D">
              <w:rPr>
                <w:rFonts w:ascii="Times New Roman" w:eastAsia="Times New Roman" w:hAnsi="Times New Roman" w:cs="Times New Roman"/>
                <w:kern w:val="0"/>
                <w:sz w:val="20"/>
                <w:szCs w:val="20"/>
                <w:lang w:eastAsia="en-GB"/>
                <w14:ligatures w14:val="none"/>
              </w:rPr>
              <w:t xml:space="preserve"> A.; Collyer-Gilles E.; Reuter D.; </w:t>
            </w:r>
            <w:proofErr w:type="spellStart"/>
            <w:r w:rsidRPr="00C3316D">
              <w:rPr>
                <w:rFonts w:ascii="Times New Roman" w:eastAsia="Times New Roman" w:hAnsi="Times New Roman" w:cs="Times New Roman"/>
                <w:kern w:val="0"/>
                <w:sz w:val="20"/>
                <w:szCs w:val="20"/>
                <w:lang w:eastAsia="en-GB"/>
                <w14:ligatures w14:val="none"/>
              </w:rPr>
              <w:t>Schwarting</w:t>
            </w:r>
            <w:proofErr w:type="spellEnd"/>
            <w:r w:rsidRPr="00C3316D">
              <w:rPr>
                <w:rFonts w:ascii="Times New Roman" w:eastAsia="Times New Roman" w:hAnsi="Times New Roman" w:cs="Times New Roman"/>
                <w:kern w:val="0"/>
                <w:sz w:val="20"/>
                <w:szCs w:val="20"/>
                <w:lang w:eastAsia="en-GB"/>
                <w14:ligatures w14:val="none"/>
              </w:rPr>
              <w:t xml:space="preserve">-Miller L.; </w:t>
            </w:r>
            <w:proofErr w:type="spellStart"/>
            <w:r w:rsidRPr="00C3316D">
              <w:rPr>
                <w:rFonts w:ascii="Times New Roman" w:eastAsia="Times New Roman" w:hAnsi="Times New Roman" w:cs="Times New Roman"/>
                <w:kern w:val="0"/>
                <w:sz w:val="20"/>
                <w:szCs w:val="20"/>
                <w:lang w:eastAsia="en-GB"/>
                <w14:ligatures w14:val="none"/>
              </w:rPr>
              <w:t>Kamman</w:t>
            </w:r>
            <w:proofErr w:type="spellEnd"/>
            <w:r w:rsidRPr="00C3316D">
              <w:rPr>
                <w:rFonts w:ascii="Times New Roman" w:eastAsia="Times New Roman" w:hAnsi="Times New Roman" w:cs="Times New Roman"/>
                <w:kern w:val="0"/>
                <w:sz w:val="20"/>
                <w:szCs w:val="20"/>
                <w:lang w:eastAsia="en-GB"/>
                <w14:ligatures w14:val="none"/>
              </w:rPr>
              <w:t xml:space="preserve"> N.</w:t>
            </w:r>
          </w:p>
        </w:tc>
        <w:tc>
          <w:tcPr>
            <w:tcW w:w="5670" w:type="dxa"/>
            <w:noWrap/>
            <w:hideMark/>
          </w:tcPr>
          <w:p w14:paraId="14B5B33D"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The relative roles of point and nonpoint phosphorus sources in the eutrophication of Lake Champlain as recorded in sediment cores</w:t>
            </w:r>
          </w:p>
        </w:tc>
        <w:tc>
          <w:tcPr>
            <w:tcW w:w="709" w:type="dxa"/>
            <w:noWrap/>
            <w:hideMark/>
          </w:tcPr>
          <w:p w14:paraId="19A9F3D8"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2018</w:t>
            </w:r>
          </w:p>
        </w:tc>
      </w:tr>
      <w:tr w:rsidR="00C3316D" w:rsidRPr="00C3316D" w14:paraId="4767E704" w14:textId="77777777" w:rsidTr="00C3316D">
        <w:trPr>
          <w:trHeight w:val="300"/>
        </w:trPr>
        <w:tc>
          <w:tcPr>
            <w:tcW w:w="3681" w:type="dxa"/>
            <w:noWrap/>
            <w:hideMark/>
          </w:tcPr>
          <w:p w14:paraId="5623962A"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 xml:space="preserve">Manzano, S; </w:t>
            </w:r>
            <w:proofErr w:type="spellStart"/>
            <w:r w:rsidRPr="00C3316D">
              <w:rPr>
                <w:rFonts w:ascii="Times New Roman" w:eastAsia="Times New Roman" w:hAnsi="Times New Roman" w:cs="Times New Roman"/>
                <w:kern w:val="0"/>
                <w:sz w:val="20"/>
                <w:szCs w:val="20"/>
                <w:lang w:eastAsia="en-GB"/>
                <w14:ligatures w14:val="none"/>
              </w:rPr>
              <w:t>Carrión</w:t>
            </w:r>
            <w:proofErr w:type="spellEnd"/>
            <w:r w:rsidRPr="00C3316D">
              <w:rPr>
                <w:rFonts w:ascii="Times New Roman" w:eastAsia="Times New Roman" w:hAnsi="Times New Roman" w:cs="Times New Roman"/>
                <w:kern w:val="0"/>
                <w:sz w:val="20"/>
                <w:szCs w:val="20"/>
                <w:lang w:eastAsia="en-GB"/>
                <w14:ligatures w14:val="none"/>
              </w:rPr>
              <w:t>, JS; García-Murillo, P; López-Merino, L</w:t>
            </w:r>
          </w:p>
        </w:tc>
        <w:tc>
          <w:tcPr>
            <w:tcW w:w="5670" w:type="dxa"/>
            <w:noWrap/>
            <w:hideMark/>
          </w:tcPr>
          <w:p w14:paraId="2E44BC33"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 xml:space="preserve">When dynamism is the baseline: long-term ecology of a Mediterranean seasonal wetland in the </w:t>
            </w:r>
            <w:proofErr w:type="spellStart"/>
            <w:r w:rsidRPr="00C3316D">
              <w:rPr>
                <w:rFonts w:ascii="Times New Roman" w:eastAsia="Times New Roman" w:hAnsi="Times New Roman" w:cs="Times New Roman"/>
                <w:kern w:val="0"/>
                <w:sz w:val="20"/>
                <w:szCs w:val="20"/>
                <w:lang w:eastAsia="en-GB"/>
                <w14:ligatures w14:val="none"/>
              </w:rPr>
              <w:t>Donana</w:t>
            </w:r>
            <w:proofErr w:type="spellEnd"/>
            <w:r w:rsidRPr="00C3316D">
              <w:rPr>
                <w:rFonts w:ascii="Times New Roman" w:eastAsia="Times New Roman" w:hAnsi="Times New Roman" w:cs="Times New Roman"/>
                <w:kern w:val="0"/>
                <w:sz w:val="20"/>
                <w:szCs w:val="20"/>
                <w:lang w:eastAsia="en-GB"/>
                <w14:ligatures w14:val="none"/>
              </w:rPr>
              <w:t xml:space="preserve"> National Park (Southwestern Europe)</w:t>
            </w:r>
          </w:p>
        </w:tc>
        <w:tc>
          <w:tcPr>
            <w:tcW w:w="709" w:type="dxa"/>
            <w:noWrap/>
            <w:hideMark/>
          </w:tcPr>
          <w:p w14:paraId="1DF4BC6F"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2019</w:t>
            </w:r>
          </w:p>
        </w:tc>
      </w:tr>
      <w:tr w:rsidR="00C3316D" w:rsidRPr="00C3316D" w14:paraId="7B5A8F4F" w14:textId="77777777" w:rsidTr="00C3316D">
        <w:trPr>
          <w:trHeight w:val="300"/>
        </w:trPr>
        <w:tc>
          <w:tcPr>
            <w:tcW w:w="3681" w:type="dxa"/>
            <w:noWrap/>
            <w:hideMark/>
          </w:tcPr>
          <w:p w14:paraId="781659B8"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proofErr w:type="spellStart"/>
            <w:r w:rsidRPr="00C3316D">
              <w:rPr>
                <w:rFonts w:ascii="Times New Roman" w:eastAsia="Times New Roman" w:hAnsi="Times New Roman" w:cs="Times New Roman"/>
                <w:kern w:val="0"/>
                <w:sz w:val="20"/>
                <w:szCs w:val="20"/>
                <w:lang w:eastAsia="en-GB"/>
                <w14:ligatures w14:val="none"/>
              </w:rPr>
              <w:t>Maroneze</w:t>
            </w:r>
            <w:proofErr w:type="spellEnd"/>
            <w:r w:rsidRPr="00C3316D">
              <w:rPr>
                <w:rFonts w:ascii="Times New Roman" w:eastAsia="Times New Roman" w:hAnsi="Times New Roman" w:cs="Times New Roman"/>
                <w:kern w:val="0"/>
                <w:sz w:val="20"/>
                <w:szCs w:val="20"/>
                <w:lang w:eastAsia="en-GB"/>
                <w14:ligatures w14:val="none"/>
              </w:rPr>
              <w:t xml:space="preserve">, DM; Menendez, RM; Ferreira, DR; </w:t>
            </w:r>
            <w:proofErr w:type="spellStart"/>
            <w:r w:rsidRPr="00C3316D">
              <w:rPr>
                <w:rFonts w:ascii="Times New Roman" w:eastAsia="Times New Roman" w:hAnsi="Times New Roman" w:cs="Times New Roman"/>
                <w:kern w:val="0"/>
                <w:sz w:val="20"/>
                <w:szCs w:val="20"/>
                <w:lang w:eastAsia="en-GB"/>
                <w14:ligatures w14:val="none"/>
              </w:rPr>
              <w:t>Pujoni</w:t>
            </w:r>
            <w:proofErr w:type="spellEnd"/>
            <w:r w:rsidRPr="00C3316D">
              <w:rPr>
                <w:rFonts w:ascii="Times New Roman" w:eastAsia="Times New Roman" w:hAnsi="Times New Roman" w:cs="Times New Roman"/>
                <w:kern w:val="0"/>
                <w:sz w:val="20"/>
                <w:szCs w:val="20"/>
                <w:lang w:eastAsia="en-GB"/>
                <w14:ligatures w14:val="none"/>
              </w:rPr>
              <w:t xml:space="preserve">, DGF; Ferreira, PAD; </w:t>
            </w:r>
            <w:proofErr w:type="spellStart"/>
            <w:r w:rsidRPr="00C3316D">
              <w:rPr>
                <w:rFonts w:ascii="Times New Roman" w:eastAsia="Times New Roman" w:hAnsi="Times New Roman" w:cs="Times New Roman"/>
                <w:kern w:val="0"/>
                <w:sz w:val="20"/>
                <w:szCs w:val="20"/>
                <w:lang w:eastAsia="en-GB"/>
                <w14:ligatures w14:val="none"/>
              </w:rPr>
              <w:t>Figueira</w:t>
            </w:r>
            <w:proofErr w:type="spellEnd"/>
            <w:r w:rsidRPr="00C3316D">
              <w:rPr>
                <w:rFonts w:ascii="Times New Roman" w:eastAsia="Times New Roman" w:hAnsi="Times New Roman" w:cs="Times New Roman"/>
                <w:kern w:val="0"/>
                <w:sz w:val="20"/>
                <w:szCs w:val="20"/>
                <w:lang w:eastAsia="en-GB"/>
                <w14:ligatures w14:val="none"/>
              </w:rPr>
              <w:t>, RCL; Maia-Barbosa, PM</w:t>
            </w:r>
          </w:p>
        </w:tc>
        <w:tc>
          <w:tcPr>
            <w:tcW w:w="5670" w:type="dxa"/>
            <w:noWrap/>
            <w:hideMark/>
          </w:tcPr>
          <w:p w14:paraId="0C7CDCCF"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 xml:space="preserve">Paleolimnological evidence of the Inverted Trophic Cascade Hypothesis in a </w:t>
            </w:r>
            <w:proofErr w:type="gramStart"/>
            <w:r w:rsidRPr="00C3316D">
              <w:rPr>
                <w:rFonts w:ascii="Times New Roman" w:eastAsia="Times New Roman" w:hAnsi="Times New Roman" w:cs="Times New Roman"/>
                <w:kern w:val="0"/>
                <w:sz w:val="20"/>
                <w:szCs w:val="20"/>
                <w:lang w:eastAsia="en-GB"/>
                <w14:ligatures w14:val="none"/>
              </w:rPr>
              <w:t>Neotropical lake</w:t>
            </w:r>
            <w:proofErr w:type="gramEnd"/>
          </w:p>
        </w:tc>
        <w:tc>
          <w:tcPr>
            <w:tcW w:w="709" w:type="dxa"/>
            <w:noWrap/>
            <w:hideMark/>
          </w:tcPr>
          <w:p w14:paraId="2D2FB982"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2024</w:t>
            </w:r>
          </w:p>
        </w:tc>
      </w:tr>
      <w:tr w:rsidR="00C3316D" w:rsidRPr="00C3316D" w14:paraId="57C87BA0" w14:textId="77777777" w:rsidTr="00C3316D">
        <w:trPr>
          <w:trHeight w:val="300"/>
        </w:trPr>
        <w:tc>
          <w:tcPr>
            <w:tcW w:w="3681" w:type="dxa"/>
            <w:noWrap/>
            <w:hideMark/>
          </w:tcPr>
          <w:p w14:paraId="5C38B359"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proofErr w:type="spellStart"/>
            <w:r w:rsidRPr="00C3316D">
              <w:rPr>
                <w:rFonts w:ascii="Times New Roman" w:eastAsia="Times New Roman" w:hAnsi="Times New Roman" w:cs="Times New Roman"/>
                <w:kern w:val="0"/>
                <w:sz w:val="20"/>
                <w:szCs w:val="20"/>
                <w:lang w:eastAsia="en-GB"/>
                <w14:ligatures w14:val="none"/>
              </w:rPr>
              <w:t>McGlue</w:t>
            </w:r>
            <w:proofErr w:type="spellEnd"/>
            <w:r w:rsidRPr="00C3316D">
              <w:rPr>
                <w:rFonts w:ascii="Times New Roman" w:eastAsia="Times New Roman" w:hAnsi="Times New Roman" w:cs="Times New Roman"/>
                <w:kern w:val="0"/>
                <w:sz w:val="20"/>
                <w:szCs w:val="20"/>
                <w:lang w:eastAsia="en-GB"/>
                <w14:ligatures w14:val="none"/>
              </w:rPr>
              <w:t xml:space="preserve"> M.M.; Yeager K.M.; </w:t>
            </w:r>
            <w:proofErr w:type="spellStart"/>
            <w:r w:rsidRPr="00C3316D">
              <w:rPr>
                <w:rFonts w:ascii="Times New Roman" w:eastAsia="Times New Roman" w:hAnsi="Times New Roman" w:cs="Times New Roman"/>
                <w:kern w:val="0"/>
                <w:sz w:val="20"/>
                <w:szCs w:val="20"/>
                <w:lang w:eastAsia="en-GB"/>
                <w14:ligatures w14:val="none"/>
              </w:rPr>
              <w:t>Soreghan</w:t>
            </w:r>
            <w:proofErr w:type="spellEnd"/>
            <w:r w:rsidRPr="00C3316D">
              <w:rPr>
                <w:rFonts w:ascii="Times New Roman" w:eastAsia="Times New Roman" w:hAnsi="Times New Roman" w:cs="Times New Roman"/>
                <w:kern w:val="0"/>
                <w:sz w:val="20"/>
                <w:szCs w:val="20"/>
                <w:lang w:eastAsia="en-GB"/>
                <w14:ligatures w14:val="none"/>
              </w:rPr>
              <w:t xml:space="preserve"> M.J.; </w:t>
            </w:r>
            <w:proofErr w:type="spellStart"/>
            <w:r w:rsidRPr="00C3316D">
              <w:rPr>
                <w:rFonts w:ascii="Times New Roman" w:eastAsia="Times New Roman" w:hAnsi="Times New Roman" w:cs="Times New Roman"/>
                <w:kern w:val="0"/>
                <w:sz w:val="20"/>
                <w:szCs w:val="20"/>
                <w:lang w:eastAsia="en-GB"/>
                <w14:ligatures w14:val="none"/>
              </w:rPr>
              <w:t>Behm</w:t>
            </w:r>
            <w:proofErr w:type="spellEnd"/>
            <w:r w:rsidRPr="00C3316D">
              <w:rPr>
                <w:rFonts w:ascii="Times New Roman" w:eastAsia="Times New Roman" w:hAnsi="Times New Roman" w:cs="Times New Roman"/>
                <w:kern w:val="0"/>
                <w:sz w:val="20"/>
                <w:szCs w:val="20"/>
                <w:lang w:eastAsia="en-GB"/>
                <w14:ligatures w14:val="none"/>
              </w:rPr>
              <w:t xml:space="preserve"> M.; </w:t>
            </w:r>
            <w:proofErr w:type="spellStart"/>
            <w:r w:rsidRPr="00C3316D">
              <w:rPr>
                <w:rFonts w:ascii="Times New Roman" w:eastAsia="Times New Roman" w:hAnsi="Times New Roman" w:cs="Times New Roman"/>
                <w:kern w:val="0"/>
                <w:sz w:val="20"/>
                <w:szCs w:val="20"/>
                <w:lang w:eastAsia="en-GB"/>
                <w14:ligatures w14:val="none"/>
              </w:rPr>
              <w:t>Kimirei</w:t>
            </w:r>
            <w:proofErr w:type="spellEnd"/>
            <w:r w:rsidRPr="00C3316D">
              <w:rPr>
                <w:rFonts w:ascii="Times New Roman" w:eastAsia="Times New Roman" w:hAnsi="Times New Roman" w:cs="Times New Roman"/>
                <w:kern w:val="0"/>
                <w:sz w:val="20"/>
                <w:szCs w:val="20"/>
                <w:lang w:eastAsia="en-GB"/>
                <w14:ligatures w14:val="none"/>
              </w:rPr>
              <w:t xml:space="preserve"> I.A.; Cohen A.S.; Apse C.; Limbu P.; Smiley R.A.; Doering D.; Lucas J.S.; </w:t>
            </w:r>
            <w:proofErr w:type="spellStart"/>
            <w:r w:rsidRPr="00C3316D">
              <w:rPr>
                <w:rFonts w:ascii="Times New Roman" w:eastAsia="Times New Roman" w:hAnsi="Times New Roman" w:cs="Times New Roman"/>
                <w:kern w:val="0"/>
                <w:sz w:val="20"/>
                <w:szCs w:val="20"/>
                <w:lang w:eastAsia="en-GB"/>
                <w14:ligatures w14:val="none"/>
              </w:rPr>
              <w:t>Mbonde</w:t>
            </w:r>
            <w:proofErr w:type="spellEnd"/>
            <w:r w:rsidRPr="00C3316D">
              <w:rPr>
                <w:rFonts w:ascii="Times New Roman" w:eastAsia="Times New Roman" w:hAnsi="Times New Roman" w:cs="Times New Roman"/>
                <w:kern w:val="0"/>
                <w:sz w:val="20"/>
                <w:szCs w:val="20"/>
                <w:lang w:eastAsia="en-GB"/>
                <w14:ligatures w14:val="none"/>
              </w:rPr>
              <w:t xml:space="preserve"> A.; </w:t>
            </w:r>
            <w:proofErr w:type="spellStart"/>
            <w:r w:rsidRPr="00C3316D">
              <w:rPr>
                <w:rFonts w:ascii="Times New Roman" w:eastAsia="Times New Roman" w:hAnsi="Times New Roman" w:cs="Times New Roman"/>
                <w:kern w:val="0"/>
                <w:sz w:val="20"/>
                <w:szCs w:val="20"/>
                <w:lang w:eastAsia="en-GB"/>
                <w14:ligatures w14:val="none"/>
              </w:rPr>
              <w:t>McInytre</w:t>
            </w:r>
            <w:proofErr w:type="spellEnd"/>
            <w:r w:rsidRPr="00C3316D">
              <w:rPr>
                <w:rFonts w:ascii="Times New Roman" w:eastAsia="Times New Roman" w:hAnsi="Times New Roman" w:cs="Times New Roman"/>
                <w:kern w:val="0"/>
                <w:sz w:val="20"/>
                <w:szCs w:val="20"/>
                <w:lang w:eastAsia="en-GB"/>
                <w14:ligatures w14:val="none"/>
              </w:rPr>
              <w:t xml:space="preserve"> P.B.</w:t>
            </w:r>
          </w:p>
        </w:tc>
        <w:tc>
          <w:tcPr>
            <w:tcW w:w="5670" w:type="dxa"/>
            <w:noWrap/>
            <w:hideMark/>
          </w:tcPr>
          <w:p w14:paraId="06453BAC"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Spatial variability in nearshore sediment pollution in Lake Tanganyika (East Africa) and implications for fisheries conservation</w:t>
            </w:r>
          </w:p>
        </w:tc>
        <w:tc>
          <w:tcPr>
            <w:tcW w:w="709" w:type="dxa"/>
            <w:noWrap/>
            <w:hideMark/>
          </w:tcPr>
          <w:p w14:paraId="290EDCE6"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2021</w:t>
            </w:r>
          </w:p>
        </w:tc>
      </w:tr>
      <w:tr w:rsidR="00C3316D" w:rsidRPr="00C3316D" w14:paraId="7E3172F6" w14:textId="77777777" w:rsidTr="00C3316D">
        <w:trPr>
          <w:trHeight w:val="300"/>
        </w:trPr>
        <w:tc>
          <w:tcPr>
            <w:tcW w:w="3681" w:type="dxa"/>
            <w:noWrap/>
            <w:hideMark/>
          </w:tcPr>
          <w:p w14:paraId="413B87C2"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 xml:space="preserve">Montes, IY; Banegas-Medina, A; </w:t>
            </w:r>
            <w:proofErr w:type="spellStart"/>
            <w:r w:rsidRPr="00C3316D">
              <w:rPr>
                <w:rFonts w:ascii="Times New Roman" w:eastAsia="Times New Roman" w:hAnsi="Times New Roman" w:cs="Times New Roman"/>
                <w:kern w:val="0"/>
                <w:sz w:val="20"/>
                <w:szCs w:val="20"/>
                <w:lang w:eastAsia="en-GB"/>
                <w14:ligatures w14:val="none"/>
              </w:rPr>
              <w:t>Fagel</w:t>
            </w:r>
            <w:proofErr w:type="spellEnd"/>
            <w:r w:rsidRPr="00C3316D">
              <w:rPr>
                <w:rFonts w:ascii="Times New Roman" w:eastAsia="Times New Roman" w:hAnsi="Times New Roman" w:cs="Times New Roman"/>
                <w:kern w:val="0"/>
                <w:sz w:val="20"/>
                <w:szCs w:val="20"/>
                <w:lang w:eastAsia="en-GB"/>
                <w14:ligatures w14:val="none"/>
              </w:rPr>
              <w:t xml:space="preserve">, N; El </w:t>
            </w:r>
            <w:proofErr w:type="spellStart"/>
            <w:r w:rsidRPr="00C3316D">
              <w:rPr>
                <w:rFonts w:ascii="Times New Roman" w:eastAsia="Times New Roman" w:hAnsi="Times New Roman" w:cs="Times New Roman"/>
                <w:kern w:val="0"/>
                <w:sz w:val="20"/>
                <w:szCs w:val="20"/>
                <w:lang w:eastAsia="en-GB"/>
                <w14:ligatures w14:val="none"/>
              </w:rPr>
              <w:t>Ouahabi</w:t>
            </w:r>
            <w:proofErr w:type="spellEnd"/>
            <w:r w:rsidRPr="00C3316D">
              <w:rPr>
                <w:rFonts w:ascii="Times New Roman" w:eastAsia="Times New Roman" w:hAnsi="Times New Roman" w:cs="Times New Roman"/>
                <w:kern w:val="0"/>
                <w:sz w:val="20"/>
                <w:szCs w:val="20"/>
                <w:lang w:eastAsia="en-GB"/>
                <w14:ligatures w14:val="none"/>
              </w:rPr>
              <w:t xml:space="preserve">, M; </w:t>
            </w:r>
            <w:proofErr w:type="spellStart"/>
            <w:r w:rsidRPr="00C3316D">
              <w:rPr>
                <w:rFonts w:ascii="Times New Roman" w:eastAsia="Times New Roman" w:hAnsi="Times New Roman" w:cs="Times New Roman"/>
                <w:kern w:val="0"/>
                <w:sz w:val="20"/>
                <w:szCs w:val="20"/>
                <w:lang w:eastAsia="en-GB"/>
                <w14:ligatures w14:val="none"/>
              </w:rPr>
              <w:t>Verleyen</w:t>
            </w:r>
            <w:proofErr w:type="spellEnd"/>
            <w:r w:rsidRPr="00C3316D">
              <w:rPr>
                <w:rFonts w:ascii="Times New Roman" w:eastAsia="Times New Roman" w:hAnsi="Times New Roman" w:cs="Times New Roman"/>
                <w:kern w:val="0"/>
                <w:sz w:val="20"/>
                <w:szCs w:val="20"/>
                <w:lang w:eastAsia="en-GB"/>
                <w14:ligatures w14:val="none"/>
              </w:rPr>
              <w:t xml:space="preserve">, E; Alvarez, D; </w:t>
            </w:r>
            <w:proofErr w:type="spellStart"/>
            <w:r w:rsidRPr="00C3316D">
              <w:rPr>
                <w:rFonts w:ascii="Times New Roman" w:eastAsia="Times New Roman" w:hAnsi="Times New Roman" w:cs="Times New Roman"/>
                <w:kern w:val="0"/>
                <w:sz w:val="20"/>
                <w:szCs w:val="20"/>
                <w:lang w:eastAsia="en-GB"/>
                <w14:ligatures w14:val="none"/>
              </w:rPr>
              <w:t>Torrejón</w:t>
            </w:r>
            <w:proofErr w:type="spellEnd"/>
            <w:r w:rsidRPr="00C3316D">
              <w:rPr>
                <w:rFonts w:ascii="Times New Roman" w:eastAsia="Times New Roman" w:hAnsi="Times New Roman" w:cs="Times New Roman"/>
                <w:kern w:val="0"/>
                <w:sz w:val="20"/>
                <w:szCs w:val="20"/>
                <w:lang w:eastAsia="en-GB"/>
                <w14:ligatures w14:val="none"/>
              </w:rPr>
              <w:t xml:space="preserve">, F; Schmidt, S; </w:t>
            </w:r>
            <w:proofErr w:type="spellStart"/>
            <w:r w:rsidRPr="00C3316D">
              <w:rPr>
                <w:rFonts w:ascii="Times New Roman" w:eastAsia="Times New Roman" w:hAnsi="Times New Roman" w:cs="Times New Roman"/>
                <w:kern w:val="0"/>
                <w:sz w:val="20"/>
                <w:szCs w:val="20"/>
                <w:lang w:eastAsia="en-GB"/>
                <w14:ligatures w14:val="none"/>
              </w:rPr>
              <w:t>Lepoint</w:t>
            </w:r>
            <w:proofErr w:type="spellEnd"/>
            <w:r w:rsidRPr="00C3316D">
              <w:rPr>
                <w:rFonts w:ascii="Times New Roman" w:eastAsia="Times New Roman" w:hAnsi="Times New Roman" w:cs="Times New Roman"/>
                <w:kern w:val="0"/>
                <w:sz w:val="20"/>
                <w:szCs w:val="20"/>
                <w:lang w:eastAsia="en-GB"/>
                <w14:ligatures w14:val="none"/>
              </w:rPr>
              <w:t xml:space="preserve">, G; Diaz, G; </w:t>
            </w:r>
            <w:proofErr w:type="spellStart"/>
            <w:r w:rsidRPr="00C3316D">
              <w:rPr>
                <w:rFonts w:ascii="Times New Roman" w:eastAsia="Times New Roman" w:hAnsi="Times New Roman" w:cs="Times New Roman"/>
                <w:kern w:val="0"/>
                <w:sz w:val="20"/>
                <w:szCs w:val="20"/>
                <w:lang w:eastAsia="en-GB"/>
                <w14:ligatures w14:val="none"/>
              </w:rPr>
              <w:t>Pedreros</w:t>
            </w:r>
            <w:proofErr w:type="spellEnd"/>
            <w:r w:rsidRPr="00C3316D">
              <w:rPr>
                <w:rFonts w:ascii="Times New Roman" w:eastAsia="Times New Roman" w:hAnsi="Times New Roman" w:cs="Times New Roman"/>
                <w:kern w:val="0"/>
                <w:sz w:val="20"/>
                <w:szCs w:val="20"/>
                <w:lang w:eastAsia="en-GB"/>
                <w14:ligatures w14:val="none"/>
              </w:rPr>
              <w:t>, P; Urrutia, R</w:t>
            </w:r>
          </w:p>
        </w:tc>
        <w:tc>
          <w:tcPr>
            <w:tcW w:w="5670" w:type="dxa"/>
            <w:noWrap/>
            <w:hideMark/>
          </w:tcPr>
          <w:p w14:paraId="23D40721"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 xml:space="preserve">Late Holocene </w:t>
            </w:r>
            <w:proofErr w:type="spellStart"/>
            <w:r w:rsidRPr="00C3316D">
              <w:rPr>
                <w:rFonts w:ascii="Times New Roman" w:eastAsia="Times New Roman" w:hAnsi="Times New Roman" w:cs="Times New Roman"/>
                <w:kern w:val="0"/>
                <w:sz w:val="20"/>
                <w:szCs w:val="20"/>
                <w:lang w:eastAsia="en-GB"/>
                <w14:ligatures w14:val="none"/>
              </w:rPr>
              <w:t>Paleonvironmental</w:t>
            </w:r>
            <w:proofErr w:type="spellEnd"/>
            <w:r w:rsidRPr="00C3316D">
              <w:rPr>
                <w:rFonts w:ascii="Times New Roman" w:eastAsia="Times New Roman" w:hAnsi="Times New Roman" w:cs="Times New Roman"/>
                <w:kern w:val="0"/>
                <w:sz w:val="20"/>
                <w:szCs w:val="20"/>
                <w:lang w:eastAsia="en-GB"/>
                <w14:ligatures w14:val="none"/>
              </w:rPr>
              <w:t xml:space="preserve"> Evolution of Two Coastal Lakes in Mediterranean Chile and Its Implications for Conservation Planning</w:t>
            </w:r>
          </w:p>
        </w:tc>
        <w:tc>
          <w:tcPr>
            <w:tcW w:w="709" w:type="dxa"/>
            <w:noWrap/>
            <w:hideMark/>
          </w:tcPr>
          <w:p w14:paraId="182234D0"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2021</w:t>
            </w:r>
          </w:p>
        </w:tc>
      </w:tr>
      <w:tr w:rsidR="00C3316D" w:rsidRPr="00C3316D" w14:paraId="37AD3548" w14:textId="77777777" w:rsidTr="00C3316D">
        <w:trPr>
          <w:trHeight w:val="300"/>
        </w:trPr>
        <w:tc>
          <w:tcPr>
            <w:tcW w:w="3681" w:type="dxa"/>
            <w:noWrap/>
            <w:hideMark/>
          </w:tcPr>
          <w:p w14:paraId="4A1451C2"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 xml:space="preserve">Moos MT, </w:t>
            </w:r>
            <w:proofErr w:type="spellStart"/>
            <w:r w:rsidRPr="00C3316D">
              <w:rPr>
                <w:rFonts w:ascii="Times New Roman" w:eastAsia="Times New Roman" w:hAnsi="Times New Roman" w:cs="Times New Roman"/>
                <w:kern w:val="0"/>
                <w:sz w:val="20"/>
                <w:szCs w:val="20"/>
                <w:lang w:eastAsia="en-GB"/>
                <w14:ligatures w14:val="none"/>
              </w:rPr>
              <w:t>Taffs</w:t>
            </w:r>
            <w:proofErr w:type="spellEnd"/>
            <w:r w:rsidRPr="00C3316D">
              <w:rPr>
                <w:rFonts w:ascii="Times New Roman" w:eastAsia="Times New Roman" w:hAnsi="Times New Roman" w:cs="Times New Roman"/>
                <w:kern w:val="0"/>
                <w:sz w:val="20"/>
                <w:szCs w:val="20"/>
                <w:lang w:eastAsia="en-GB"/>
                <w14:ligatures w14:val="none"/>
              </w:rPr>
              <w:t xml:space="preserve"> KH, Longstaff BJ, Ginn BK.</w:t>
            </w:r>
          </w:p>
        </w:tc>
        <w:tc>
          <w:tcPr>
            <w:tcW w:w="5670" w:type="dxa"/>
            <w:noWrap/>
            <w:hideMark/>
          </w:tcPr>
          <w:p w14:paraId="08916C34"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Establishing ecological reference conditions and tracking post-application effectiveness of lanthanum-saturated bentonite clay (</w:t>
            </w:r>
            <w:proofErr w:type="spellStart"/>
            <w:r w:rsidRPr="00C3316D">
              <w:rPr>
                <w:rFonts w:ascii="Times New Roman" w:eastAsia="Times New Roman" w:hAnsi="Times New Roman" w:cs="Times New Roman"/>
                <w:kern w:val="0"/>
                <w:sz w:val="20"/>
                <w:szCs w:val="20"/>
                <w:lang w:eastAsia="en-GB"/>
                <w14:ligatures w14:val="none"/>
              </w:rPr>
              <w:t>Phoslock</w:t>
            </w:r>
            <w:proofErr w:type="spellEnd"/>
            <w:r w:rsidRPr="00C3316D">
              <w:rPr>
                <w:rFonts w:ascii="Times New Roman" w:eastAsia="Times New Roman" w:hAnsi="Times New Roman" w:cs="Times New Roman"/>
                <w:kern w:val="0"/>
                <w:sz w:val="20"/>
                <w:szCs w:val="20"/>
                <w:lang w:eastAsia="en-GB"/>
                <w14:ligatures w14:val="none"/>
              </w:rPr>
              <w:t>®) for reducing phosphorus in aquatic systems: an applied paleolimnological approach</w:t>
            </w:r>
          </w:p>
        </w:tc>
        <w:tc>
          <w:tcPr>
            <w:tcW w:w="709" w:type="dxa"/>
            <w:noWrap/>
            <w:hideMark/>
          </w:tcPr>
          <w:p w14:paraId="4DF0A982"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2014</w:t>
            </w:r>
          </w:p>
        </w:tc>
      </w:tr>
      <w:tr w:rsidR="00C3316D" w:rsidRPr="00C3316D" w14:paraId="4C6B7D6B" w14:textId="77777777" w:rsidTr="00C3316D">
        <w:trPr>
          <w:trHeight w:val="300"/>
        </w:trPr>
        <w:tc>
          <w:tcPr>
            <w:tcW w:w="3681" w:type="dxa"/>
            <w:noWrap/>
            <w:hideMark/>
          </w:tcPr>
          <w:p w14:paraId="0AE1D1D1"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 xml:space="preserve">Reed J.M.; </w:t>
            </w:r>
            <w:proofErr w:type="spellStart"/>
            <w:r w:rsidRPr="00C3316D">
              <w:rPr>
                <w:rFonts w:ascii="Times New Roman" w:eastAsia="Times New Roman" w:hAnsi="Times New Roman" w:cs="Times New Roman"/>
                <w:kern w:val="0"/>
                <w:sz w:val="20"/>
                <w:szCs w:val="20"/>
                <w:lang w:eastAsia="en-GB"/>
                <w14:ligatures w14:val="none"/>
              </w:rPr>
              <w:t>Leng</w:t>
            </w:r>
            <w:proofErr w:type="spellEnd"/>
            <w:r w:rsidRPr="00C3316D">
              <w:rPr>
                <w:rFonts w:ascii="Times New Roman" w:eastAsia="Times New Roman" w:hAnsi="Times New Roman" w:cs="Times New Roman"/>
                <w:kern w:val="0"/>
                <w:sz w:val="20"/>
                <w:szCs w:val="20"/>
                <w:lang w:eastAsia="en-GB"/>
                <w14:ligatures w14:val="none"/>
              </w:rPr>
              <w:t xml:space="preserve"> M.J.; Ryan S.; Black S.; </w:t>
            </w:r>
            <w:proofErr w:type="spellStart"/>
            <w:r w:rsidRPr="00C3316D">
              <w:rPr>
                <w:rFonts w:ascii="Times New Roman" w:eastAsia="Times New Roman" w:hAnsi="Times New Roman" w:cs="Times New Roman"/>
                <w:kern w:val="0"/>
                <w:sz w:val="20"/>
                <w:szCs w:val="20"/>
                <w:lang w:eastAsia="en-GB"/>
                <w14:ligatures w14:val="none"/>
              </w:rPr>
              <w:t>Altinsaçli</w:t>
            </w:r>
            <w:proofErr w:type="spellEnd"/>
            <w:r w:rsidRPr="00C3316D">
              <w:rPr>
                <w:rFonts w:ascii="Times New Roman" w:eastAsia="Times New Roman" w:hAnsi="Times New Roman" w:cs="Times New Roman"/>
                <w:kern w:val="0"/>
                <w:sz w:val="20"/>
                <w:szCs w:val="20"/>
                <w:lang w:eastAsia="en-GB"/>
                <w14:ligatures w14:val="none"/>
              </w:rPr>
              <w:t xml:space="preserve"> S.; Griffiths H.I.</w:t>
            </w:r>
          </w:p>
        </w:tc>
        <w:tc>
          <w:tcPr>
            <w:tcW w:w="5670" w:type="dxa"/>
            <w:noWrap/>
            <w:hideMark/>
          </w:tcPr>
          <w:p w14:paraId="143AFD6B"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 xml:space="preserve">Recent habitat degradation in karstic Lake </w:t>
            </w:r>
            <w:proofErr w:type="spellStart"/>
            <w:r w:rsidRPr="00C3316D">
              <w:rPr>
                <w:rFonts w:ascii="Times New Roman" w:eastAsia="Times New Roman" w:hAnsi="Times New Roman" w:cs="Times New Roman"/>
                <w:kern w:val="0"/>
                <w:sz w:val="20"/>
                <w:szCs w:val="20"/>
                <w:lang w:eastAsia="en-GB"/>
                <w14:ligatures w14:val="none"/>
              </w:rPr>
              <w:t>Uluabat</w:t>
            </w:r>
            <w:proofErr w:type="spellEnd"/>
            <w:r w:rsidRPr="00C3316D">
              <w:rPr>
                <w:rFonts w:ascii="Times New Roman" w:eastAsia="Times New Roman" w:hAnsi="Times New Roman" w:cs="Times New Roman"/>
                <w:kern w:val="0"/>
                <w:sz w:val="20"/>
                <w:szCs w:val="20"/>
                <w:lang w:eastAsia="en-GB"/>
                <w14:ligatures w14:val="none"/>
              </w:rPr>
              <w:t>, western Turkey: A coupled limnological-palaeolimnological approach</w:t>
            </w:r>
          </w:p>
        </w:tc>
        <w:tc>
          <w:tcPr>
            <w:tcW w:w="709" w:type="dxa"/>
            <w:noWrap/>
            <w:hideMark/>
          </w:tcPr>
          <w:p w14:paraId="3618B814"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2008</w:t>
            </w:r>
          </w:p>
        </w:tc>
      </w:tr>
      <w:tr w:rsidR="00C3316D" w:rsidRPr="00C3316D" w14:paraId="266BEADA" w14:textId="77777777" w:rsidTr="00C3316D">
        <w:trPr>
          <w:trHeight w:val="300"/>
        </w:trPr>
        <w:tc>
          <w:tcPr>
            <w:tcW w:w="3681" w:type="dxa"/>
            <w:noWrap/>
            <w:hideMark/>
          </w:tcPr>
          <w:p w14:paraId="52B7511B"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 xml:space="preserve">Ritter C.; Gonçalves V.; Pla-Rabes S.; de Boer E.J.; Bao R.; </w:t>
            </w:r>
            <w:proofErr w:type="spellStart"/>
            <w:r w:rsidRPr="00C3316D">
              <w:rPr>
                <w:rFonts w:ascii="Times New Roman" w:eastAsia="Times New Roman" w:hAnsi="Times New Roman" w:cs="Times New Roman"/>
                <w:kern w:val="0"/>
                <w:sz w:val="20"/>
                <w:szCs w:val="20"/>
                <w:lang w:eastAsia="en-GB"/>
                <w14:ligatures w14:val="none"/>
              </w:rPr>
              <w:t>Sáez</w:t>
            </w:r>
            <w:proofErr w:type="spellEnd"/>
            <w:r w:rsidRPr="00C3316D">
              <w:rPr>
                <w:rFonts w:ascii="Times New Roman" w:eastAsia="Times New Roman" w:hAnsi="Times New Roman" w:cs="Times New Roman"/>
                <w:kern w:val="0"/>
                <w:sz w:val="20"/>
                <w:szCs w:val="20"/>
                <w:lang w:eastAsia="en-GB"/>
                <w14:ligatures w14:val="none"/>
              </w:rPr>
              <w:t xml:space="preserve"> A.; Hernández A.; </w:t>
            </w:r>
            <w:proofErr w:type="spellStart"/>
            <w:r w:rsidRPr="00C3316D">
              <w:rPr>
                <w:rFonts w:ascii="Times New Roman" w:eastAsia="Times New Roman" w:hAnsi="Times New Roman" w:cs="Times New Roman"/>
                <w:kern w:val="0"/>
                <w:sz w:val="20"/>
                <w:szCs w:val="20"/>
                <w:lang w:eastAsia="en-GB"/>
                <w14:ligatures w14:val="none"/>
              </w:rPr>
              <w:t>Sixto</w:t>
            </w:r>
            <w:proofErr w:type="spellEnd"/>
            <w:r w:rsidRPr="00C3316D">
              <w:rPr>
                <w:rFonts w:ascii="Times New Roman" w:eastAsia="Times New Roman" w:hAnsi="Times New Roman" w:cs="Times New Roman"/>
                <w:kern w:val="0"/>
                <w:sz w:val="20"/>
                <w:szCs w:val="20"/>
                <w:lang w:eastAsia="en-GB"/>
                <w14:ligatures w14:val="none"/>
              </w:rPr>
              <w:t xml:space="preserve"> M.; Richter N.; </w:t>
            </w:r>
            <w:proofErr w:type="spellStart"/>
            <w:r w:rsidRPr="00C3316D">
              <w:rPr>
                <w:rFonts w:ascii="Times New Roman" w:eastAsia="Times New Roman" w:hAnsi="Times New Roman" w:cs="Times New Roman"/>
                <w:kern w:val="0"/>
                <w:sz w:val="20"/>
                <w:szCs w:val="20"/>
                <w:lang w:eastAsia="en-GB"/>
                <w14:ligatures w14:val="none"/>
              </w:rPr>
              <w:t>Benavente</w:t>
            </w:r>
            <w:proofErr w:type="spellEnd"/>
            <w:r w:rsidRPr="00C3316D">
              <w:rPr>
                <w:rFonts w:ascii="Times New Roman" w:eastAsia="Times New Roman" w:hAnsi="Times New Roman" w:cs="Times New Roman"/>
                <w:kern w:val="0"/>
                <w:sz w:val="20"/>
                <w:szCs w:val="20"/>
                <w:lang w:eastAsia="en-GB"/>
                <w14:ligatures w14:val="none"/>
              </w:rPr>
              <w:t xml:space="preserve"> M.; Prego R.; Giralt S.; </w:t>
            </w:r>
            <w:proofErr w:type="spellStart"/>
            <w:r w:rsidRPr="00C3316D">
              <w:rPr>
                <w:rFonts w:ascii="Times New Roman" w:eastAsia="Times New Roman" w:hAnsi="Times New Roman" w:cs="Times New Roman"/>
                <w:kern w:val="0"/>
                <w:sz w:val="20"/>
                <w:szCs w:val="20"/>
                <w:lang w:eastAsia="en-GB"/>
                <w14:ligatures w14:val="none"/>
              </w:rPr>
              <w:t>Raposeiro</w:t>
            </w:r>
            <w:proofErr w:type="spellEnd"/>
            <w:r w:rsidRPr="00C3316D">
              <w:rPr>
                <w:rFonts w:ascii="Times New Roman" w:eastAsia="Times New Roman" w:hAnsi="Times New Roman" w:cs="Times New Roman"/>
                <w:kern w:val="0"/>
                <w:sz w:val="20"/>
                <w:szCs w:val="20"/>
                <w:lang w:eastAsia="en-GB"/>
                <w14:ligatures w14:val="none"/>
              </w:rPr>
              <w:t xml:space="preserve"> P.M.</w:t>
            </w:r>
          </w:p>
        </w:tc>
        <w:tc>
          <w:tcPr>
            <w:tcW w:w="5670" w:type="dxa"/>
            <w:noWrap/>
            <w:hideMark/>
          </w:tcPr>
          <w:p w14:paraId="5DAF4D7A"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The vanishing and the establishment of a new ecosystem on an oceanic island – Anthropogenic impacts with no return ticket</w:t>
            </w:r>
          </w:p>
        </w:tc>
        <w:tc>
          <w:tcPr>
            <w:tcW w:w="709" w:type="dxa"/>
            <w:noWrap/>
            <w:hideMark/>
          </w:tcPr>
          <w:p w14:paraId="293C24E7"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2022</w:t>
            </w:r>
          </w:p>
        </w:tc>
      </w:tr>
      <w:tr w:rsidR="00C3316D" w:rsidRPr="00C3316D" w14:paraId="0BB5DEC7" w14:textId="77777777" w:rsidTr="00C3316D">
        <w:trPr>
          <w:trHeight w:val="300"/>
        </w:trPr>
        <w:tc>
          <w:tcPr>
            <w:tcW w:w="3681" w:type="dxa"/>
            <w:noWrap/>
            <w:hideMark/>
          </w:tcPr>
          <w:p w14:paraId="151D85C3"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Robson, HJ; Jones, VJ; Brooks, SJ; Sayer, CD; Douse, A; Hilton, GM</w:t>
            </w:r>
          </w:p>
        </w:tc>
        <w:tc>
          <w:tcPr>
            <w:tcW w:w="5670" w:type="dxa"/>
            <w:noWrap/>
            <w:hideMark/>
          </w:tcPr>
          <w:p w14:paraId="28A15824"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 xml:space="preserve">Borrowing from the </w:t>
            </w:r>
            <w:proofErr w:type="gramStart"/>
            <w:r w:rsidRPr="00C3316D">
              <w:rPr>
                <w:rFonts w:ascii="Times New Roman" w:eastAsia="Times New Roman" w:hAnsi="Times New Roman" w:cs="Times New Roman"/>
                <w:kern w:val="0"/>
                <w:sz w:val="20"/>
                <w:szCs w:val="20"/>
                <w:lang w:eastAsia="en-GB"/>
                <w14:ligatures w14:val="none"/>
              </w:rPr>
              <w:t>palaeolimnologists</w:t>
            </w:r>
            <w:proofErr w:type="gramEnd"/>
            <w:r w:rsidRPr="00C3316D">
              <w:rPr>
                <w:rFonts w:ascii="Times New Roman" w:eastAsia="Times New Roman" w:hAnsi="Times New Roman" w:cs="Times New Roman"/>
                <w:kern w:val="0"/>
                <w:sz w:val="20"/>
                <w:szCs w:val="20"/>
                <w:lang w:eastAsia="en-GB"/>
                <w14:ligatures w14:val="none"/>
              </w:rPr>
              <w:t xml:space="preserve"> toolkit; the use of lake sediment cores in diagnosing the causes of freshwater species decline</w:t>
            </w:r>
          </w:p>
        </w:tc>
        <w:tc>
          <w:tcPr>
            <w:tcW w:w="709" w:type="dxa"/>
            <w:noWrap/>
            <w:hideMark/>
          </w:tcPr>
          <w:p w14:paraId="50BF2FCC"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2023</w:t>
            </w:r>
          </w:p>
        </w:tc>
      </w:tr>
      <w:tr w:rsidR="00C3316D" w:rsidRPr="00C3316D" w14:paraId="394107FD" w14:textId="77777777" w:rsidTr="00C3316D">
        <w:trPr>
          <w:trHeight w:val="300"/>
        </w:trPr>
        <w:tc>
          <w:tcPr>
            <w:tcW w:w="3681" w:type="dxa"/>
            <w:noWrap/>
            <w:hideMark/>
          </w:tcPr>
          <w:p w14:paraId="5B3022ED"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Ruiz-Fernández, AC; Sanchez-Cabeza, JA; Blaauw, M; Pérez-Bernal, LH; Cardoso-</w:t>
            </w:r>
            <w:proofErr w:type="spellStart"/>
            <w:r w:rsidRPr="00C3316D">
              <w:rPr>
                <w:rFonts w:ascii="Times New Roman" w:eastAsia="Times New Roman" w:hAnsi="Times New Roman" w:cs="Times New Roman"/>
                <w:kern w:val="0"/>
                <w:sz w:val="20"/>
                <w:szCs w:val="20"/>
                <w:lang w:eastAsia="en-GB"/>
                <w14:ligatures w14:val="none"/>
              </w:rPr>
              <w:t>Mohedano</w:t>
            </w:r>
            <w:proofErr w:type="spellEnd"/>
            <w:r w:rsidRPr="00C3316D">
              <w:rPr>
                <w:rFonts w:ascii="Times New Roman" w:eastAsia="Times New Roman" w:hAnsi="Times New Roman" w:cs="Times New Roman"/>
                <w:kern w:val="0"/>
                <w:sz w:val="20"/>
                <w:szCs w:val="20"/>
                <w:lang w:eastAsia="en-GB"/>
                <w14:ligatures w14:val="none"/>
              </w:rPr>
              <w:t xml:space="preserve">, JG; Aquino-López, MA; </w:t>
            </w:r>
            <w:proofErr w:type="spellStart"/>
            <w:r w:rsidRPr="00C3316D">
              <w:rPr>
                <w:rFonts w:ascii="Times New Roman" w:eastAsia="Times New Roman" w:hAnsi="Times New Roman" w:cs="Times New Roman"/>
                <w:kern w:val="0"/>
                <w:sz w:val="20"/>
                <w:szCs w:val="20"/>
                <w:lang w:eastAsia="en-GB"/>
                <w14:ligatures w14:val="none"/>
              </w:rPr>
              <w:t>Keaveney</w:t>
            </w:r>
            <w:proofErr w:type="spellEnd"/>
            <w:r w:rsidRPr="00C3316D">
              <w:rPr>
                <w:rFonts w:ascii="Times New Roman" w:eastAsia="Times New Roman" w:hAnsi="Times New Roman" w:cs="Times New Roman"/>
                <w:kern w:val="0"/>
                <w:sz w:val="20"/>
                <w:szCs w:val="20"/>
                <w:lang w:eastAsia="en-GB"/>
                <w14:ligatures w14:val="none"/>
              </w:rPr>
              <w:t>, E; Giralt, S</w:t>
            </w:r>
          </w:p>
        </w:tc>
        <w:tc>
          <w:tcPr>
            <w:tcW w:w="5670" w:type="dxa"/>
            <w:noWrap/>
            <w:hideMark/>
          </w:tcPr>
          <w:p w14:paraId="60B8C57F"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Historical reconstruction of sediment accumulation rates as an indicator of global change impacts in a tropical crater lake</w:t>
            </w:r>
          </w:p>
        </w:tc>
        <w:tc>
          <w:tcPr>
            <w:tcW w:w="709" w:type="dxa"/>
            <w:noWrap/>
            <w:hideMark/>
          </w:tcPr>
          <w:p w14:paraId="2B7D8C74"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2022</w:t>
            </w:r>
          </w:p>
        </w:tc>
      </w:tr>
      <w:tr w:rsidR="00C3316D" w:rsidRPr="00C3316D" w14:paraId="59876BC4" w14:textId="77777777" w:rsidTr="00C3316D">
        <w:trPr>
          <w:trHeight w:val="300"/>
        </w:trPr>
        <w:tc>
          <w:tcPr>
            <w:tcW w:w="3681" w:type="dxa"/>
            <w:noWrap/>
            <w:hideMark/>
          </w:tcPr>
          <w:p w14:paraId="0EDC4F6D"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lastRenderedPageBreak/>
              <w:t xml:space="preserve">Salgado J.; </w:t>
            </w:r>
            <w:proofErr w:type="spellStart"/>
            <w:r w:rsidRPr="00C3316D">
              <w:rPr>
                <w:rFonts w:ascii="Times New Roman" w:eastAsia="Times New Roman" w:hAnsi="Times New Roman" w:cs="Times New Roman"/>
                <w:kern w:val="0"/>
                <w:sz w:val="20"/>
                <w:szCs w:val="20"/>
                <w:lang w:eastAsia="en-GB"/>
                <w14:ligatures w14:val="none"/>
              </w:rPr>
              <w:t>Vélez</w:t>
            </w:r>
            <w:proofErr w:type="spellEnd"/>
            <w:r w:rsidRPr="00C3316D">
              <w:rPr>
                <w:rFonts w:ascii="Times New Roman" w:eastAsia="Times New Roman" w:hAnsi="Times New Roman" w:cs="Times New Roman"/>
                <w:kern w:val="0"/>
                <w:sz w:val="20"/>
                <w:szCs w:val="20"/>
                <w:lang w:eastAsia="en-GB"/>
                <w14:ligatures w14:val="none"/>
              </w:rPr>
              <w:t xml:space="preserve"> M.I.; González-Arango C.; O'Dea A.</w:t>
            </w:r>
          </w:p>
        </w:tc>
        <w:tc>
          <w:tcPr>
            <w:tcW w:w="5670" w:type="dxa"/>
            <w:noWrap/>
            <w:hideMark/>
          </w:tcPr>
          <w:p w14:paraId="34DFCC42"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Protected land enhances the survival of native aquatic macrophytes and limits invasive species spread in the Panama Canal</w:t>
            </w:r>
          </w:p>
        </w:tc>
        <w:tc>
          <w:tcPr>
            <w:tcW w:w="709" w:type="dxa"/>
            <w:noWrap/>
            <w:hideMark/>
          </w:tcPr>
          <w:p w14:paraId="08ABDAA5"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2023</w:t>
            </w:r>
          </w:p>
        </w:tc>
      </w:tr>
      <w:tr w:rsidR="00C3316D" w:rsidRPr="00C3316D" w14:paraId="336CF8B5" w14:textId="77777777" w:rsidTr="00C3316D">
        <w:trPr>
          <w:trHeight w:val="300"/>
        </w:trPr>
        <w:tc>
          <w:tcPr>
            <w:tcW w:w="3681" w:type="dxa"/>
            <w:noWrap/>
            <w:hideMark/>
          </w:tcPr>
          <w:p w14:paraId="3B3E36EA"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Salgado, J; Sayer, C; Carvalho, L; Davidson, T; Gunn, I</w:t>
            </w:r>
          </w:p>
        </w:tc>
        <w:tc>
          <w:tcPr>
            <w:tcW w:w="5670" w:type="dxa"/>
            <w:noWrap/>
            <w:hideMark/>
          </w:tcPr>
          <w:p w14:paraId="5CCD7A62"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Assessing aquatic macrophyte community change through the integration of palaeolimnological and historical data at Loch Leven, Scotland</w:t>
            </w:r>
          </w:p>
        </w:tc>
        <w:tc>
          <w:tcPr>
            <w:tcW w:w="709" w:type="dxa"/>
            <w:noWrap/>
            <w:hideMark/>
          </w:tcPr>
          <w:p w14:paraId="51DCF777"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2010</w:t>
            </w:r>
          </w:p>
        </w:tc>
      </w:tr>
      <w:tr w:rsidR="00C3316D" w:rsidRPr="00C3316D" w14:paraId="217317CF" w14:textId="77777777" w:rsidTr="00C3316D">
        <w:trPr>
          <w:trHeight w:val="300"/>
        </w:trPr>
        <w:tc>
          <w:tcPr>
            <w:tcW w:w="3681" w:type="dxa"/>
            <w:noWrap/>
            <w:hideMark/>
          </w:tcPr>
          <w:p w14:paraId="768DF8A4"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 xml:space="preserve">Salgado, J; Sayer, CD; Brooks, SJ; Davidson, TA; Baker, AG; </w:t>
            </w:r>
            <w:proofErr w:type="spellStart"/>
            <w:r w:rsidRPr="00C3316D">
              <w:rPr>
                <w:rFonts w:ascii="Times New Roman" w:eastAsia="Times New Roman" w:hAnsi="Times New Roman" w:cs="Times New Roman"/>
                <w:kern w:val="0"/>
                <w:sz w:val="20"/>
                <w:szCs w:val="20"/>
                <w:lang w:eastAsia="en-GB"/>
                <w14:ligatures w14:val="none"/>
              </w:rPr>
              <w:t>Willby</w:t>
            </w:r>
            <w:proofErr w:type="spellEnd"/>
            <w:r w:rsidRPr="00C3316D">
              <w:rPr>
                <w:rFonts w:ascii="Times New Roman" w:eastAsia="Times New Roman" w:hAnsi="Times New Roman" w:cs="Times New Roman"/>
                <w:kern w:val="0"/>
                <w:sz w:val="20"/>
                <w:szCs w:val="20"/>
                <w:lang w:eastAsia="en-GB"/>
                <w14:ligatures w14:val="none"/>
              </w:rPr>
              <w:t>, N; Patmore, IR; Goldsmith, B; Bennion, H; Okamura, B</w:t>
            </w:r>
          </w:p>
        </w:tc>
        <w:tc>
          <w:tcPr>
            <w:tcW w:w="5670" w:type="dxa"/>
            <w:noWrap/>
            <w:hideMark/>
          </w:tcPr>
          <w:p w14:paraId="3F8890F5"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Connectivity and zebra mussel invasion offer short-term buffering of eutrophication impacts on floodplain lake landscape biodiversity</w:t>
            </w:r>
          </w:p>
        </w:tc>
        <w:tc>
          <w:tcPr>
            <w:tcW w:w="709" w:type="dxa"/>
            <w:noWrap/>
            <w:hideMark/>
          </w:tcPr>
          <w:p w14:paraId="752DD7B3"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2019</w:t>
            </w:r>
          </w:p>
        </w:tc>
      </w:tr>
      <w:tr w:rsidR="00C3316D" w:rsidRPr="00C3316D" w14:paraId="643EB5E0" w14:textId="77777777" w:rsidTr="00C3316D">
        <w:trPr>
          <w:trHeight w:val="300"/>
        </w:trPr>
        <w:tc>
          <w:tcPr>
            <w:tcW w:w="3681" w:type="dxa"/>
            <w:noWrap/>
            <w:hideMark/>
          </w:tcPr>
          <w:p w14:paraId="57652728"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Saunders, KM; Hodgson, DA; Harrison, J; McMinn, A</w:t>
            </w:r>
          </w:p>
        </w:tc>
        <w:tc>
          <w:tcPr>
            <w:tcW w:w="5670" w:type="dxa"/>
            <w:noWrap/>
            <w:hideMark/>
          </w:tcPr>
          <w:p w14:paraId="5E9C03E5"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Palaeoecological tools for improving the management of coastal ecosystems: a case study from Lake King (Gippsland Lakes) Australia</w:t>
            </w:r>
          </w:p>
        </w:tc>
        <w:tc>
          <w:tcPr>
            <w:tcW w:w="709" w:type="dxa"/>
            <w:noWrap/>
            <w:hideMark/>
          </w:tcPr>
          <w:p w14:paraId="224E4448"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2008</w:t>
            </w:r>
          </w:p>
        </w:tc>
      </w:tr>
      <w:tr w:rsidR="00C3316D" w:rsidRPr="00C3316D" w14:paraId="689253D4" w14:textId="77777777" w:rsidTr="00C3316D">
        <w:trPr>
          <w:trHeight w:val="300"/>
        </w:trPr>
        <w:tc>
          <w:tcPr>
            <w:tcW w:w="3681" w:type="dxa"/>
            <w:noWrap/>
            <w:hideMark/>
          </w:tcPr>
          <w:p w14:paraId="54D42BD7"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 xml:space="preserve">Saunders, KM; McMinn, A; Roberts, D; Hodgson, DA; </w:t>
            </w:r>
            <w:proofErr w:type="spellStart"/>
            <w:r w:rsidRPr="00C3316D">
              <w:rPr>
                <w:rFonts w:ascii="Times New Roman" w:eastAsia="Times New Roman" w:hAnsi="Times New Roman" w:cs="Times New Roman"/>
                <w:kern w:val="0"/>
                <w:sz w:val="20"/>
                <w:szCs w:val="20"/>
                <w:lang w:eastAsia="en-GB"/>
                <w14:ligatures w14:val="none"/>
              </w:rPr>
              <w:t>Heijnis</w:t>
            </w:r>
            <w:proofErr w:type="spellEnd"/>
            <w:r w:rsidRPr="00C3316D">
              <w:rPr>
                <w:rFonts w:ascii="Times New Roman" w:eastAsia="Times New Roman" w:hAnsi="Times New Roman" w:cs="Times New Roman"/>
                <w:kern w:val="0"/>
                <w:sz w:val="20"/>
                <w:szCs w:val="20"/>
                <w:lang w:eastAsia="en-GB"/>
                <w14:ligatures w14:val="none"/>
              </w:rPr>
              <w:t>, H</w:t>
            </w:r>
          </w:p>
        </w:tc>
        <w:tc>
          <w:tcPr>
            <w:tcW w:w="5670" w:type="dxa"/>
            <w:noWrap/>
            <w:hideMark/>
          </w:tcPr>
          <w:p w14:paraId="6AA2AC4C"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 xml:space="preserve">Recent human-induced salinity changes in Ramsar-listed </w:t>
            </w:r>
            <w:proofErr w:type="spellStart"/>
            <w:r w:rsidRPr="00C3316D">
              <w:rPr>
                <w:rFonts w:ascii="Times New Roman" w:eastAsia="Times New Roman" w:hAnsi="Times New Roman" w:cs="Times New Roman"/>
                <w:kern w:val="0"/>
                <w:sz w:val="20"/>
                <w:szCs w:val="20"/>
                <w:lang w:eastAsia="en-GB"/>
                <w14:ligatures w14:val="none"/>
              </w:rPr>
              <w:t>Orielton</w:t>
            </w:r>
            <w:proofErr w:type="spellEnd"/>
            <w:r w:rsidRPr="00C3316D">
              <w:rPr>
                <w:rFonts w:ascii="Times New Roman" w:eastAsia="Times New Roman" w:hAnsi="Times New Roman" w:cs="Times New Roman"/>
                <w:kern w:val="0"/>
                <w:sz w:val="20"/>
                <w:szCs w:val="20"/>
                <w:lang w:eastAsia="en-GB"/>
                <w14:ligatures w14:val="none"/>
              </w:rPr>
              <w:t xml:space="preserve"> Lagoon, south-east Tasmania, Australia: a new approach for coastal lagoon conservation and management</w:t>
            </w:r>
          </w:p>
        </w:tc>
        <w:tc>
          <w:tcPr>
            <w:tcW w:w="709" w:type="dxa"/>
            <w:noWrap/>
            <w:hideMark/>
          </w:tcPr>
          <w:p w14:paraId="7DB8CD9A"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2007</w:t>
            </w:r>
          </w:p>
        </w:tc>
      </w:tr>
      <w:tr w:rsidR="00C3316D" w:rsidRPr="00C3316D" w14:paraId="77B0D80F" w14:textId="77777777" w:rsidTr="00C3316D">
        <w:trPr>
          <w:trHeight w:val="300"/>
        </w:trPr>
        <w:tc>
          <w:tcPr>
            <w:tcW w:w="3681" w:type="dxa"/>
            <w:noWrap/>
            <w:hideMark/>
          </w:tcPr>
          <w:p w14:paraId="50A6D943"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Sayer C.D.; Bennion H.; Davidson T.A.; Burgess A.; Clarke G.; Hoare D.; Frings P.; Hatton-Ellis T.</w:t>
            </w:r>
          </w:p>
        </w:tc>
        <w:tc>
          <w:tcPr>
            <w:tcW w:w="5670" w:type="dxa"/>
            <w:noWrap/>
            <w:hideMark/>
          </w:tcPr>
          <w:p w14:paraId="2BE9B2BD"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The application of palaeolimnology to evidence-based lake management and conservation: Examples from UK lakes</w:t>
            </w:r>
          </w:p>
        </w:tc>
        <w:tc>
          <w:tcPr>
            <w:tcW w:w="709" w:type="dxa"/>
            <w:noWrap/>
            <w:hideMark/>
          </w:tcPr>
          <w:p w14:paraId="3F7AB681"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2012</w:t>
            </w:r>
          </w:p>
        </w:tc>
      </w:tr>
      <w:tr w:rsidR="00C3316D" w:rsidRPr="00C3316D" w14:paraId="075C27F2" w14:textId="77777777" w:rsidTr="00C3316D">
        <w:trPr>
          <w:trHeight w:val="300"/>
        </w:trPr>
        <w:tc>
          <w:tcPr>
            <w:tcW w:w="3681" w:type="dxa"/>
            <w:noWrap/>
            <w:hideMark/>
          </w:tcPr>
          <w:p w14:paraId="565DA585"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proofErr w:type="spellStart"/>
            <w:r w:rsidRPr="00C3316D">
              <w:rPr>
                <w:rFonts w:ascii="Times New Roman" w:eastAsia="Times New Roman" w:hAnsi="Times New Roman" w:cs="Times New Roman"/>
                <w:kern w:val="0"/>
                <w:sz w:val="20"/>
                <w:szCs w:val="20"/>
                <w:lang w:eastAsia="en-GB"/>
                <w14:ligatures w14:val="none"/>
              </w:rPr>
              <w:t>Schallenberg</w:t>
            </w:r>
            <w:proofErr w:type="spellEnd"/>
            <w:r w:rsidRPr="00C3316D">
              <w:rPr>
                <w:rFonts w:ascii="Times New Roman" w:eastAsia="Times New Roman" w:hAnsi="Times New Roman" w:cs="Times New Roman"/>
                <w:kern w:val="0"/>
                <w:sz w:val="20"/>
                <w:szCs w:val="20"/>
                <w:lang w:eastAsia="en-GB"/>
                <w14:ligatures w14:val="none"/>
              </w:rPr>
              <w:t xml:space="preserve"> M.; Saulnier-Talbot E.</w:t>
            </w:r>
          </w:p>
        </w:tc>
        <w:tc>
          <w:tcPr>
            <w:tcW w:w="5670" w:type="dxa"/>
            <w:noWrap/>
            <w:hideMark/>
          </w:tcPr>
          <w:p w14:paraId="61A3B2B6"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Trajectory of an anthropogenically induced ecological regime shift in a New Zealand shallow coastal lake</w:t>
            </w:r>
          </w:p>
        </w:tc>
        <w:tc>
          <w:tcPr>
            <w:tcW w:w="709" w:type="dxa"/>
            <w:noWrap/>
            <w:hideMark/>
          </w:tcPr>
          <w:p w14:paraId="600BD053"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2016</w:t>
            </w:r>
          </w:p>
        </w:tc>
      </w:tr>
      <w:tr w:rsidR="00C3316D" w:rsidRPr="00C3316D" w14:paraId="01EEC41F" w14:textId="77777777" w:rsidTr="00C3316D">
        <w:trPr>
          <w:trHeight w:val="300"/>
        </w:trPr>
        <w:tc>
          <w:tcPr>
            <w:tcW w:w="3681" w:type="dxa"/>
            <w:noWrap/>
            <w:hideMark/>
          </w:tcPr>
          <w:p w14:paraId="7575369E"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 xml:space="preserve">Schilling, EG; Loftin, CS; </w:t>
            </w:r>
            <w:proofErr w:type="spellStart"/>
            <w:r w:rsidRPr="00C3316D">
              <w:rPr>
                <w:rFonts w:ascii="Times New Roman" w:eastAsia="Times New Roman" w:hAnsi="Times New Roman" w:cs="Times New Roman"/>
                <w:kern w:val="0"/>
                <w:sz w:val="20"/>
                <w:szCs w:val="20"/>
                <w:lang w:eastAsia="en-GB"/>
                <w14:ligatures w14:val="none"/>
              </w:rPr>
              <w:t>Degoosh</w:t>
            </w:r>
            <w:proofErr w:type="spellEnd"/>
            <w:r w:rsidRPr="00C3316D">
              <w:rPr>
                <w:rFonts w:ascii="Times New Roman" w:eastAsia="Times New Roman" w:hAnsi="Times New Roman" w:cs="Times New Roman"/>
                <w:kern w:val="0"/>
                <w:sz w:val="20"/>
                <w:szCs w:val="20"/>
                <w:lang w:eastAsia="en-GB"/>
                <w14:ligatures w14:val="none"/>
              </w:rPr>
              <w:t xml:space="preserve">, KE; </w:t>
            </w:r>
            <w:proofErr w:type="spellStart"/>
            <w:r w:rsidRPr="00C3316D">
              <w:rPr>
                <w:rFonts w:ascii="Times New Roman" w:eastAsia="Times New Roman" w:hAnsi="Times New Roman" w:cs="Times New Roman"/>
                <w:kern w:val="0"/>
                <w:sz w:val="20"/>
                <w:szCs w:val="20"/>
                <w:lang w:eastAsia="en-GB"/>
                <w14:ligatures w14:val="none"/>
              </w:rPr>
              <w:t>Huryn</w:t>
            </w:r>
            <w:proofErr w:type="spellEnd"/>
            <w:r w:rsidRPr="00C3316D">
              <w:rPr>
                <w:rFonts w:ascii="Times New Roman" w:eastAsia="Times New Roman" w:hAnsi="Times New Roman" w:cs="Times New Roman"/>
                <w:kern w:val="0"/>
                <w:sz w:val="20"/>
                <w:szCs w:val="20"/>
                <w:lang w:eastAsia="en-GB"/>
                <w14:ligatures w14:val="none"/>
              </w:rPr>
              <w:t>, AD; Webster, KE</w:t>
            </w:r>
          </w:p>
        </w:tc>
        <w:tc>
          <w:tcPr>
            <w:tcW w:w="5670" w:type="dxa"/>
            <w:noWrap/>
            <w:hideMark/>
          </w:tcPr>
          <w:p w14:paraId="2CBD4515"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Predicting the locations of naturally fishless lakes</w:t>
            </w:r>
          </w:p>
        </w:tc>
        <w:tc>
          <w:tcPr>
            <w:tcW w:w="709" w:type="dxa"/>
            <w:noWrap/>
            <w:hideMark/>
          </w:tcPr>
          <w:p w14:paraId="74100FDE"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2008</w:t>
            </w:r>
          </w:p>
        </w:tc>
      </w:tr>
      <w:tr w:rsidR="00C3316D" w:rsidRPr="00C3316D" w14:paraId="3F16AA1D" w14:textId="77777777" w:rsidTr="00C3316D">
        <w:trPr>
          <w:trHeight w:val="300"/>
        </w:trPr>
        <w:tc>
          <w:tcPr>
            <w:tcW w:w="3681" w:type="dxa"/>
            <w:noWrap/>
            <w:hideMark/>
          </w:tcPr>
          <w:p w14:paraId="3FE68C10"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 xml:space="preserve">Shaw </w:t>
            </w:r>
            <w:proofErr w:type="spellStart"/>
            <w:r w:rsidRPr="00C3316D">
              <w:rPr>
                <w:rFonts w:ascii="Times New Roman" w:eastAsia="Times New Roman" w:hAnsi="Times New Roman" w:cs="Times New Roman"/>
                <w:kern w:val="0"/>
                <w:sz w:val="20"/>
                <w:szCs w:val="20"/>
                <w:lang w:eastAsia="en-GB"/>
                <w14:ligatures w14:val="none"/>
              </w:rPr>
              <w:t>Chraïbi</w:t>
            </w:r>
            <w:proofErr w:type="spellEnd"/>
            <w:r w:rsidRPr="00C3316D">
              <w:rPr>
                <w:rFonts w:ascii="Times New Roman" w:eastAsia="Times New Roman" w:hAnsi="Times New Roman" w:cs="Times New Roman"/>
                <w:kern w:val="0"/>
                <w:sz w:val="20"/>
                <w:szCs w:val="20"/>
                <w:lang w:eastAsia="en-GB"/>
                <w14:ligatures w14:val="none"/>
              </w:rPr>
              <w:t xml:space="preserve"> V.L.; Bennett E.M.; Gregory-Eaves I.</w:t>
            </w:r>
          </w:p>
        </w:tc>
        <w:tc>
          <w:tcPr>
            <w:tcW w:w="5670" w:type="dxa"/>
            <w:noWrap/>
            <w:hideMark/>
          </w:tcPr>
          <w:p w14:paraId="0A982180"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Conservation of a transboundary lake: Historical watershed and paleolimnological analyses can inform management strategies</w:t>
            </w:r>
          </w:p>
        </w:tc>
        <w:tc>
          <w:tcPr>
            <w:tcW w:w="709" w:type="dxa"/>
            <w:noWrap/>
            <w:hideMark/>
          </w:tcPr>
          <w:p w14:paraId="0949F442"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2011</w:t>
            </w:r>
          </w:p>
        </w:tc>
      </w:tr>
      <w:tr w:rsidR="00C3316D" w:rsidRPr="00C3316D" w14:paraId="3BD34B98" w14:textId="77777777" w:rsidTr="00C3316D">
        <w:trPr>
          <w:trHeight w:val="300"/>
        </w:trPr>
        <w:tc>
          <w:tcPr>
            <w:tcW w:w="3681" w:type="dxa"/>
            <w:noWrap/>
            <w:hideMark/>
          </w:tcPr>
          <w:p w14:paraId="6388E024"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 xml:space="preserve">Shirey, PD; Cowley, DE; </w:t>
            </w:r>
            <w:proofErr w:type="spellStart"/>
            <w:r w:rsidRPr="00C3316D">
              <w:rPr>
                <w:rFonts w:ascii="Times New Roman" w:eastAsia="Times New Roman" w:hAnsi="Times New Roman" w:cs="Times New Roman"/>
                <w:kern w:val="0"/>
                <w:sz w:val="20"/>
                <w:szCs w:val="20"/>
                <w:lang w:eastAsia="en-GB"/>
                <w14:ligatures w14:val="none"/>
              </w:rPr>
              <w:t>Sallenave</w:t>
            </w:r>
            <w:proofErr w:type="spellEnd"/>
            <w:r w:rsidRPr="00C3316D">
              <w:rPr>
                <w:rFonts w:ascii="Times New Roman" w:eastAsia="Times New Roman" w:hAnsi="Times New Roman" w:cs="Times New Roman"/>
                <w:kern w:val="0"/>
                <w:sz w:val="20"/>
                <w:szCs w:val="20"/>
                <w:lang w:eastAsia="en-GB"/>
                <w14:ligatures w14:val="none"/>
              </w:rPr>
              <w:t>, R</w:t>
            </w:r>
          </w:p>
        </w:tc>
        <w:tc>
          <w:tcPr>
            <w:tcW w:w="5670" w:type="dxa"/>
            <w:noWrap/>
            <w:hideMark/>
          </w:tcPr>
          <w:p w14:paraId="150BBB78"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Diatoms from gut contents of museum specimens of an endangered minnow suggest long-term ecological changes in the Rio Grande (USA)</w:t>
            </w:r>
          </w:p>
        </w:tc>
        <w:tc>
          <w:tcPr>
            <w:tcW w:w="709" w:type="dxa"/>
            <w:noWrap/>
            <w:hideMark/>
          </w:tcPr>
          <w:p w14:paraId="7E239DC4"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2008</w:t>
            </w:r>
          </w:p>
        </w:tc>
      </w:tr>
      <w:tr w:rsidR="00C3316D" w:rsidRPr="00C3316D" w14:paraId="00318502" w14:textId="77777777" w:rsidTr="00C3316D">
        <w:trPr>
          <w:trHeight w:val="300"/>
        </w:trPr>
        <w:tc>
          <w:tcPr>
            <w:tcW w:w="3681" w:type="dxa"/>
            <w:noWrap/>
            <w:hideMark/>
          </w:tcPr>
          <w:p w14:paraId="3407E0E2"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 xml:space="preserve">Short J.; Tibby J.; </w:t>
            </w:r>
            <w:proofErr w:type="spellStart"/>
            <w:r w:rsidRPr="00C3316D">
              <w:rPr>
                <w:rFonts w:ascii="Times New Roman" w:eastAsia="Times New Roman" w:hAnsi="Times New Roman" w:cs="Times New Roman"/>
                <w:kern w:val="0"/>
                <w:sz w:val="20"/>
                <w:szCs w:val="20"/>
                <w:lang w:eastAsia="en-GB"/>
                <w14:ligatures w14:val="none"/>
              </w:rPr>
              <w:t>Vandergoes</w:t>
            </w:r>
            <w:proofErr w:type="spellEnd"/>
            <w:r w:rsidRPr="00C3316D">
              <w:rPr>
                <w:rFonts w:ascii="Times New Roman" w:eastAsia="Times New Roman" w:hAnsi="Times New Roman" w:cs="Times New Roman"/>
                <w:kern w:val="0"/>
                <w:sz w:val="20"/>
                <w:szCs w:val="20"/>
                <w:lang w:eastAsia="en-GB"/>
                <w14:ligatures w14:val="none"/>
              </w:rPr>
              <w:t xml:space="preserve"> M.J.; Wood S.A.; Lomax N.; </w:t>
            </w:r>
            <w:proofErr w:type="spellStart"/>
            <w:r w:rsidRPr="00C3316D">
              <w:rPr>
                <w:rFonts w:ascii="Times New Roman" w:eastAsia="Times New Roman" w:hAnsi="Times New Roman" w:cs="Times New Roman"/>
                <w:kern w:val="0"/>
                <w:sz w:val="20"/>
                <w:szCs w:val="20"/>
                <w:lang w:eastAsia="en-GB"/>
                <w14:ligatures w14:val="none"/>
              </w:rPr>
              <w:t>Puddick</w:t>
            </w:r>
            <w:proofErr w:type="spellEnd"/>
            <w:r w:rsidRPr="00C3316D">
              <w:rPr>
                <w:rFonts w:ascii="Times New Roman" w:eastAsia="Times New Roman" w:hAnsi="Times New Roman" w:cs="Times New Roman"/>
                <w:kern w:val="0"/>
                <w:sz w:val="20"/>
                <w:szCs w:val="20"/>
                <w:lang w:eastAsia="en-GB"/>
                <w14:ligatures w14:val="none"/>
              </w:rPr>
              <w:t xml:space="preserve"> J.; Pearman J.K.; Howarth J.D.; Moy C.M.; </w:t>
            </w:r>
            <w:proofErr w:type="spellStart"/>
            <w:r w:rsidRPr="00C3316D">
              <w:rPr>
                <w:rFonts w:ascii="Times New Roman" w:eastAsia="Times New Roman" w:hAnsi="Times New Roman" w:cs="Times New Roman"/>
                <w:kern w:val="0"/>
                <w:sz w:val="20"/>
                <w:szCs w:val="20"/>
                <w:lang w:eastAsia="en-GB"/>
                <w14:ligatures w14:val="none"/>
              </w:rPr>
              <w:t>Šunde</w:t>
            </w:r>
            <w:proofErr w:type="spellEnd"/>
            <w:r w:rsidRPr="00C3316D">
              <w:rPr>
                <w:rFonts w:ascii="Times New Roman" w:eastAsia="Times New Roman" w:hAnsi="Times New Roman" w:cs="Times New Roman"/>
                <w:kern w:val="0"/>
                <w:sz w:val="20"/>
                <w:szCs w:val="20"/>
                <w:lang w:eastAsia="en-GB"/>
                <w14:ligatures w14:val="none"/>
              </w:rPr>
              <w:t xml:space="preserve"> C.; Martin R.; Li X.; Moody A.; Dahl J.; Shepherd C.; McFarlane K.</w:t>
            </w:r>
          </w:p>
        </w:tc>
        <w:tc>
          <w:tcPr>
            <w:tcW w:w="5670" w:type="dxa"/>
            <w:noWrap/>
            <w:hideMark/>
          </w:tcPr>
          <w:p w14:paraId="2D4B0FB3"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Using palaeolimnology to guide rehabilitation of a culturally significant lake in New Zealand</w:t>
            </w:r>
          </w:p>
        </w:tc>
        <w:tc>
          <w:tcPr>
            <w:tcW w:w="709" w:type="dxa"/>
            <w:noWrap/>
            <w:hideMark/>
          </w:tcPr>
          <w:p w14:paraId="33A61873"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2022</w:t>
            </w:r>
          </w:p>
        </w:tc>
      </w:tr>
      <w:tr w:rsidR="00C3316D" w:rsidRPr="00C3316D" w14:paraId="775BF70C" w14:textId="77777777" w:rsidTr="00C3316D">
        <w:trPr>
          <w:trHeight w:val="300"/>
        </w:trPr>
        <w:tc>
          <w:tcPr>
            <w:tcW w:w="3681" w:type="dxa"/>
            <w:noWrap/>
            <w:hideMark/>
          </w:tcPr>
          <w:p w14:paraId="06C846DE"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proofErr w:type="spellStart"/>
            <w:r w:rsidRPr="00C3316D">
              <w:rPr>
                <w:rFonts w:ascii="Times New Roman" w:eastAsia="Times New Roman" w:hAnsi="Times New Roman" w:cs="Times New Roman"/>
                <w:kern w:val="0"/>
                <w:sz w:val="20"/>
                <w:szCs w:val="20"/>
                <w:lang w:eastAsia="en-GB"/>
                <w14:ligatures w14:val="none"/>
              </w:rPr>
              <w:t>Soeprobowati</w:t>
            </w:r>
            <w:proofErr w:type="spellEnd"/>
            <w:r w:rsidRPr="00C3316D">
              <w:rPr>
                <w:rFonts w:ascii="Times New Roman" w:eastAsia="Times New Roman" w:hAnsi="Times New Roman" w:cs="Times New Roman"/>
                <w:kern w:val="0"/>
                <w:sz w:val="20"/>
                <w:szCs w:val="20"/>
                <w:lang w:eastAsia="en-GB"/>
                <w14:ligatures w14:val="none"/>
              </w:rPr>
              <w:t xml:space="preserve"> T.R.</w:t>
            </w:r>
          </w:p>
        </w:tc>
        <w:tc>
          <w:tcPr>
            <w:tcW w:w="5670" w:type="dxa"/>
            <w:noWrap/>
            <w:hideMark/>
          </w:tcPr>
          <w:p w14:paraId="4C535B69"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Paleolimnological approach for management sustainable use of tropical lakes</w:t>
            </w:r>
          </w:p>
        </w:tc>
        <w:tc>
          <w:tcPr>
            <w:tcW w:w="709" w:type="dxa"/>
            <w:noWrap/>
            <w:hideMark/>
          </w:tcPr>
          <w:p w14:paraId="34E6AC2B"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2021</w:t>
            </w:r>
          </w:p>
        </w:tc>
      </w:tr>
      <w:tr w:rsidR="00C3316D" w:rsidRPr="00C3316D" w14:paraId="761C9505" w14:textId="77777777" w:rsidTr="00C3316D">
        <w:trPr>
          <w:trHeight w:val="300"/>
        </w:trPr>
        <w:tc>
          <w:tcPr>
            <w:tcW w:w="3681" w:type="dxa"/>
            <w:noWrap/>
            <w:hideMark/>
          </w:tcPr>
          <w:p w14:paraId="1E217641"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 xml:space="preserve">van de Velde, S; </w:t>
            </w:r>
            <w:proofErr w:type="spellStart"/>
            <w:r w:rsidRPr="00C3316D">
              <w:rPr>
                <w:rFonts w:ascii="Times New Roman" w:eastAsia="Times New Roman" w:hAnsi="Times New Roman" w:cs="Times New Roman"/>
                <w:kern w:val="0"/>
                <w:sz w:val="20"/>
                <w:szCs w:val="20"/>
                <w:lang w:eastAsia="en-GB"/>
                <w14:ligatures w14:val="none"/>
              </w:rPr>
              <w:t>Jorissen</w:t>
            </w:r>
            <w:proofErr w:type="spellEnd"/>
            <w:r w:rsidRPr="00C3316D">
              <w:rPr>
                <w:rFonts w:ascii="Times New Roman" w:eastAsia="Times New Roman" w:hAnsi="Times New Roman" w:cs="Times New Roman"/>
                <w:kern w:val="0"/>
                <w:sz w:val="20"/>
                <w:szCs w:val="20"/>
                <w:lang w:eastAsia="en-GB"/>
                <w14:ligatures w14:val="none"/>
              </w:rPr>
              <w:t xml:space="preserve">, EL; Neubauer, TA; </w:t>
            </w:r>
            <w:proofErr w:type="spellStart"/>
            <w:r w:rsidRPr="00C3316D">
              <w:rPr>
                <w:rFonts w:ascii="Times New Roman" w:eastAsia="Times New Roman" w:hAnsi="Times New Roman" w:cs="Times New Roman"/>
                <w:kern w:val="0"/>
                <w:sz w:val="20"/>
                <w:szCs w:val="20"/>
                <w:lang w:eastAsia="en-GB"/>
                <w14:ligatures w14:val="none"/>
              </w:rPr>
              <w:t>Radan</w:t>
            </w:r>
            <w:proofErr w:type="spellEnd"/>
            <w:r w:rsidRPr="00C3316D">
              <w:rPr>
                <w:rFonts w:ascii="Times New Roman" w:eastAsia="Times New Roman" w:hAnsi="Times New Roman" w:cs="Times New Roman"/>
                <w:kern w:val="0"/>
                <w:sz w:val="20"/>
                <w:szCs w:val="20"/>
                <w:lang w:eastAsia="en-GB"/>
                <w14:ligatures w14:val="none"/>
              </w:rPr>
              <w:t xml:space="preserve">, S; Pavel, AB; </w:t>
            </w:r>
            <w:proofErr w:type="spellStart"/>
            <w:r w:rsidRPr="00C3316D">
              <w:rPr>
                <w:rFonts w:ascii="Times New Roman" w:eastAsia="Times New Roman" w:hAnsi="Times New Roman" w:cs="Times New Roman"/>
                <w:kern w:val="0"/>
                <w:sz w:val="20"/>
                <w:szCs w:val="20"/>
                <w:lang w:eastAsia="en-GB"/>
                <w14:ligatures w14:val="none"/>
              </w:rPr>
              <w:t>Stoica</w:t>
            </w:r>
            <w:proofErr w:type="spellEnd"/>
            <w:r w:rsidRPr="00C3316D">
              <w:rPr>
                <w:rFonts w:ascii="Times New Roman" w:eastAsia="Times New Roman" w:hAnsi="Times New Roman" w:cs="Times New Roman"/>
                <w:kern w:val="0"/>
                <w:sz w:val="20"/>
                <w:szCs w:val="20"/>
                <w:lang w:eastAsia="en-GB"/>
                <w14:ligatures w14:val="none"/>
              </w:rPr>
              <w:t xml:space="preserve">, M; Van </w:t>
            </w:r>
            <w:proofErr w:type="spellStart"/>
            <w:r w:rsidRPr="00C3316D">
              <w:rPr>
                <w:rFonts w:ascii="Times New Roman" w:eastAsia="Times New Roman" w:hAnsi="Times New Roman" w:cs="Times New Roman"/>
                <w:kern w:val="0"/>
                <w:sz w:val="20"/>
                <w:szCs w:val="20"/>
                <w:lang w:eastAsia="en-GB"/>
                <w14:ligatures w14:val="none"/>
              </w:rPr>
              <w:t>Baak</w:t>
            </w:r>
            <w:proofErr w:type="spellEnd"/>
            <w:r w:rsidRPr="00C3316D">
              <w:rPr>
                <w:rFonts w:ascii="Times New Roman" w:eastAsia="Times New Roman" w:hAnsi="Times New Roman" w:cs="Times New Roman"/>
                <w:kern w:val="0"/>
                <w:sz w:val="20"/>
                <w:szCs w:val="20"/>
                <w:lang w:eastAsia="en-GB"/>
                <w14:ligatures w14:val="none"/>
              </w:rPr>
              <w:t xml:space="preserve">, CGC; Gándara, AM; Popa, L; de </w:t>
            </w:r>
            <w:proofErr w:type="spellStart"/>
            <w:r w:rsidRPr="00C3316D">
              <w:rPr>
                <w:rFonts w:ascii="Times New Roman" w:eastAsia="Times New Roman" w:hAnsi="Times New Roman" w:cs="Times New Roman"/>
                <w:kern w:val="0"/>
                <w:sz w:val="20"/>
                <w:szCs w:val="20"/>
                <w:lang w:eastAsia="en-GB"/>
                <w14:ligatures w14:val="none"/>
              </w:rPr>
              <w:t>Stigter</w:t>
            </w:r>
            <w:proofErr w:type="spellEnd"/>
            <w:r w:rsidRPr="00C3316D">
              <w:rPr>
                <w:rFonts w:ascii="Times New Roman" w:eastAsia="Times New Roman" w:hAnsi="Times New Roman" w:cs="Times New Roman"/>
                <w:kern w:val="0"/>
                <w:sz w:val="20"/>
                <w:szCs w:val="20"/>
                <w:lang w:eastAsia="en-GB"/>
                <w14:ligatures w14:val="none"/>
              </w:rPr>
              <w:t xml:space="preserve">, H; </w:t>
            </w:r>
            <w:proofErr w:type="spellStart"/>
            <w:r w:rsidRPr="00C3316D">
              <w:rPr>
                <w:rFonts w:ascii="Times New Roman" w:eastAsia="Times New Roman" w:hAnsi="Times New Roman" w:cs="Times New Roman"/>
                <w:kern w:val="0"/>
                <w:sz w:val="20"/>
                <w:szCs w:val="20"/>
                <w:lang w:eastAsia="en-GB"/>
                <w14:ligatures w14:val="none"/>
              </w:rPr>
              <w:t>Abels</w:t>
            </w:r>
            <w:proofErr w:type="spellEnd"/>
            <w:r w:rsidRPr="00C3316D">
              <w:rPr>
                <w:rFonts w:ascii="Times New Roman" w:eastAsia="Times New Roman" w:hAnsi="Times New Roman" w:cs="Times New Roman"/>
                <w:kern w:val="0"/>
                <w:sz w:val="20"/>
                <w:szCs w:val="20"/>
                <w:lang w:eastAsia="en-GB"/>
                <w14:ligatures w14:val="none"/>
              </w:rPr>
              <w:t xml:space="preserve">, HA; </w:t>
            </w:r>
            <w:proofErr w:type="spellStart"/>
            <w:r w:rsidRPr="00C3316D">
              <w:rPr>
                <w:rFonts w:ascii="Times New Roman" w:eastAsia="Times New Roman" w:hAnsi="Times New Roman" w:cs="Times New Roman"/>
                <w:kern w:val="0"/>
                <w:sz w:val="20"/>
                <w:szCs w:val="20"/>
                <w:lang w:eastAsia="en-GB"/>
                <w14:ligatures w14:val="none"/>
              </w:rPr>
              <w:t>Krijgsman</w:t>
            </w:r>
            <w:proofErr w:type="spellEnd"/>
            <w:r w:rsidRPr="00C3316D">
              <w:rPr>
                <w:rFonts w:ascii="Times New Roman" w:eastAsia="Times New Roman" w:hAnsi="Times New Roman" w:cs="Times New Roman"/>
                <w:kern w:val="0"/>
                <w:sz w:val="20"/>
                <w:szCs w:val="20"/>
                <w:lang w:eastAsia="en-GB"/>
                <w14:ligatures w14:val="none"/>
              </w:rPr>
              <w:t xml:space="preserve">, W; </w:t>
            </w:r>
            <w:proofErr w:type="spellStart"/>
            <w:r w:rsidRPr="00C3316D">
              <w:rPr>
                <w:rFonts w:ascii="Times New Roman" w:eastAsia="Times New Roman" w:hAnsi="Times New Roman" w:cs="Times New Roman"/>
                <w:kern w:val="0"/>
                <w:sz w:val="20"/>
                <w:szCs w:val="20"/>
                <w:lang w:eastAsia="en-GB"/>
                <w14:ligatures w14:val="none"/>
              </w:rPr>
              <w:t>Wesselingh</w:t>
            </w:r>
            <w:proofErr w:type="spellEnd"/>
            <w:r w:rsidRPr="00C3316D">
              <w:rPr>
                <w:rFonts w:ascii="Times New Roman" w:eastAsia="Times New Roman" w:hAnsi="Times New Roman" w:cs="Times New Roman"/>
                <w:kern w:val="0"/>
                <w:sz w:val="20"/>
                <w:szCs w:val="20"/>
                <w:lang w:eastAsia="en-GB"/>
                <w14:ligatures w14:val="none"/>
              </w:rPr>
              <w:t>, FP</w:t>
            </w:r>
          </w:p>
        </w:tc>
        <w:tc>
          <w:tcPr>
            <w:tcW w:w="5670" w:type="dxa"/>
            <w:noWrap/>
            <w:hideMark/>
          </w:tcPr>
          <w:p w14:paraId="04C26EDD"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A conservation palaeobiological approach to assess faunal response of threatened biota under natural and anthropogenic environmental change</w:t>
            </w:r>
          </w:p>
        </w:tc>
        <w:tc>
          <w:tcPr>
            <w:tcW w:w="709" w:type="dxa"/>
            <w:noWrap/>
            <w:hideMark/>
          </w:tcPr>
          <w:p w14:paraId="3223C032"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2019</w:t>
            </w:r>
          </w:p>
        </w:tc>
      </w:tr>
      <w:tr w:rsidR="00C3316D" w:rsidRPr="00C3316D" w14:paraId="0427941E" w14:textId="77777777" w:rsidTr="00C3316D">
        <w:trPr>
          <w:trHeight w:val="300"/>
        </w:trPr>
        <w:tc>
          <w:tcPr>
            <w:tcW w:w="3681" w:type="dxa"/>
            <w:noWrap/>
            <w:hideMark/>
          </w:tcPr>
          <w:p w14:paraId="418DD5EE"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proofErr w:type="spellStart"/>
            <w:r w:rsidRPr="00C3316D">
              <w:rPr>
                <w:rFonts w:ascii="Times New Roman" w:eastAsia="Times New Roman" w:hAnsi="Times New Roman" w:cs="Times New Roman"/>
                <w:kern w:val="0"/>
                <w:sz w:val="20"/>
                <w:szCs w:val="20"/>
                <w:lang w:eastAsia="en-GB"/>
                <w14:ligatures w14:val="none"/>
              </w:rPr>
              <w:t>Velghe</w:t>
            </w:r>
            <w:proofErr w:type="spellEnd"/>
            <w:r w:rsidRPr="00C3316D">
              <w:rPr>
                <w:rFonts w:ascii="Times New Roman" w:eastAsia="Times New Roman" w:hAnsi="Times New Roman" w:cs="Times New Roman"/>
                <w:kern w:val="0"/>
                <w:sz w:val="20"/>
                <w:szCs w:val="20"/>
                <w:lang w:eastAsia="en-GB"/>
                <w14:ligatures w14:val="none"/>
              </w:rPr>
              <w:t xml:space="preserve">, K; </w:t>
            </w:r>
            <w:proofErr w:type="spellStart"/>
            <w:r w:rsidRPr="00C3316D">
              <w:rPr>
                <w:rFonts w:ascii="Times New Roman" w:eastAsia="Times New Roman" w:hAnsi="Times New Roman" w:cs="Times New Roman"/>
                <w:kern w:val="0"/>
                <w:sz w:val="20"/>
                <w:szCs w:val="20"/>
                <w:lang w:eastAsia="en-GB"/>
                <w14:ligatures w14:val="none"/>
              </w:rPr>
              <w:t>Vermaire</w:t>
            </w:r>
            <w:proofErr w:type="spellEnd"/>
            <w:r w:rsidRPr="00C3316D">
              <w:rPr>
                <w:rFonts w:ascii="Times New Roman" w:eastAsia="Times New Roman" w:hAnsi="Times New Roman" w:cs="Times New Roman"/>
                <w:kern w:val="0"/>
                <w:sz w:val="20"/>
                <w:szCs w:val="20"/>
                <w:lang w:eastAsia="en-GB"/>
                <w14:ligatures w14:val="none"/>
              </w:rPr>
              <w:t>, JC; Gregory-Eaves, I</w:t>
            </w:r>
          </w:p>
        </w:tc>
        <w:tc>
          <w:tcPr>
            <w:tcW w:w="5670" w:type="dxa"/>
            <w:noWrap/>
            <w:hideMark/>
          </w:tcPr>
          <w:p w14:paraId="7954E1B3"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Declines in littoral species richness across both spatial and temporal nutrient gradients: a palaeolimnological study of two taxonomic groups</w:t>
            </w:r>
          </w:p>
        </w:tc>
        <w:tc>
          <w:tcPr>
            <w:tcW w:w="709" w:type="dxa"/>
            <w:noWrap/>
            <w:hideMark/>
          </w:tcPr>
          <w:p w14:paraId="486392DA"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2012</w:t>
            </w:r>
          </w:p>
        </w:tc>
      </w:tr>
      <w:tr w:rsidR="00C3316D" w:rsidRPr="00C3316D" w14:paraId="4D6B5C03" w14:textId="77777777" w:rsidTr="00C3316D">
        <w:trPr>
          <w:trHeight w:val="300"/>
        </w:trPr>
        <w:tc>
          <w:tcPr>
            <w:tcW w:w="3681" w:type="dxa"/>
            <w:noWrap/>
            <w:hideMark/>
          </w:tcPr>
          <w:p w14:paraId="7D69EFA1"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Walton R.E.; Sayer C.D.; Bennion H.; Axmacher J.C.</w:t>
            </w:r>
          </w:p>
        </w:tc>
        <w:tc>
          <w:tcPr>
            <w:tcW w:w="5670" w:type="dxa"/>
            <w:noWrap/>
            <w:hideMark/>
          </w:tcPr>
          <w:p w14:paraId="641ADE2F"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Once a pond in time: employing palaeoecology to inform farmland pond restoration</w:t>
            </w:r>
          </w:p>
        </w:tc>
        <w:tc>
          <w:tcPr>
            <w:tcW w:w="709" w:type="dxa"/>
            <w:noWrap/>
            <w:hideMark/>
          </w:tcPr>
          <w:p w14:paraId="75CAA416"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2021</w:t>
            </w:r>
          </w:p>
        </w:tc>
      </w:tr>
      <w:tr w:rsidR="00C3316D" w:rsidRPr="00C3316D" w14:paraId="0F6C1BF3" w14:textId="77777777" w:rsidTr="00C3316D">
        <w:trPr>
          <w:trHeight w:val="300"/>
        </w:trPr>
        <w:tc>
          <w:tcPr>
            <w:tcW w:w="3681" w:type="dxa"/>
            <w:noWrap/>
            <w:hideMark/>
          </w:tcPr>
          <w:p w14:paraId="2AB5C61E"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Wang, LC</w:t>
            </w:r>
          </w:p>
        </w:tc>
        <w:tc>
          <w:tcPr>
            <w:tcW w:w="5670" w:type="dxa"/>
            <w:noWrap/>
            <w:hideMark/>
          </w:tcPr>
          <w:p w14:paraId="1A7E3D60"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 xml:space="preserve">Using </w:t>
            </w:r>
            <w:proofErr w:type="spellStart"/>
            <w:r w:rsidRPr="00C3316D">
              <w:rPr>
                <w:rFonts w:ascii="Times New Roman" w:eastAsia="Times New Roman" w:hAnsi="Times New Roman" w:cs="Times New Roman"/>
                <w:kern w:val="0"/>
                <w:sz w:val="20"/>
                <w:szCs w:val="20"/>
                <w:lang w:eastAsia="en-GB"/>
                <w14:ligatures w14:val="none"/>
              </w:rPr>
              <w:t>Paleoecological</w:t>
            </w:r>
            <w:proofErr w:type="spellEnd"/>
            <w:r w:rsidRPr="00C3316D">
              <w:rPr>
                <w:rFonts w:ascii="Times New Roman" w:eastAsia="Times New Roman" w:hAnsi="Times New Roman" w:cs="Times New Roman"/>
                <w:kern w:val="0"/>
                <w:sz w:val="20"/>
                <w:szCs w:val="20"/>
                <w:lang w:eastAsia="en-GB"/>
                <w14:ligatures w14:val="none"/>
              </w:rPr>
              <w:t xml:space="preserve"> Data to Inform the Conservation Strategy for Floristic Diversity and </w:t>
            </w:r>
            <w:proofErr w:type="spellStart"/>
            <w:r w:rsidRPr="00C3316D">
              <w:rPr>
                <w:rFonts w:ascii="Times New Roman" w:eastAsia="Times New Roman" w:hAnsi="Times New Roman" w:cs="Times New Roman"/>
                <w:kern w:val="0"/>
                <w:sz w:val="20"/>
                <w:szCs w:val="20"/>
                <w:lang w:eastAsia="en-GB"/>
                <w14:ligatures w14:val="none"/>
              </w:rPr>
              <w:t>Isoetes</w:t>
            </w:r>
            <w:proofErr w:type="spellEnd"/>
            <w:r w:rsidRPr="00C3316D">
              <w:rPr>
                <w:rFonts w:ascii="Times New Roman" w:eastAsia="Times New Roman" w:hAnsi="Times New Roman" w:cs="Times New Roman"/>
                <w:kern w:val="0"/>
                <w:sz w:val="20"/>
                <w:szCs w:val="20"/>
                <w:lang w:eastAsia="en-GB"/>
                <w14:ligatures w14:val="none"/>
              </w:rPr>
              <w:t xml:space="preserve"> </w:t>
            </w:r>
            <w:proofErr w:type="spellStart"/>
            <w:r w:rsidRPr="00C3316D">
              <w:rPr>
                <w:rFonts w:ascii="Times New Roman" w:eastAsia="Times New Roman" w:hAnsi="Times New Roman" w:cs="Times New Roman"/>
                <w:kern w:val="0"/>
                <w:sz w:val="20"/>
                <w:szCs w:val="20"/>
                <w:lang w:eastAsia="en-GB"/>
                <w14:ligatures w14:val="none"/>
              </w:rPr>
              <w:t>taiwanensis</w:t>
            </w:r>
            <w:proofErr w:type="spellEnd"/>
            <w:r w:rsidRPr="00C3316D">
              <w:rPr>
                <w:rFonts w:ascii="Times New Roman" w:eastAsia="Times New Roman" w:hAnsi="Times New Roman" w:cs="Times New Roman"/>
                <w:kern w:val="0"/>
                <w:sz w:val="20"/>
                <w:szCs w:val="20"/>
                <w:lang w:eastAsia="en-GB"/>
                <w14:ligatures w14:val="none"/>
              </w:rPr>
              <w:t xml:space="preserve"> in Northern Taiwan</w:t>
            </w:r>
          </w:p>
        </w:tc>
        <w:tc>
          <w:tcPr>
            <w:tcW w:w="709" w:type="dxa"/>
            <w:noWrap/>
            <w:hideMark/>
          </w:tcPr>
          <w:p w14:paraId="7805427F"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2021</w:t>
            </w:r>
          </w:p>
        </w:tc>
      </w:tr>
      <w:tr w:rsidR="00C3316D" w:rsidRPr="00C3316D" w14:paraId="3F1E5BEE" w14:textId="77777777" w:rsidTr="00C3316D">
        <w:trPr>
          <w:trHeight w:val="300"/>
        </w:trPr>
        <w:tc>
          <w:tcPr>
            <w:tcW w:w="3681" w:type="dxa"/>
            <w:noWrap/>
            <w:hideMark/>
          </w:tcPr>
          <w:p w14:paraId="4178F0F3"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 xml:space="preserve">Wang, LC; Li, HC; </w:t>
            </w:r>
            <w:proofErr w:type="spellStart"/>
            <w:r w:rsidRPr="00C3316D">
              <w:rPr>
                <w:rFonts w:ascii="Times New Roman" w:eastAsia="Times New Roman" w:hAnsi="Times New Roman" w:cs="Times New Roman"/>
                <w:kern w:val="0"/>
                <w:sz w:val="20"/>
                <w:szCs w:val="20"/>
                <w:lang w:eastAsia="en-GB"/>
                <w14:ligatures w14:val="none"/>
              </w:rPr>
              <w:t>Shiau</w:t>
            </w:r>
            <w:proofErr w:type="spellEnd"/>
            <w:r w:rsidRPr="00C3316D">
              <w:rPr>
                <w:rFonts w:ascii="Times New Roman" w:eastAsia="Times New Roman" w:hAnsi="Times New Roman" w:cs="Times New Roman"/>
                <w:kern w:val="0"/>
                <w:sz w:val="20"/>
                <w:szCs w:val="20"/>
                <w:lang w:eastAsia="en-GB"/>
                <w14:ligatures w14:val="none"/>
              </w:rPr>
              <w:t>, LJ</w:t>
            </w:r>
          </w:p>
        </w:tc>
        <w:tc>
          <w:tcPr>
            <w:tcW w:w="5670" w:type="dxa"/>
            <w:noWrap/>
            <w:hideMark/>
          </w:tcPr>
          <w:p w14:paraId="57C0728B"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Impacts of Anthropogenic Disturbances on Diatom Diversity in a Shallow Spring-Fed Pool</w:t>
            </w:r>
          </w:p>
        </w:tc>
        <w:tc>
          <w:tcPr>
            <w:tcW w:w="709" w:type="dxa"/>
            <w:noWrap/>
            <w:hideMark/>
          </w:tcPr>
          <w:p w14:paraId="0CF7174A"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2022</w:t>
            </w:r>
          </w:p>
        </w:tc>
      </w:tr>
      <w:tr w:rsidR="00C3316D" w:rsidRPr="00C3316D" w14:paraId="077D18E9" w14:textId="77777777" w:rsidTr="00C3316D">
        <w:trPr>
          <w:trHeight w:val="300"/>
        </w:trPr>
        <w:tc>
          <w:tcPr>
            <w:tcW w:w="3681" w:type="dxa"/>
            <w:noWrap/>
            <w:hideMark/>
          </w:tcPr>
          <w:p w14:paraId="0AB98285"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 xml:space="preserve">Whitehouse N.J.; Langdon P.G.; </w:t>
            </w:r>
            <w:proofErr w:type="spellStart"/>
            <w:r w:rsidRPr="00C3316D">
              <w:rPr>
                <w:rFonts w:ascii="Times New Roman" w:eastAsia="Times New Roman" w:hAnsi="Times New Roman" w:cs="Times New Roman"/>
                <w:kern w:val="0"/>
                <w:sz w:val="20"/>
                <w:szCs w:val="20"/>
                <w:lang w:eastAsia="en-GB"/>
                <w14:ligatures w14:val="none"/>
              </w:rPr>
              <w:t>Bustin</w:t>
            </w:r>
            <w:proofErr w:type="spellEnd"/>
            <w:r w:rsidRPr="00C3316D">
              <w:rPr>
                <w:rFonts w:ascii="Times New Roman" w:eastAsia="Times New Roman" w:hAnsi="Times New Roman" w:cs="Times New Roman"/>
                <w:kern w:val="0"/>
                <w:sz w:val="20"/>
                <w:szCs w:val="20"/>
                <w:lang w:eastAsia="en-GB"/>
                <w14:ligatures w14:val="none"/>
              </w:rPr>
              <w:t xml:space="preserve"> R.; Galsworthy S.</w:t>
            </w:r>
          </w:p>
        </w:tc>
        <w:tc>
          <w:tcPr>
            <w:tcW w:w="5670" w:type="dxa"/>
            <w:noWrap/>
            <w:hideMark/>
          </w:tcPr>
          <w:p w14:paraId="09D0DF9E"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Fossil insects and ecosystem dynamics in wetlands: Implications for biodiversity and conservation</w:t>
            </w:r>
          </w:p>
        </w:tc>
        <w:tc>
          <w:tcPr>
            <w:tcW w:w="709" w:type="dxa"/>
            <w:noWrap/>
            <w:hideMark/>
          </w:tcPr>
          <w:p w14:paraId="2D1F65D3"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2008</w:t>
            </w:r>
          </w:p>
        </w:tc>
      </w:tr>
      <w:tr w:rsidR="00C3316D" w:rsidRPr="00C3316D" w14:paraId="2CED0EC8" w14:textId="77777777" w:rsidTr="00C3316D">
        <w:trPr>
          <w:trHeight w:val="300"/>
        </w:trPr>
        <w:tc>
          <w:tcPr>
            <w:tcW w:w="3681" w:type="dxa"/>
            <w:noWrap/>
            <w:hideMark/>
          </w:tcPr>
          <w:p w14:paraId="6531543F"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proofErr w:type="spellStart"/>
            <w:r w:rsidRPr="00C3316D">
              <w:rPr>
                <w:rFonts w:ascii="Times New Roman" w:eastAsia="Times New Roman" w:hAnsi="Times New Roman" w:cs="Times New Roman"/>
                <w:kern w:val="0"/>
                <w:sz w:val="20"/>
                <w:szCs w:val="20"/>
                <w:lang w:eastAsia="en-GB"/>
                <w14:ligatures w14:val="none"/>
              </w:rPr>
              <w:t>Wiik</w:t>
            </w:r>
            <w:proofErr w:type="spellEnd"/>
            <w:r w:rsidRPr="00C3316D">
              <w:rPr>
                <w:rFonts w:ascii="Times New Roman" w:eastAsia="Times New Roman" w:hAnsi="Times New Roman" w:cs="Times New Roman"/>
                <w:kern w:val="0"/>
                <w:sz w:val="20"/>
                <w:szCs w:val="20"/>
                <w:lang w:eastAsia="en-GB"/>
                <w14:ligatures w14:val="none"/>
              </w:rPr>
              <w:t xml:space="preserve"> E.; Bennion H.; Sayer C.D.; Davidson T.A.; Clarke S.J.; McGowan S.; Prentice S.; Simpson G.L.; Stone L.</w:t>
            </w:r>
          </w:p>
        </w:tc>
        <w:tc>
          <w:tcPr>
            <w:tcW w:w="5670" w:type="dxa"/>
            <w:noWrap/>
            <w:hideMark/>
          </w:tcPr>
          <w:p w14:paraId="3079D82B"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 xml:space="preserve">The coming and going of a marl lake: </w:t>
            </w:r>
            <w:proofErr w:type="gramStart"/>
            <w:r w:rsidRPr="00C3316D">
              <w:rPr>
                <w:rFonts w:ascii="Times New Roman" w:eastAsia="Times New Roman" w:hAnsi="Times New Roman" w:cs="Times New Roman"/>
                <w:kern w:val="0"/>
                <w:sz w:val="20"/>
                <w:szCs w:val="20"/>
                <w:lang w:eastAsia="en-GB"/>
                <w14:ligatures w14:val="none"/>
              </w:rPr>
              <w:t>Multi-indicator</w:t>
            </w:r>
            <w:proofErr w:type="gramEnd"/>
            <w:r w:rsidRPr="00C3316D">
              <w:rPr>
                <w:rFonts w:ascii="Times New Roman" w:eastAsia="Times New Roman" w:hAnsi="Times New Roman" w:cs="Times New Roman"/>
                <w:kern w:val="0"/>
                <w:sz w:val="20"/>
                <w:szCs w:val="20"/>
                <w:lang w:eastAsia="en-GB"/>
                <w14:ligatures w14:val="none"/>
              </w:rPr>
              <w:t xml:space="preserve"> palaeolimnology reveals abrupt ecological change and alternative views of reference conditions</w:t>
            </w:r>
          </w:p>
        </w:tc>
        <w:tc>
          <w:tcPr>
            <w:tcW w:w="709" w:type="dxa"/>
            <w:noWrap/>
            <w:hideMark/>
          </w:tcPr>
          <w:p w14:paraId="4D66B6F2"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2015</w:t>
            </w:r>
          </w:p>
        </w:tc>
      </w:tr>
      <w:tr w:rsidR="00C3316D" w:rsidRPr="00C3316D" w14:paraId="20B780AB" w14:textId="77777777" w:rsidTr="00C3316D">
        <w:trPr>
          <w:trHeight w:val="300"/>
        </w:trPr>
        <w:tc>
          <w:tcPr>
            <w:tcW w:w="3681" w:type="dxa"/>
            <w:noWrap/>
            <w:hideMark/>
          </w:tcPr>
          <w:p w14:paraId="1D5CEB32"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Woodbridge, J; Davies, HJ; Blake, WH; Fyfe, RM</w:t>
            </w:r>
          </w:p>
        </w:tc>
        <w:tc>
          <w:tcPr>
            <w:tcW w:w="5670" w:type="dxa"/>
            <w:noWrap/>
            <w:hideMark/>
          </w:tcPr>
          <w:p w14:paraId="10B79D28"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Recent environmental change in an upland reservoir catchment: a palaeoecological perspective</w:t>
            </w:r>
          </w:p>
        </w:tc>
        <w:tc>
          <w:tcPr>
            <w:tcW w:w="709" w:type="dxa"/>
            <w:noWrap/>
            <w:hideMark/>
          </w:tcPr>
          <w:p w14:paraId="6F14BFA6" w14:textId="77777777" w:rsidR="00C3316D" w:rsidRPr="00C3316D" w:rsidRDefault="00C3316D" w:rsidP="00C3316D">
            <w:pPr>
              <w:rPr>
                <w:rFonts w:ascii="Times New Roman" w:eastAsia="Times New Roman" w:hAnsi="Times New Roman" w:cs="Times New Roman"/>
                <w:kern w:val="0"/>
                <w:sz w:val="20"/>
                <w:szCs w:val="20"/>
                <w:lang w:eastAsia="en-GB"/>
                <w14:ligatures w14:val="none"/>
              </w:rPr>
            </w:pPr>
            <w:r w:rsidRPr="00C3316D">
              <w:rPr>
                <w:rFonts w:ascii="Times New Roman" w:eastAsia="Times New Roman" w:hAnsi="Times New Roman" w:cs="Times New Roman"/>
                <w:kern w:val="0"/>
                <w:sz w:val="20"/>
                <w:szCs w:val="20"/>
                <w:lang w:eastAsia="en-GB"/>
                <w14:ligatures w14:val="none"/>
              </w:rPr>
              <w:t>2014</w:t>
            </w:r>
          </w:p>
        </w:tc>
      </w:tr>
    </w:tbl>
    <w:p w14:paraId="6AA1CB24" w14:textId="77777777" w:rsidR="00C3316D" w:rsidRDefault="00C3316D" w:rsidP="00C41716">
      <w:pPr>
        <w:rPr>
          <w:rFonts w:ascii="Times New Roman" w:hAnsi="Times New Roman" w:cs="Times New Roman"/>
          <w:b/>
          <w:bCs/>
        </w:rPr>
      </w:pPr>
    </w:p>
    <w:p w14:paraId="01E7F640" w14:textId="77777777" w:rsidR="00A02F8E" w:rsidRDefault="00A02F8E">
      <w:pPr>
        <w:rPr>
          <w:rFonts w:ascii="Times New Roman" w:hAnsi="Times New Roman" w:cs="Times New Roman"/>
          <w:b/>
          <w:bCs/>
        </w:rPr>
      </w:pPr>
      <w:r>
        <w:rPr>
          <w:rFonts w:ascii="Times New Roman" w:hAnsi="Times New Roman" w:cs="Times New Roman"/>
          <w:b/>
          <w:bCs/>
        </w:rPr>
        <w:br w:type="page"/>
      </w:r>
    </w:p>
    <w:p w14:paraId="35DC366D" w14:textId="3EAB71D2" w:rsidR="0073175F" w:rsidRDefault="0073175F" w:rsidP="0073175F">
      <w:pPr>
        <w:rPr>
          <w:rFonts w:ascii="Times New Roman" w:hAnsi="Times New Roman" w:cs="Times New Roman"/>
          <w:b/>
          <w:bCs/>
        </w:rPr>
      </w:pPr>
      <w:r w:rsidRPr="00B7106A">
        <w:rPr>
          <w:rFonts w:ascii="Times New Roman" w:hAnsi="Times New Roman" w:cs="Times New Roman"/>
          <w:b/>
          <w:bCs/>
        </w:rPr>
        <w:lastRenderedPageBreak/>
        <w:t xml:space="preserve">Supplementary Material </w:t>
      </w:r>
      <w:r w:rsidR="00127410">
        <w:rPr>
          <w:rFonts w:ascii="Times New Roman" w:hAnsi="Times New Roman" w:cs="Times New Roman"/>
          <w:b/>
          <w:bCs/>
        </w:rPr>
        <w:t>3</w:t>
      </w:r>
      <w:r>
        <w:rPr>
          <w:rFonts w:ascii="Times New Roman" w:hAnsi="Times New Roman" w:cs="Times New Roman"/>
          <w:b/>
          <w:bCs/>
        </w:rPr>
        <w:t>:</w:t>
      </w:r>
      <w:r w:rsidRPr="00B7106A">
        <w:rPr>
          <w:rFonts w:ascii="Times New Roman" w:hAnsi="Times New Roman" w:cs="Times New Roman"/>
          <w:b/>
          <w:bCs/>
        </w:rPr>
        <w:t xml:space="preserve"> </w:t>
      </w:r>
      <w:r w:rsidR="006B4706">
        <w:rPr>
          <w:rFonts w:ascii="Times New Roman" w:hAnsi="Times New Roman" w:cs="Times New Roman"/>
          <w:b/>
          <w:bCs/>
        </w:rPr>
        <w:t xml:space="preserve">Accessibility </w:t>
      </w:r>
      <w:r>
        <w:rPr>
          <w:rFonts w:ascii="Times New Roman" w:hAnsi="Times New Roman" w:cs="Times New Roman"/>
          <w:b/>
          <w:bCs/>
        </w:rPr>
        <w:t>criteria table</w:t>
      </w:r>
    </w:p>
    <w:tbl>
      <w:tblPr>
        <w:tblStyle w:val="TableGrid"/>
        <w:tblW w:w="9634" w:type="dxa"/>
        <w:tblLook w:val="04A0" w:firstRow="1" w:lastRow="0" w:firstColumn="1" w:lastColumn="0" w:noHBand="0" w:noVBand="1"/>
      </w:tblPr>
      <w:tblGrid>
        <w:gridCol w:w="2254"/>
        <w:gridCol w:w="5254"/>
        <w:gridCol w:w="2126"/>
      </w:tblGrid>
      <w:tr w:rsidR="00A02F8E" w:rsidRPr="00CB2A8B" w14:paraId="77B4305A" w14:textId="77777777" w:rsidTr="009D6BEA">
        <w:tc>
          <w:tcPr>
            <w:tcW w:w="2254" w:type="dxa"/>
          </w:tcPr>
          <w:p w14:paraId="4DECA210" w14:textId="77777777" w:rsidR="00A02F8E" w:rsidRPr="00CB2A8B" w:rsidRDefault="00A02F8E" w:rsidP="009D6BEA">
            <w:pPr>
              <w:rPr>
                <w:rFonts w:ascii="Times New Roman" w:hAnsi="Times New Roman" w:cs="Times New Roman"/>
                <w:b/>
                <w:bCs/>
              </w:rPr>
            </w:pPr>
            <w:r w:rsidRPr="00CB2A8B">
              <w:rPr>
                <w:rFonts w:ascii="Times New Roman" w:hAnsi="Times New Roman" w:cs="Times New Roman"/>
                <w:b/>
                <w:bCs/>
              </w:rPr>
              <w:t>Criteria</w:t>
            </w:r>
          </w:p>
        </w:tc>
        <w:tc>
          <w:tcPr>
            <w:tcW w:w="5254" w:type="dxa"/>
          </w:tcPr>
          <w:p w14:paraId="0A121AC7" w14:textId="77777777" w:rsidR="00A02F8E" w:rsidRPr="00CB2A8B" w:rsidRDefault="00A02F8E" w:rsidP="009D6BEA">
            <w:pPr>
              <w:rPr>
                <w:rFonts w:ascii="Times New Roman" w:hAnsi="Times New Roman" w:cs="Times New Roman"/>
                <w:b/>
                <w:bCs/>
              </w:rPr>
            </w:pPr>
            <w:r w:rsidRPr="00CB2A8B">
              <w:rPr>
                <w:rFonts w:ascii="Times New Roman" w:hAnsi="Times New Roman" w:cs="Times New Roman"/>
                <w:b/>
                <w:bCs/>
              </w:rPr>
              <w:t>Explanation</w:t>
            </w:r>
          </w:p>
        </w:tc>
        <w:tc>
          <w:tcPr>
            <w:tcW w:w="2126" w:type="dxa"/>
          </w:tcPr>
          <w:p w14:paraId="739A0B66" w14:textId="77777777" w:rsidR="00A02F8E" w:rsidRPr="00CB2A8B" w:rsidRDefault="00A02F8E" w:rsidP="009D6BEA">
            <w:pPr>
              <w:rPr>
                <w:rFonts w:ascii="Times New Roman" w:hAnsi="Times New Roman" w:cs="Times New Roman"/>
                <w:b/>
                <w:bCs/>
              </w:rPr>
            </w:pPr>
            <w:r w:rsidRPr="00CB2A8B">
              <w:rPr>
                <w:rFonts w:ascii="Times New Roman" w:hAnsi="Times New Roman" w:cs="Times New Roman"/>
                <w:b/>
                <w:bCs/>
              </w:rPr>
              <w:t>References</w:t>
            </w:r>
          </w:p>
        </w:tc>
      </w:tr>
      <w:tr w:rsidR="00A02F8E" w:rsidRPr="00CB2A8B" w14:paraId="68AFE5C2" w14:textId="77777777" w:rsidTr="009D6BEA">
        <w:tc>
          <w:tcPr>
            <w:tcW w:w="2254" w:type="dxa"/>
          </w:tcPr>
          <w:p w14:paraId="56AFE6E7" w14:textId="3ADEA3C8" w:rsidR="00A02F8E" w:rsidRPr="00CB2A8B" w:rsidRDefault="00A02F8E" w:rsidP="009D6BEA">
            <w:pPr>
              <w:rPr>
                <w:rFonts w:ascii="Times New Roman" w:hAnsi="Times New Roman" w:cs="Times New Roman"/>
              </w:rPr>
            </w:pPr>
            <w:r w:rsidRPr="00CB2A8B">
              <w:rPr>
                <w:rFonts w:ascii="Times New Roman" w:hAnsi="Times New Roman" w:cs="Times New Roman"/>
              </w:rPr>
              <w:t>Freely accessible</w:t>
            </w:r>
          </w:p>
        </w:tc>
        <w:tc>
          <w:tcPr>
            <w:tcW w:w="5254" w:type="dxa"/>
          </w:tcPr>
          <w:p w14:paraId="353A0FA6" w14:textId="77777777" w:rsidR="00A02F8E" w:rsidRPr="00CB2A8B" w:rsidRDefault="00A02F8E" w:rsidP="009D6BEA">
            <w:pPr>
              <w:rPr>
                <w:rFonts w:ascii="Times New Roman" w:hAnsi="Times New Roman" w:cs="Times New Roman"/>
                <w:i/>
                <w:iCs/>
              </w:rPr>
            </w:pPr>
            <w:r w:rsidRPr="00CB2A8B">
              <w:rPr>
                <w:rFonts w:ascii="Times New Roman" w:hAnsi="Times New Roman" w:cs="Times New Roman"/>
              </w:rPr>
              <w:t>Output is more accessible for practitioners to read as being behind a paywall is intrinsically prohibitive. Considered “yes” if officially Gold or Green OA. Considered “third party” if only accessible through a third-party repository such as Research Gate or an institutional website. Considered “no” if there was no freely accessible version of the article.</w:t>
            </w:r>
          </w:p>
        </w:tc>
        <w:tc>
          <w:tcPr>
            <w:tcW w:w="2126" w:type="dxa"/>
          </w:tcPr>
          <w:p w14:paraId="0F772415" w14:textId="3C6CD877" w:rsidR="00A02F8E" w:rsidRPr="00CB2A8B" w:rsidRDefault="00A02F8E" w:rsidP="009D6BEA">
            <w:pPr>
              <w:rPr>
                <w:rFonts w:ascii="Times New Roman" w:hAnsi="Times New Roman" w:cs="Times New Roman"/>
              </w:rPr>
            </w:pPr>
            <w:r w:rsidRPr="00CB2A8B">
              <w:rPr>
                <w:rFonts w:ascii="Times New Roman" w:hAnsi="Times New Roman" w:cs="Times New Roman"/>
              </w:rPr>
              <w:fldChar w:fldCharType="begin"/>
            </w:r>
            <w:r w:rsidR="00166135" w:rsidRPr="00CB2A8B">
              <w:rPr>
                <w:rFonts w:ascii="Times New Roman" w:hAnsi="Times New Roman" w:cs="Times New Roman"/>
              </w:rPr>
              <w:instrText xml:space="preserve"> ADDIN ZOTERO_ITEM CSL_CITATION {"citationID":"vG9mwfI6","properties":{"formattedCitation":"(Anderson 2014; Alston 2019; Roche et al. 2022)","plainCitation":"(Anderson 2014; Alston 2019; Roche et al. 2022)","noteIndex":0},"citationItems":[{"id":312,"uris":["http://zotero.org/users/10235684/items/QIGFBMKS"],"itemData":{"id":312,"type":"article-journal","container-title":"Journal of Applied Ecology","DOI":"10.1111/1365-2664.12258","ISSN":"1365-2664","issue":"5","language":"en","note":"_eprint: https://besjournals.onlinelibrary.wiley.com/doi/pdf/10.1111/1365-2664.12258","page":"1148-1152","source":"Wiley Online Library","title":"PRACTITIONER'S PERSPECTIVE: Bridging the gap between applied ecological science and practical implementation in peatland restoration","title-short":"PRACTITIONER'S PERSPECTIVE","volume":"51","author":[{"family":"Anderson","given":"Penny"}],"issued":{"date-parts":[["2014"]]}}},{"id":2022,"uris":["http://zotero.org/users/10235684/items/IWWQALUN"],"itemData":{"id":2022,"type":"article-journal","abstract":"Open access is often contentious in the scientific community, but its implications for conservation are under-discussed or omitted entirely from scientific discourse. Access to literature is a key factor impeding implementation of conservation research, and many open access models and concepts that are little-known by most conservation researchers may facilitate implementation. Conservation professionals working outside academic institutions should have more access to research so that conservation is better supported by current science. In this perspective, I present elements missing from current discussions of open access and suggest potential pathways for journal publishers and researchers to make conservation publications more open. There are many promising avenues for open access to play a larger role in conservation research, including archiving pre-prints and post-prints, more permissive “green” open access policies, and increasing access to older articles. Collectively supporting open access practices will benefit our profession and the species we are working to protect.","container-title":"Conservation Letters","DOI":"10.1111/conl.12672","ISSN":"1755-263X","issue":"6","language":"en","license":"© 2019 The Authors. Conservation Letters published by Wiley Periodicals, Inc.","note":"_eprint: https://conbio.onlinelibrary.wiley.com/doi/pdf/10.1111/conl.12672","page":"e12672","source":"Wiley Online Library","title":"Open access principles and practices benefit conservation","volume":"12","author":[{"family":"Alston","given":"Jesse M."}],"issued":{"date-parts":[["2019"]]}}},{"id":818,"uris":["http://zotero.org/users/10235684/items/DE8NVKQV"],"itemData":{"id":818,"type":"article-journal","abstract":"The knowledge-action gap in conservation science and practice occurs when research outputs do not result in actions to protect or restore biodiversity. Among the diverse and complex reasons for this gap, three barriers are fundamental: knowledge is often unavailable to practitioners and challenging to interpret or difficult to use or both. Problems of availability, interpretability, and useability are solvable with open science practices. We considered the benefits and challenges of three open science practices for use by conservation scientists and practitioners. First, open access publishing makes the scientific literature available to all. Second, open materials (detailed methods, data, code, and software) increase the transparency and use of research findings. Third, open education resources allow conservation scientists and practitioners to acquire the skills needed to use research outputs. The long-term adoption of open science practices would help researchers and practitioners achieve conservation goals more quickly and efficiently and reduce inequities in information sharing. However, short-term costs for individual researchers (insufficient institutional incentives to engage in open science and knowledge mobilization) remain a challenge. We caution against a passive approach to sharing that simply involves making information available. We advocate a proactive stance toward transparency, communication, collaboration, and capacity building that involves seeking out and engaging with potential users to maximize the environmental and societal impact of conservation science.","container-title":"Conservation Biology","DOI":"10.1111/cobi.13835","ISSN":"1523-1739","issue":"3","language":"en","note":"_eprint: https://conbio.onlinelibrary.wiley.com/doi/pdf/10.1111/cobi.13835","page":"e13835","source":"Wiley Online Library","title":"Closing the knowledge-action gap in conservation with open science","volume":"36","author":[{"family":"Roche","given":"Dominique G."},{"family":"O'Dea","given":"Rose E."},{"family":"Kerr","given":"Kecia A."},{"family":"Rytwinski","given":"Trina"},{"family":"Schuster","given":"Richard"},{"family":"Nguyen","given":"Vivian M."},{"family":"Young","given":"Nathan"},{"family":"Bennett","given":"Joseph R."},{"family":"Cooke","given":"Steven J."}],"issued":{"date-parts":[["2022"]]}}}],"schema":"https://github.com/citation-style-language/schema/raw/master/csl-citation.json"} </w:instrText>
            </w:r>
            <w:r w:rsidRPr="00CB2A8B">
              <w:rPr>
                <w:rFonts w:ascii="Times New Roman" w:hAnsi="Times New Roman" w:cs="Times New Roman"/>
              </w:rPr>
              <w:fldChar w:fldCharType="separate"/>
            </w:r>
            <w:r w:rsidR="00166135" w:rsidRPr="00CB2A8B">
              <w:rPr>
                <w:rFonts w:ascii="Times New Roman" w:hAnsi="Times New Roman" w:cs="Times New Roman"/>
              </w:rPr>
              <w:t>(Anderson 2014; Alston 2019; Roche et al. 2022)</w:t>
            </w:r>
            <w:r w:rsidRPr="00CB2A8B">
              <w:rPr>
                <w:rFonts w:ascii="Times New Roman" w:hAnsi="Times New Roman" w:cs="Times New Roman"/>
              </w:rPr>
              <w:fldChar w:fldCharType="end"/>
            </w:r>
          </w:p>
        </w:tc>
      </w:tr>
      <w:tr w:rsidR="00A02F8E" w:rsidRPr="00CB2A8B" w14:paraId="0FA84C95" w14:textId="77777777" w:rsidTr="009D6BEA">
        <w:tc>
          <w:tcPr>
            <w:tcW w:w="2254" w:type="dxa"/>
          </w:tcPr>
          <w:p w14:paraId="3F0E4328" w14:textId="77777777" w:rsidR="00A02F8E" w:rsidRPr="00CB2A8B" w:rsidRDefault="00A02F8E" w:rsidP="009D6BEA">
            <w:pPr>
              <w:rPr>
                <w:rFonts w:ascii="Times New Roman" w:hAnsi="Times New Roman" w:cs="Times New Roman"/>
              </w:rPr>
            </w:pPr>
            <w:r w:rsidRPr="00CB2A8B">
              <w:rPr>
                <w:rFonts w:ascii="Times New Roman" w:hAnsi="Times New Roman" w:cs="Times New Roman"/>
              </w:rPr>
              <w:t>Accessible summary</w:t>
            </w:r>
          </w:p>
        </w:tc>
        <w:tc>
          <w:tcPr>
            <w:tcW w:w="5254" w:type="dxa"/>
          </w:tcPr>
          <w:p w14:paraId="21331CCA" w14:textId="7DC13B33" w:rsidR="00A02F8E" w:rsidRPr="00CB2A8B" w:rsidRDefault="00A02F8E" w:rsidP="009D6BEA">
            <w:pPr>
              <w:rPr>
                <w:rFonts w:ascii="Times New Roman" w:hAnsi="Times New Roman" w:cs="Times New Roman"/>
              </w:rPr>
            </w:pPr>
            <w:r w:rsidRPr="00CB2A8B">
              <w:rPr>
                <w:rFonts w:ascii="Times New Roman" w:hAnsi="Times New Roman" w:cs="Times New Roman"/>
              </w:rPr>
              <w:t xml:space="preserve">Output is more accessible for practitioners to read. Considered “yes” if there was a graphical abstract, implications for practice summary or an explicit plain language summary. Otherwise considered “no”. Use of Highlights sections were excluded as these are intended as SEO optimisation, not accessible summaries </w:t>
            </w:r>
            <w:r w:rsidRPr="00CB2A8B">
              <w:rPr>
                <w:rFonts w:ascii="Times New Roman" w:hAnsi="Times New Roman" w:cs="Times New Roman"/>
              </w:rPr>
              <w:fldChar w:fldCharType="begin"/>
            </w:r>
            <w:r w:rsidR="00166135" w:rsidRPr="00CB2A8B">
              <w:rPr>
                <w:rFonts w:ascii="Times New Roman" w:hAnsi="Times New Roman" w:cs="Times New Roman"/>
              </w:rPr>
              <w:instrText xml:space="preserve"> ADDIN ZOTERO_ITEM CSL_CITATION {"citationID":"rp2YJQPD","properties":{"formattedCitation":"(Elsevier 2024)","plainCitation":"(Elsevier 2024)","noteIndex":0},"citationItems":[{"id":2676,"uris":["http://zotero.org/users/10235684/items/QR2IE3G5"],"itemData":{"id":2676,"type":"webpage","abstract":"Author instructions for creating highlights: bullet points that help increase the discoverability of your article via search engines","container-title":"www.elsevier.com","language":"en-GB","title":"Highlights of journal articles | Elsevier","URL":"https://www.elsevier.com/en-gb/researcher/author/tools-and-resources/highlights","author":[{"family":"Elsevier","given":""}],"accessed":{"date-parts":[["2024",4,5]]},"issued":{"date-parts":[["2024"]]}}}],"schema":"https://github.com/citation-style-language/schema/raw/master/csl-citation.json"} </w:instrText>
            </w:r>
            <w:r w:rsidRPr="00CB2A8B">
              <w:rPr>
                <w:rFonts w:ascii="Times New Roman" w:hAnsi="Times New Roman" w:cs="Times New Roman"/>
              </w:rPr>
              <w:fldChar w:fldCharType="separate"/>
            </w:r>
            <w:r w:rsidR="00166135" w:rsidRPr="00CB2A8B">
              <w:rPr>
                <w:rFonts w:ascii="Times New Roman" w:hAnsi="Times New Roman" w:cs="Times New Roman"/>
              </w:rPr>
              <w:t>(Elsevier 2024)</w:t>
            </w:r>
            <w:r w:rsidRPr="00CB2A8B">
              <w:rPr>
                <w:rFonts w:ascii="Times New Roman" w:hAnsi="Times New Roman" w:cs="Times New Roman"/>
              </w:rPr>
              <w:fldChar w:fldCharType="end"/>
            </w:r>
            <w:r w:rsidRPr="00CB2A8B">
              <w:rPr>
                <w:rFonts w:ascii="Times New Roman" w:hAnsi="Times New Roman" w:cs="Times New Roman"/>
              </w:rPr>
              <w:t>.</w:t>
            </w:r>
          </w:p>
        </w:tc>
        <w:tc>
          <w:tcPr>
            <w:tcW w:w="2126" w:type="dxa"/>
          </w:tcPr>
          <w:p w14:paraId="40E44142" w14:textId="6E4A17BE" w:rsidR="00A02F8E" w:rsidRPr="00CB2A8B" w:rsidRDefault="00A02F8E" w:rsidP="009D6BEA">
            <w:pPr>
              <w:rPr>
                <w:rFonts w:ascii="Times New Roman" w:hAnsi="Times New Roman" w:cs="Times New Roman"/>
              </w:rPr>
            </w:pPr>
            <w:r w:rsidRPr="00CB2A8B">
              <w:rPr>
                <w:rFonts w:ascii="Times New Roman" w:hAnsi="Times New Roman" w:cs="Times New Roman"/>
              </w:rPr>
              <w:fldChar w:fldCharType="begin"/>
            </w:r>
            <w:r w:rsidR="00166135" w:rsidRPr="00CB2A8B">
              <w:rPr>
                <w:rFonts w:ascii="Times New Roman" w:hAnsi="Times New Roman" w:cs="Times New Roman"/>
              </w:rPr>
              <w:instrText xml:space="preserve"> ADDIN ZOTERO_ITEM CSL_CITATION {"citationID":"XEYgylLP","properties":{"formattedCitation":"(Birks 2012; Anderson 2014; Clarke and Lynch 2016; Brunson and Baker 2016)","plainCitation":"(Birks 2012; Anderson 2014; Clarke and Lynch 2016; Brunson and Baker 2016)","noteIndex":0},"citationItems":[{"id":19,"uris":["http://zotero.org/users/10235684/items/QQIB8HKP"],"itemData":{"id":19,"type":"article-journal","abstract":"Until recently, ecological palaeoecology (a part of long-term ecology) and conservation biology were considered two separate subjects with little relevance to each other. With the shift from description and evaluation in conservation biology in the 1960s–1990s to the paradigm of ‘conservation in a rapidly changing world’ in the late 1990s, conservationists began to realise the importance of the temporal dimension in developing conservation strategies to allow for landscape and ecosystem change. Despite this paradigm shift, ecological palaeoecology is still largely ignored by conservation biology. I explore why this may be and outline recent advances in the subject of direct relevance to conservation science. I present nine questions of critical importance to conservation that palaeoecology can answer. Inevitably during this honeymoon phase of conservation biology and palaeoecology, there are controversies, challenges, and compromises. I outline these and suggest how some can be overcome by breakdown of the largely artificial boundaries between landscape history, cultural history, conservation, and palaeoecology, and by the appreciation that all can make important contributions to our understanding of people and nature and conservation in the face of changing land-use, environment, and landscapes.","container-title":"International Journal of Biodiversity Science, Ecosystem Services &amp; Management","DOI":"10.1080/21513732.2012.701667","ISSN":"2151-3732","issue":"4","note":"publisher: Taylor &amp; Francis\n_eprint: https://doi.org/10.1080/21513732.2012.701667","page":"292-304","source":"Taylor and Francis+NEJM","title":"Ecological palaeoecology and conservation biology: controversies, challenges, and compromises","title-short":"Ecological palaeoecology and conservation biology","volume":"8","author":[{"family":"Birks","given":"H. John B."}],"issued":{"date-parts":[["2012",12,1]]}}},{"id":312,"uris":["http://zotero.org/users/10235684/items/QIGFBMKS"],"itemData":{"id":312,"type":"article-journal","container-title":"Journal of Applied Ecology","DOI":"10.1111/1365-2664.12258","ISSN":"1365-2664","issue":"5","language":"en","note":"_eprint: https://besjournals.onlinelibrary.wiley.com/doi/pdf/10.1111/1365-2664.12258","page":"1148-1152","source":"Wiley Online Library","title":"PRACTITIONER'S PERSPECTIVE: Bridging the gap between applied ecological science and practical implementation in peatland restoration","title-short":"PRACTITIONER'S PERSPECTIVE","volume":"51","author":[{"family":"Anderson","given":"Penny"}],"issued":{"date-parts":[["2014"]]}}},{"id":713,"uris":["http://zotero.org/users/10235684/items/P6MH8YHN"],"itemData":{"id":713,"type":"article-journal","abstract":"Environmental science exists to seek solutions to problems related to human-nature interactions. Unfortunately, in many cases, environmental research findings are not effectively used because scientists are not able to convey their knowledge effectively to policy makers and the public, and/or because the questions they address are not directly linked to the answers stakeholders need. To address this issue, Schlesinger (2010) called for development of a “translational ecology” that would be understandable and usable by decision-makers, interest groups, and citizens. A barrier to usable science is that researchers are not usually trained to be translational. We convened a multi-disciplinary group of scholars to identify a comprehensive pedagogical approach for training doctoral students to be translational scientists. From this work has emerged a list of 53 skills, content areas, and dispositional attributes that lead to translational research in environmental science, as well as a set of instructional approaches that can be used to build those competencies. Future work will identify examples of how instructional activities can be linked to competencies to provide accessible tools and activities in support of a “community of practice” whose work enhances social-ecological resilience through translational environmental science.","container-title":"Journal of Environmental Studies and Sciences","DOI":"10.1007/s13412-015-0333-x","ISSN":"2190-6491","issue":"2","journalAbbreviation":"J Environ Stud Sci","language":"en","page":"295-299","source":"Springer Link","title":"Translational training for tomorrow’s environmental scientists","volume":"6","author":[{"family":"Brunson","given":"Mark W."},{"family":"Baker","given":"Michelle A."}],"issued":{"date-parts":[["2016",6,1]]}}},{"id":14,"uris":["http://zotero.org/users/10235684/items/7TFDJZ5J"],"itemData":{"id":14,"type":"article-journal","abstract":"Wetlands are an important social–ecological resource, being fundamentally important to many natural processes, human wellbeing and livelihoods. They also contain important stores of information in their sediments which are increasingly being used to improve conservation and environmental management outcomes. We describe how palaeoecology can inform understanding of longer-term processes in wetland environments and examples of where it has contributed directly to site-based conservation decisions for wetlands in the UK. Palaeoecological science is being used in partnerships between some scientists and wetland managers, yet there is scope for broadening its use to support more integrated, inclusive forms of management. We discuss this potential of palaeoecology to inform more holistic approaches to conservation through: landscape-scale conservation; a focus on ecosystem services and natural capital; and the interdisci-plinary approach of social–ecological systems that frames conservation as being for 'people and nature'. Realising this potential requires enhanced communication and engagement between scientists and research users about palaeoecological data, their scope for application, and limitations. The need for climate change adaptation, the use of narratives about past environmental changes and future management scenarios, and the need for improved approaches to conservation provide opportunities for bridging the science–policy–practitioner gap and advancing wetland conservation and management.","container-title":"Marine and Freshwater Research","DOI":"10.1071/MF15031","journalAbbreviation":"Marine and Freshwater Research","source":"ResearchGate","title":"Palaeoecology to inform wetland conservation and management: some experiences and prospects","title-short":"Palaeoecology to inform wetland conservation and management","volume":"67","author":[{"family":"Clarke","given":"Stewart"},{"family":"Lynch","given":"A."}],"issued":{"date-parts":[["2016",1,1]]}}}],"schema":"https://github.com/citation-style-language/schema/raw/master/csl-citation.json"} </w:instrText>
            </w:r>
            <w:r w:rsidRPr="00CB2A8B">
              <w:rPr>
                <w:rFonts w:ascii="Times New Roman" w:hAnsi="Times New Roman" w:cs="Times New Roman"/>
              </w:rPr>
              <w:fldChar w:fldCharType="separate"/>
            </w:r>
            <w:r w:rsidR="00166135" w:rsidRPr="00CB2A8B">
              <w:rPr>
                <w:rFonts w:ascii="Times New Roman" w:hAnsi="Times New Roman" w:cs="Times New Roman"/>
              </w:rPr>
              <w:t>(Birks 2012; Anderson 2014; Clarke and Lynch 2016; Brunson and Baker 2016)</w:t>
            </w:r>
            <w:r w:rsidRPr="00CB2A8B">
              <w:rPr>
                <w:rFonts w:ascii="Times New Roman" w:hAnsi="Times New Roman" w:cs="Times New Roman"/>
              </w:rPr>
              <w:fldChar w:fldCharType="end"/>
            </w:r>
          </w:p>
        </w:tc>
      </w:tr>
      <w:tr w:rsidR="00A02F8E" w:rsidRPr="00CB2A8B" w14:paraId="1490B238" w14:textId="77777777" w:rsidTr="009D6BEA">
        <w:tc>
          <w:tcPr>
            <w:tcW w:w="2254" w:type="dxa"/>
          </w:tcPr>
          <w:p w14:paraId="468EAE2B" w14:textId="13A45248" w:rsidR="00A02F8E" w:rsidRPr="00CB2A8B" w:rsidRDefault="00A02F8E" w:rsidP="009D6BEA">
            <w:pPr>
              <w:rPr>
                <w:rFonts w:ascii="Times New Roman" w:hAnsi="Times New Roman" w:cs="Times New Roman"/>
              </w:rPr>
            </w:pPr>
            <w:r w:rsidRPr="00CB2A8B">
              <w:rPr>
                <w:rFonts w:ascii="Times New Roman" w:hAnsi="Times New Roman" w:cs="Times New Roman"/>
              </w:rPr>
              <w:t>Accessible data</w:t>
            </w:r>
          </w:p>
        </w:tc>
        <w:tc>
          <w:tcPr>
            <w:tcW w:w="5254" w:type="dxa"/>
          </w:tcPr>
          <w:p w14:paraId="6ABC90BE" w14:textId="6C0E1A70" w:rsidR="00A02F8E" w:rsidRPr="00CB2A8B" w:rsidRDefault="00A02F8E" w:rsidP="009D6BEA">
            <w:pPr>
              <w:rPr>
                <w:rFonts w:ascii="Times New Roman" w:hAnsi="Times New Roman" w:cs="Times New Roman"/>
              </w:rPr>
            </w:pPr>
            <w:r w:rsidRPr="00CB2A8B">
              <w:rPr>
                <w:rFonts w:ascii="Times New Roman" w:hAnsi="Times New Roman" w:cs="Times New Roman"/>
              </w:rPr>
              <w:t xml:space="preserve">Practitioners can access the data from the study. Rated as “no” based on stated availability of data on the journal web page. When available to download, data were downloaded and investigated to establish if it should be considered “yes” (for fully accessible and editable data) or “partially” (for supplementary data that </w:t>
            </w:r>
            <w:r w:rsidR="000F03FF" w:rsidRPr="00CB2A8B">
              <w:rPr>
                <w:rFonts w:ascii="Times New Roman" w:hAnsi="Times New Roman" w:cs="Times New Roman"/>
              </w:rPr>
              <w:t>was available on request or in a format which did not conform to Open Data guidance</w:t>
            </w:r>
            <w:r w:rsidRPr="00CB2A8B">
              <w:rPr>
                <w:rFonts w:ascii="Times New Roman" w:hAnsi="Times New Roman" w:cs="Times New Roman"/>
              </w:rPr>
              <w:t>).</w:t>
            </w:r>
          </w:p>
        </w:tc>
        <w:tc>
          <w:tcPr>
            <w:tcW w:w="2126" w:type="dxa"/>
          </w:tcPr>
          <w:p w14:paraId="5F09C328" w14:textId="367E6173" w:rsidR="00A02F8E" w:rsidRPr="00CB2A8B" w:rsidRDefault="00A02F8E" w:rsidP="009D6BEA">
            <w:pPr>
              <w:rPr>
                <w:rFonts w:ascii="Times New Roman" w:hAnsi="Times New Roman" w:cs="Times New Roman"/>
              </w:rPr>
            </w:pPr>
            <w:r w:rsidRPr="00CB2A8B">
              <w:rPr>
                <w:rFonts w:ascii="Times New Roman" w:hAnsi="Times New Roman" w:cs="Times New Roman"/>
              </w:rPr>
              <w:fldChar w:fldCharType="begin"/>
            </w:r>
            <w:r w:rsidR="00166135" w:rsidRPr="00CB2A8B">
              <w:rPr>
                <w:rFonts w:ascii="Times New Roman" w:hAnsi="Times New Roman" w:cs="Times New Roman"/>
              </w:rPr>
              <w:instrText xml:space="preserve"> ADDIN ZOTERO_ITEM CSL_CITATION {"citationID":"GFDXiIHB","properties":{"formattedCitation":"(Dietrich et al. 2012; Gillson and Marchant 2014; Saulnier-Talbot 2015)","plainCitation":"(Dietrich et al. 2012; Gillson and Marchant 2014; Saulnier-Talbot 2015)","noteIndex":0},"citationItems":[{"id":3118,"uris":["http://zotero.org/users/10235684/items/V3MF6JB4"],"itemData":{"id":3118,"type":"book","source":"ResearchGate","title":"Open Data Handbook Documentation","author":[{"family":"Dietrich","given":"Daniel"},{"family":"Gray","given":"Jonathan"},{"family":"McNamara","given":"Tim"},{"family":"Poikola","given":"Antti"},{"family":"Pollock","given":"Rufus"},{"family":"Tait","given":"Julian"},{"family":"Zijlstra","given":"Ton"}],"issued":{"date-parts":[["2012",11,14]]}}},{"id":17,"uris":["http://zotero.org/users/10235684/items/6PTVGCVH"],"itemData":{"id":17,"type":"article-journal","abstract":"Maintaining biodiversity and ecosystem services in a changing environment requires a temporal perspective that informs realistic restoration and management targets. Such targets need to be dynamic, adaptive, and responsive to changing boundary conditions. However, the application of long-term data from palaeoecology is often hindered as the management and policy implications are not made explicit, and because data sets are often not accessible or amenable to stakeholders. Focussing on this translation gap, we explore how a palaeoecological perspective can change the focus of biodiversity management and conservation policy. We embed a long-term perspective (decades to millennia) into current adaptive management and policy frameworks, with the aim of encouraging better integration between palaeoecology, conservation management, and mainstreaming viable provision of ecosystem services.","container-title":"Trends in Ecology &amp; Evolution","DOI":"10.1016/j.tree.2014.03.010","ISSN":"0169-5347","issue":"6","journalAbbreviation":"Trends in Ecology &amp; Evolution","language":"en","page":"317-325","source":"ScienceDirect","title":"From myopia to clarity: sharpening the focus of ecosystem management through the lens of palaeoecology","title-short":"From myopia to clarity","volume":"29","author":[{"family":"Gillson","given":"Lindsey"},{"family":"Marchant","given":"Rob"}],"issued":{"date-parts":[["2014",6,1]]}}},{"id":315,"uris":["http://zotero.org/users/10235684/items/L3C6HDWN"],"itemData":{"id":315,"type":"article-journal","container-title":"Frontiers in Ecology and Evolution","DOI":"https://doi.org/10.3389/fevo.2015.00032","ISSN":"2296-701X","source":"Frontiers","title":"Overcoming the disconnect: are paleolimnologists doing enough to make their science accessible to aquatic managers and conservationists?","title-short":"Overcoming the disconnect","URL":"https://www.frontiersin.org/articles/10.3389/fevo.2015.00032","volume":"3","author":[{"family":"Saulnier-Talbot","given":"Émilie"}],"accessed":{"date-parts":[["2022",10,26]]},"issued":{"date-parts":[["2015"]]}}}],"schema":"https://github.com/citation-style-language/schema/raw/master/csl-citation.json"} </w:instrText>
            </w:r>
            <w:r w:rsidRPr="00CB2A8B">
              <w:rPr>
                <w:rFonts w:ascii="Times New Roman" w:hAnsi="Times New Roman" w:cs="Times New Roman"/>
              </w:rPr>
              <w:fldChar w:fldCharType="separate"/>
            </w:r>
            <w:r w:rsidR="00166135" w:rsidRPr="00CB2A8B">
              <w:rPr>
                <w:rFonts w:ascii="Times New Roman" w:hAnsi="Times New Roman" w:cs="Times New Roman"/>
              </w:rPr>
              <w:t>(Dietrich et al. 2012; Gillson and Marchant 2014; Saulnier-Talbot 2015)</w:t>
            </w:r>
            <w:r w:rsidRPr="00CB2A8B">
              <w:rPr>
                <w:rFonts w:ascii="Times New Roman" w:hAnsi="Times New Roman" w:cs="Times New Roman"/>
              </w:rPr>
              <w:fldChar w:fldCharType="end"/>
            </w:r>
          </w:p>
        </w:tc>
      </w:tr>
      <w:tr w:rsidR="00A02F8E" w:rsidRPr="00CB2A8B" w14:paraId="2042AC48" w14:textId="77777777" w:rsidTr="009D6BEA">
        <w:tc>
          <w:tcPr>
            <w:tcW w:w="2254" w:type="dxa"/>
          </w:tcPr>
          <w:p w14:paraId="0E11DC46" w14:textId="7A4B3105" w:rsidR="00A02F8E" w:rsidRPr="00CB2A8B" w:rsidRDefault="003713F9" w:rsidP="009D6BEA">
            <w:pPr>
              <w:rPr>
                <w:rFonts w:ascii="Times New Roman" w:hAnsi="Times New Roman" w:cs="Times New Roman"/>
              </w:rPr>
            </w:pPr>
            <w:r w:rsidRPr="00CB2A8B">
              <w:rPr>
                <w:rFonts w:ascii="Times New Roman" w:hAnsi="Times New Roman" w:cs="Times New Roman"/>
              </w:rPr>
              <w:t>Co-authorship</w:t>
            </w:r>
          </w:p>
        </w:tc>
        <w:tc>
          <w:tcPr>
            <w:tcW w:w="5254" w:type="dxa"/>
          </w:tcPr>
          <w:p w14:paraId="5E3C194F" w14:textId="77777777" w:rsidR="00A02F8E" w:rsidRPr="00CB2A8B" w:rsidRDefault="00A02F8E" w:rsidP="009D6BEA">
            <w:pPr>
              <w:rPr>
                <w:rFonts w:ascii="Times New Roman" w:hAnsi="Times New Roman" w:cs="Times New Roman"/>
              </w:rPr>
            </w:pPr>
            <w:r w:rsidRPr="00CB2A8B">
              <w:rPr>
                <w:rFonts w:ascii="Times New Roman" w:hAnsi="Times New Roman" w:cs="Times New Roman"/>
              </w:rPr>
              <w:t>Shows collaboration with practitioner partners, practitioner participation in research. Considered “yes” if author list included authors from NGOs (</w:t>
            </w:r>
            <w:proofErr w:type="gramStart"/>
            <w:r w:rsidRPr="00CB2A8B">
              <w:rPr>
                <w:rFonts w:ascii="Times New Roman" w:hAnsi="Times New Roman" w:cs="Times New Roman"/>
              </w:rPr>
              <w:t>e.g.</w:t>
            </w:r>
            <w:proofErr w:type="gramEnd"/>
            <w:r w:rsidRPr="00CB2A8B">
              <w:rPr>
                <w:rFonts w:ascii="Times New Roman" w:hAnsi="Times New Roman" w:cs="Times New Roman"/>
              </w:rPr>
              <w:t xml:space="preserve"> Wildlife Trusts, The Nature Conservancy) or government bodies (e.g. Natural England, Environment Canada) that are involved in conservation and/or land management. Excluded those from non-university academic bodies (</w:t>
            </w:r>
            <w:proofErr w:type="gramStart"/>
            <w:r w:rsidRPr="00CB2A8B">
              <w:rPr>
                <w:rFonts w:ascii="Times New Roman" w:hAnsi="Times New Roman" w:cs="Times New Roman"/>
              </w:rPr>
              <w:t>e.g.</w:t>
            </w:r>
            <w:proofErr w:type="gramEnd"/>
            <w:r w:rsidRPr="00CB2A8B">
              <w:rPr>
                <w:rFonts w:ascii="Times New Roman" w:hAnsi="Times New Roman" w:cs="Times New Roman"/>
              </w:rPr>
              <w:t xml:space="preserve"> Natural History Museum, British Geological Survey). Otherwise considered “no”.</w:t>
            </w:r>
          </w:p>
        </w:tc>
        <w:tc>
          <w:tcPr>
            <w:tcW w:w="2126" w:type="dxa"/>
          </w:tcPr>
          <w:p w14:paraId="42A3C829" w14:textId="6E1B3A25" w:rsidR="00A02F8E" w:rsidRPr="00CB2A8B" w:rsidRDefault="00A02F8E" w:rsidP="009D6BEA">
            <w:pPr>
              <w:rPr>
                <w:rFonts w:ascii="Times New Roman" w:hAnsi="Times New Roman" w:cs="Times New Roman"/>
              </w:rPr>
            </w:pPr>
            <w:r w:rsidRPr="00CB2A8B">
              <w:rPr>
                <w:rFonts w:ascii="Times New Roman" w:hAnsi="Times New Roman" w:cs="Times New Roman"/>
              </w:rPr>
              <w:fldChar w:fldCharType="begin"/>
            </w:r>
            <w:r w:rsidR="00166135" w:rsidRPr="00CB2A8B">
              <w:rPr>
                <w:rFonts w:ascii="Times New Roman" w:hAnsi="Times New Roman" w:cs="Times New Roman"/>
              </w:rPr>
              <w:instrText xml:space="preserve"> ADDIN ZOTERO_ITEM CSL_CITATION {"citationID":"4WA3Jdo6","properties":{"formattedCitation":"(Rull 2010; Saulnier-Talbot 2015; Tinsley-Marshall et al. 2022; Groff et al. 2023)","plainCitation":"(Rull 2010; Saulnier-Talbot 2015; Tinsley-Marshall et al. 2022; Groff et al. 2023)","noteIndex":0},"citationItems":[{"id":446,"uris":["http://zotero.org/users/10235684/items/AU7DRH9J"],"itemData":{"id":446,"type":"article-journal","abstract":"Ecology and Palaeoecology: Two Approaches, One Objective","container-title":"The Open Ecology Journal","issue":"1","page":"1-5","source":"benthamopen.com","title":"Ecology and Palaeoecology: Two Approaches, One Objective","title-short":"Ecology and Palaeoecology","volume":"3","author":[{"family":"Rull","given":"Valenti"}],"issued":{"date-parts":[["2010",1,14]]}}},{"id":315,"uris":["http://zotero.org/users/10235684/items/L3C6HDWN"],"itemData":{"id":315,"type":"article-journal","container-title":"Frontiers in Ecology and Evolution","DOI":"https://doi.org/10.3389/fevo.2015.00032","ISSN":"2296-701X","source":"Frontiers","title":"Overcoming the disconnect: are paleolimnologists doing enough to make their science accessible to aquatic managers and conservationists?","title-short":"Overcoming the disconnect","URL":"https://www.frontiersin.org/articles/10.3389/fevo.2015.00032","volume":"3","author":[{"family":"Saulnier-Talbot","given":"Émilie"}],"accessed":{"date-parts":[["2022",10,26]]},"issued":{"date-parts":[["2015"]]}}},{"id":736,"uris":["http://zotero.org/users/10235684/items/X86HT4K4"],"itemData":{"id":736,"type":"article-journal","abstract":"Evidence-based approaches are key for underpinning effective conservation practice, but major gaps in the evidence of the effectiveness of interventions limit their use. Conservation practitioners could make major contributions to filling these gaps but often lack the time, funding, or capacity to do so properly. Many funders target the delivery of conservation and can be reluctant to fund primary research. We analysed the literature testing the effectiveness of interventions. Of a sample of 1,265 publications published in 2019 that tested conservation interventions, 96% included academics. Only 21% included conservation practitioners, of which just under half were first or last author. A community of conservation funders and practitioners undertook a series of workshops to explore means of improving the quality and quantity of intervention testing. A survey of the suggested proportion of conservation grants that should be allocated to testing intervention effectiveness showed practitioners tended to prefer larger percentages (median 3–6%) than funders (median 1–3%), but the overlap was considerable. Funders can facilitate the testing of interventions through a range of measures, including welcoming applications that incorporate testing, allocating funds to testing, and providing training and support to deliver testing. The funders represented by the authors of this paper have committed to these actions. Practitioners can contribute by committing to routine testing, benefiting from funding allocated specifically to testing, and establishing processes for testing interventions. The organisations of the practitioner authors have committed to test at least one intervention per year and share findings, regardless of outcome. Currently, practitioners rarely lead the testing of conservation actions. We suggest processes by which both funders and practitioners can make this routine. This will not only improve the effectiveness and cost-efficiency of practice, but also make conservation more attractive to funders.","container-title":"Journal for Nature Conservation","DOI":"10.1016/j.jnc.2022.126184","ISSN":"1617-1381","journalAbbreviation":"Journal for Nature Conservation","language":"en","page":"126184","source":"ScienceDirect","title":"Funding and delivering the routine testing of management interventions to improve conservation effectiveness","volume":"67","author":[{"family":"Tinsley-Marshall","given":"Paul"},{"family":"Downey","given":"Harriet"},{"family":"Adum","given":"Gilbert"},{"family":"Al-Fulaij","given":"Nida"},{"family":"Bourn","given":"Nigel A. D."},{"family":"Brotherton","given":"Peter N. M."},{"family":"Frick","given":"Winifred F."},{"family":"Hancock","given":"Mark H."},{"family":"Hellon","given":"Josh"},{"family":"Hudson","given":"Michael A."},{"family":"Kortland","given":"Kenny"},{"family":"Mastro","given":"Kate"},{"family":"McNicol","given":"Catherine M."},{"family":"McPherson","given":"Tom"},{"family":"Mickleburgh","given":"Simon"},{"family":"Moss","given":"James F."},{"family":"Nichols","given":"Christopher P."},{"family":"O'Brien","given":"David"},{"family":"Ockendon","given":"Nancy"},{"family":"Paterson","given":"Stuart"},{"family":"Parks","given":"Danni"},{"family":"Pimm","given":"Stuart L."},{"family":"Schofield","given":"Henry"},{"family":"Simkins","given":"Ashley T."},{"family":"Watuwa","given":"James"},{"family":"Wormald","given":"Kathy"},{"family":"Wilkinson","given":"John"},{"family":"Wilson","given":"Jeremy D."},{"family":"Sutherland","given":"William J."}],"issued":{"date-parts":[["2022",6,1]]}}},{"id":1081,"uris":["http://zotero.org/users/10235684/items/TIG6AZCX"],"itemData":{"id":1081,"type":"article-journal","abstract":"Conservation paleobiology aims to provide a longer-term perspective on environmental problems to inform decisions about natural resource conservation. As such, conservation paleobiology research falls short when geohistorical data and insights do not inform conservation practice, contributing to the well-known idea that a “gap” exists between the production and use of science in the environmental realm. Our study quantified the extent of this research-implementation (or knowing-doing) gap through a systematic literature review and survey questionnaire. We determined whether empirical studies in conservation paleobiology with a link to conservation, management, or restoration documented the use of geohistorical data to implement some form of action or if there was a specific mention of how the geohistorical data could be used in theory. Results indicate that “applied” conservation paleobiology has a poor record of translating research into action. Tangible conservation impacts were evident in only 10.8% of studies. Over half of these studies included coauthors affiliated with a conservation organization. Among the studies coded as having a theoretical application, 25.2% specified how the geohistorical data could be implemented to enhance conservation, management, or restoration actions. All studies documenting action used geohistorical data from the geologically recent past where the species and habitats are familiar to those found today. Drawing insights from the bright spots we identified, we offer some practical suggestions to narrow the gap between knowing and doing in conservation paleobiology.","container-title":"Frontiers in Ecology and Evolution","DOI":"https://doi.org/10.3389/fevo.2023.1058992","ISSN":"2296-701X","source":"Frontiers","title":"Knowing but not doing: Quantifying the research-implementation gap in conservation paleobiology","title-short":"Knowing but not doing","URL":"https://www.frontiersin.org/articles/10.3389/fevo.2023.1058992","volume":"11","author":[{"family":"Groff","given":"Dulcinea V."},{"family":"McDonough MacKenzie","given":"Caitlin"},{"family":"Pier","given":"Jaleigh Q."},{"family":"Shaffer","given":"Austin B."},{"family":"Dietl","given":"Gregory P."}],"accessed":{"date-parts":[["2023",2,21]]},"issued":{"date-parts":[["2023"]]}}}],"schema":"https://github.com/citation-style-language/schema/raw/master/csl-citation.json"} </w:instrText>
            </w:r>
            <w:r w:rsidRPr="00CB2A8B">
              <w:rPr>
                <w:rFonts w:ascii="Times New Roman" w:hAnsi="Times New Roman" w:cs="Times New Roman"/>
              </w:rPr>
              <w:fldChar w:fldCharType="separate"/>
            </w:r>
            <w:r w:rsidR="00166135" w:rsidRPr="00CB2A8B">
              <w:rPr>
                <w:rFonts w:ascii="Times New Roman" w:hAnsi="Times New Roman" w:cs="Times New Roman"/>
              </w:rPr>
              <w:t>(Rull 2010; Saulnier-Talbot 2015; Tinsley-Marshall et al. 2022; Groff et al. 2023)</w:t>
            </w:r>
            <w:r w:rsidRPr="00CB2A8B">
              <w:rPr>
                <w:rFonts w:ascii="Times New Roman" w:hAnsi="Times New Roman" w:cs="Times New Roman"/>
              </w:rPr>
              <w:fldChar w:fldCharType="end"/>
            </w:r>
          </w:p>
        </w:tc>
      </w:tr>
      <w:tr w:rsidR="00A02F8E" w:rsidRPr="00CB2A8B" w14:paraId="07D2537E" w14:textId="77777777" w:rsidTr="009D6BEA">
        <w:tc>
          <w:tcPr>
            <w:tcW w:w="2254" w:type="dxa"/>
          </w:tcPr>
          <w:p w14:paraId="38D80266" w14:textId="581EBAB4" w:rsidR="00A02F8E" w:rsidRPr="00CB2A8B" w:rsidRDefault="00A02F8E" w:rsidP="009D6BEA">
            <w:pPr>
              <w:rPr>
                <w:rFonts w:ascii="Times New Roman" w:hAnsi="Times New Roman" w:cs="Times New Roman"/>
              </w:rPr>
            </w:pPr>
            <w:r w:rsidRPr="00CB2A8B">
              <w:rPr>
                <w:rFonts w:ascii="Times New Roman" w:hAnsi="Times New Roman" w:cs="Times New Roman"/>
              </w:rPr>
              <w:t>Legislative tie</w:t>
            </w:r>
            <w:r w:rsidR="00E46DDF" w:rsidRPr="00CB2A8B">
              <w:rPr>
                <w:rFonts w:ascii="Times New Roman" w:hAnsi="Times New Roman" w:cs="Times New Roman"/>
              </w:rPr>
              <w:t>-</w:t>
            </w:r>
            <w:r w:rsidRPr="00CB2A8B">
              <w:rPr>
                <w:rFonts w:ascii="Times New Roman" w:hAnsi="Times New Roman" w:cs="Times New Roman"/>
              </w:rPr>
              <w:t>in</w:t>
            </w:r>
          </w:p>
        </w:tc>
        <w:tc>
          <w:tcPr>
            <w:tcW w:w="5254" w:type="dxa"/>
          </w:tcPr>
          <w:p w14:paraId="51E0DE64" w14:textId="77777777" w:rsidR="00A02F8E" w:rsidRPr="00CB2A8B" w:rsidRDefault="00A02F8E" w:rsidP="009D6BEA">
            <w:pPr>
              <w:rPr>
                <w:rFonts w:ascii="Times New Roman" w:hAnsi="Times New Roman" w:cs="Times New Roman"/>
              </w:rPr>
            </w:pPr>
            <w:r w:rsidRPr="00CB2A8B">
              <w:rPr>
                <w:rFonts w:ascii="Times New Roman" w:hAnsi="Times New Roman" w:cs="Times New Roman"/>
              </w:rPr>
              <w:t>Important tie into factors driving practitioners. Considered “yes” if article made links to site designations/legislations/responsible authorities/protected areas in discussion and in context of the recommendations. Excluded those which only mention a site designation in site information. Otherwise considered “no”.</w:t>
            </w:r>
          </w:p>
        </w:tc>
        <w:tc>
          <w:tcPr>
            <w:tcW w:w="2126" w:type="dxa"/>
          </w:tcPr>
          <w:p w14:paraId="3AC08C47" w14:textId="38722AE8" w:rsidR="00A02F8E" w:rsidRPr="00CB2A8B" w:rsidRDefault="00A02F8E" w:rsidP="009D6BEA">
            <w:pPr>
              <w:rPr>
                <w:rFonts w:ascii="Times New Roman" w:hAnsi="Times New Roman" w:cs="Times New Roman"/>
              </w:rPr>
            </w:pPr>
            <w:r w:rsidRPr="00CB2A8B">
              <w:rPr>
                <w:rFonts w:ascii="Times New Roman" w:hAnsi="Times New Roman" w:cs="Times New Roman"/>
              </w:rPr>
              <w:fldChar w:fldCharType="begin"/>
            </w:r>
            <w:r w:rsidR="00166135" w:rsidRPr="00CB2A8B">
              <w:rPr>
                <w:rFonts w:ascii="Times New Roman" w:hAnsi="Times New Roman" w:cs="Times New Roman"/>
              </w:rPr>
              <w:instrText xml:space="preserve"> ADDIN ZOTERO_ITEM CSL_CITATION {"citationID":"h9BAamXw","properties":{"formattedCitation":"(Bennion et al. 2011; Birks 2012; Gillson and Marchant 2014; Saulnier-Talbot 2015; Flessa 2017)","plainCitation":"(Bennion et al. 2011; Birks 2012; Gillson and Marchant 2014; Saulnier-Talbot 2015; Flessa 2017)","noteIndex":0},"citationItems":[{"id":210,"uris":["http://zotero.org/users/10235684/items/FT8LKU34"],"itemData":{"id":210,"type":"article-journal","abstract":"The potential of palaeolimnological methods for establishing reference conditions and restoration targets for lakes has been recognised for some time, and has received renewed interest in recent years with the introduction of the EU Water Framework Directive. This paper considers some of the issues associated with the role of lake sediments in establishing reference conditions and defining recovery targets. We discuss the problem of attributing variation in the sediment record to human activity rather than to natural causes or random variability, and the need for the concepts of pristine and reference conditions to be differentiated. We address the question of expressing quantitatively the degree of change that has taken place between the reference and the present day and the problem of accounting for changes that may have taken place between the reference and the present, such as climate change, that may limit the use of the reference condition as a restoration target. Finally we consider the use of past habitat structure and inferred ecological functioning as targets for restoration, and the potential role that multi-proxy palaeoecological studies can play in defining such targets.","container-title":"Journal of Paleolimnology","DOI":"10.1007/s10933-010-9419-3","ISSN":"1573-0417","issue":"4","journalAbbreviation":"J Paleolimnol","language":"en","page":"533-544","source":"Springer Link","title":"Defining reference conditions and restoration targets for lake ecosystems using palaeolimnology: a synthesis","title-short":"Defining reference conditions and restoration targets for lake ecosystems using palaeolimnology","volume":"45","author":[{"family":"Bennion","given":"Helen"},{"family":"Battarbee","given":"Richard W."},{"family":"Sayer","given":"Carl D."},{"family":"Simpson","given":"Gavin L."},{"family":"Davidson","given":"Thomas A."}],"issued":{"date-parts":[["2011",4,1]]}}},{"id":19,"uris":["http://zotero.org/users/10235684/items/QQIB8HKP"],"itemData":{"id":19,"type":"article-journal","abstract":"Until recently, ecological palaeoecology (a part of long-term ecology) and conservation biology were considered two separate subjects with little relevance to each other. With the shift from description and evaluation in conservation biology in the 1960s–1990s to the paradigm of ‘conservation in a rapidly changing world’ in the late 1990s, conservationists began to realise the importance of the temporal dimension in developing conservation strategies to allow for landscape and ecosystem change. Despite this paradigm shift, ecological palaeoecology is still largely ignored by conservation biology. I explore why this may be and outline recent advances in the subject of direct relevance to conservation science. I present nine questions of critical importance to conservation that palaeoecology can answer. Inevitably during this honeymoon phase of conservation biology and palaeoecology, there are controversies, challenges, and compromises. I outline these and suggest how some can be overcome by breakdown of the largely artificial boundaries between landscape history, cultural history, conservation, and palaeoecology, and by the appreciation that all can make important contributions to our understanding of people and nature and conservation in the face of changing land-use, environment, and landscapes.","container-title":"International Journal of Biodiversity Science, Ecosystem Services &amp; Management","DOI":"10.1080/21513732.2012.701667","ISSN":"2151-3732","issue":"4","note":"publisher: Taylor &amp; Francis\n_eprint: https://doi.org/10.1080/21513732.2012.701667","page":"292-304","source":"Taylor and Francis+NEJM","title":"Ecological palaeoecology and conservation biology: controversies, challenges, and compromises","title-short":"Ecological palaeoecology and conservation biology","volume":"8","author":[{"family":"Birks","given":"H. John B."}],"issued":{"date-parts":[["2012",12,1]]}}},{"id":17,"uris":["http://zotero.org/users/10235684/items/6PTVGCVH"],"itemData":{"id":17,"type":"article-journal","abstract":"Maintaining biodiversity and ecosystem services in a changing environment requires a temporal perspective that informs realistic restoration and management targets. Such targets need to be dynamic, adaptive, and responsive to changing boundary conditions. However, the application of long-term data from palaeoecology is often hindered as the management and policy implications are not made explicit, and because data sets are often not accessible or amenable to stakeholders. Focussing on this translation gap, we explore how a palaeoecological perspective can change the focus of biodiversity management and conservation policy. We embed a long-term perspective (decades to millennia) into current adaptive management and policy frameworks, with the aim of encouraging better integration between palaeoecology, conservation management, and mainstreaming viable provision of ecosystem services.","container-title":"Trends in Ecology &amp; Evolution","DOI":"10.1016/j.tree.2014.03.010","ISSN":"0169-5347","issue":"6","journalAbbreviation":"Trends in Ecology &amp; Evolution","language":"en","page":"317-325","source":"ScienceDirect","title":"From myopia to clarity: sharpening the focus of ecosystem management through the lens of palaeoecology","title-short":"From myopia to clarity","volume":"29","author":[{"family":"Gillson","given":"Lindsey"},{"family":"Marchant","given":"Rob"}],"issued":{"date-parts":[["2014",6,1]]}}},{"id":315,"uris":["http://zotero.org/users/10235684/items/L3C6HDWN"],"itemData":{"id":315,"type":"article-journal","container-title":"Frontiers in Ecology and Evolution","DOI":"https://doi.org/10.3389/fevo.2015.00032","ISSN":"2296-701X","source":"Frontiers","title":"Overcoming the disconnect: are paleolimnologists doing enough to make their science accessible to aquatic managers and conservationists?","title-short":"Overcoming the disconnect","URL":"https://www.frontiersin.org/articles/10.3389/fevo.2015.00032","volume":"3","author":[{"family":"Saulnier-Talbot","given":"Émilie"}],"accessed":{"date-parts":[["2022",10,26]]},"issued":{"date-parts":[["2015"]]}}},{"id":701,"uris":["http://zotero.org/users/10235684/items/F2ND7FFW"],"itemData":{"id":701,"type":"chapter","abstract":"Chapter Fourteen Putting the dead to work: Translational paleoecology was published in Conservation Paleobiology on page 283.","container-title":"Chapter Fourteen Putting the dead to work: Translational paleoecology","ISBN":"978-0-226-50686-9","language":"en","note":"DOI: 10.7208/9780226506869-019","page":"283-290","publisher":"University of Chicago Press","source":"www.degruyter.com","title":"Chapter Fourteen Putting the dead to work: Translational paleoecology","title-short":"Chapter Fourteen Putting the dead to work","URL":"https://www.degruyter.com/document/doi/10.7208/9780226506869-019/pdf","author":[{"family":"Flessa","given":"Karl W."}],"accessed":{"date-parts":[["2023",1,16]]},"issued":{"date-parts":[["2017",11,17]]}}}],"schema":"https://github.com/citation-style-language/schema/raw/master/csl-citation.json"} </w:instrText>
            </w:r>
            <w:r w:rsidRPr="00CB2A8B">
              <w:rPr>
                <w:rFonts w:ascii="Times New Roman" w:hAnsi="Times New Roman" w:cs="Times New Roman"/>
              </w:rPr>
              <w:fldChar w:fldCharType="separate"/>
            </w:r>
            <w:r w:rsidR="00166135" w:rsidRPr="00CB2A8B">
              <w:rPr>
                <w:rFonts w:ascii="Times New Roman" w:hAnsi="Times New Roman" w:cs="Times New Roman"/>
              </w:rPr>
              <w:t>(Bennion et al. 2011; Birks 2012; Gillson and Marchant 2014; Saulnier-Talbot 2015; Flessa 2017)</w:t>
            </w:r>
            <w:r w:rsidRPr="00CB2A8B">
              <w:rPr>
                <w:rFonts w:ascii="Times New Roman" w:hAnsi="Times New Roman" w:cs="Times New Roman"/>
              </w:rPr>
              <w:fldChar w:fldCharType="end"/>
            </w:r>
          </w:p>
        </w:tc>
      </w:tr>
      <w:tr w:rsidR="00A02F8E" w:rsidRPr="00CB2A8B" w14:paraId="3ADAADD9" w14:textId="77777777" w:rsidTr="009D6BEA">
        <w:tc>
          <w:tcPr>
            <w:tcW w:w="2254" w:type="dxa"/>
          </w:tcPr>
          <w:p w14:paraId="2AD9B821" w14:textId="0D0595B5" w:rsidR="00A02F8E" w:rsidRPr="00CB2A8B" w:rsidRDefault="00A02F8E" w:rsidP="009D6BEA">
            <w:pPr>
              <w:rPr>
                <w:rFonts w:ascii="Times New Roman" w:hAnsi="Times New Roman" w:cs="Times New Roman"/>
              </w:rPr>
            </w:pPr>
            <w:r w:rsidRPr="00CB2A8B">
              <w:rPr>
                <w:rFonts w:ascii="Times New Roman" w:hAnsi="Times New Roman" w:cs="Times New Roman"/>
              </w:rPr>
              <w:t>Co-design</w:t>
            </w:r>
          </w:p>
        </w:tc>
        <w:tc>
          <w:tcPr>
            <w:tcW w:w="5254" w:type="dxa"/>
          </w:tcPr>
          <w:p w14:paraId="7D799C08" w14:textId="39CCAB33" w:rsidR="00A02F8E" w:rsidRPr="00CB2A8B" w:rsidRDefault="00A02F8E" w:rsidP="009D6BEA">
            <w:pPr>
              <w:rPr>
                <w:rFonts w:ascii="Times New Roman" w:hAnsi="Times New Roman" w:cs="Times New Roman"/>
              </w:rPr>
            </w:pPr>
            <w:r w:rsidRPr="00CB2A8B">
              <w:rPr>
                <w:rFonts w:ascii="Times New Roman" w:hAnsi="Times New Roman" w:cs="Times New Roman"/>
              </w:rPr>
              <w:t xml:space="preserve">Shown to be a key step in bridging gap and producing applicable research and designed with conservation output in mind. Though noted by </w:t>
            </w:r>
            <w:r w:rsidRPr="00CB2A8B">
              <w:rPr>
                <w:rFonts w:ascii="Times New Roman" w:hAnsi="Times New Roman" w:cs="Times New Roman"/>
              </w:rPr>
              <w:fldChar w:fldCharType="begin"/>
            </w:r>
            <w:r w:rsidR="00166135" w:rsidRPr="00CB2A8B">
              <w:rPr>
                <w:rFonts w:ascii="Times New Roman" w:hAnsi="Times New Roman" w:cs="Times New Roman"/>
              </w:rPr>
              <w:instrText xml:space="preserve"> ADDIN ZOTERO_ITEM CSL_CITATION {"citationID":"x8Bfu0ue","properties":{"formattedCitation":"(Groff et al. 2023)","plainCitation":"(Groff et al. 2023)","noteIndex":0},"citationItems":[{"id":1081,"uris":["http://zotero.org/users/10235684/items/TIG6AZCX"],"itemData":{"id":1081,"type":"article-journal","abstract":"Conservation paleobiology aims to provide a longer-term perspective on environmental problems to inform decisions about natural resource conservation. As such, conservation paleobiology research falls short when geohistorical data and insights do not inform conservation practice, contributing to the well-known idea that a “gap” exists between the production and use of science in the environmental realm. Our study quantified the extent of this research-implementation (or knowing-doing) gap through a systematic literature review and survey questionnaire. We determined whether empirical studies in conservation paleobiology with a link to conservation, management, or restoration documented the use of geohistorical data to implement some form of action or if there was a specific mention of how the geohistorical data could be used in theory. Results indicate that “applied” conservation paleobiology has a poor record of translating research into action. Tangible conservation impacts were evident in only 10.8% of studies. Over half of these studies included coauthors affiliated with a conservation organization. Among the studies coded as having a theoretical application, 25.2% specified how the geohistorical data could be implemented to enhance conservation, management, or restoration actions. All studies documenting action used geohistorical data from the geologically recent past where the species and habitats are familiar to those found today. Drawing insights from the bright spots we identified, we offer some practical suggestions to narrow the gap between knowing and doing in conservation paleobiology.","container-title":"Frontiers in Ecology and Evolution","DOI":"https://doi.org/10.3389/fevo.2023.1058992","ISSN":"2296-701X","source":"Frontiers","title":"Knowing but not doing: Quantifying the research-implementation gap in conservation paleobiology","title-short":"Knowing but not doing","URL":"https://www.frontiersin.org/articles/10.3389/fevo.2023.1058992","volume":"11","author":[{"family":"Groff","given":"Dulcinea V."},{"family":"McDonough MacKenzie","given":"Caitlin"},{"family":"Pier","given":"Jaleigh Q."},{"family":"Shaffer","given":"Austin B."},{"family":"Dietl","given":"Gregory P."}],"accessed":{"date-parts":[["2023",2,21]]},"issued":{"date-parts":[["2023"]]}}}],"schema":"https://github.com/citation-style-language/schema/raw/master/csl-citation.json"} </w:instrText>
            </w:r>
            <w:r w:rsidRPr="00CB2A8B">
              <w:rPr>
                <w:rFonts w:ascii="Times New Roman" w:hAnsi="Times New Roman" w:cs="Times New Roman"/>
              </w:rPr>
              <w:fldChar w:fldCharType="separate"/>
            </w:r>
            <w:r w:rsidR="00166135" w:rsidRPr="00CB2A8B">
              <w:rPr>
                <w:rFonts w:ascii="Times New Roman" w:hAnsi="Times New Roman" w:cs="Times New Roman"/>
              </w:rPr>
              <w:t>(Groff et al. 2023)</w:t>
            </w:r>
            <w:r w:rsidRPr="00CB2A8B">
              <w:rPr>
                <w:rFonts w:ascii="Times New Roman" w:hAnsi="Times New Roman" w:cs="Times New Roman"/>
              </w:rPr>
              <w:fldChar w:fldCharType="end"/>
            </w:r>
            <w:r w:rsidRPr="00CB2A8B">
              <w:rPr>
                <w:rFonts w:ascii="Times New Roman" w:hAnsi="Times New Roman" w:cs="Times New Roman"/>
              </w:rPr>
              <w:t xml:space="preserve"> that this is not always apparent from publications, considered as ‘”yes” if there is explanation either in-text in author contribution, funding or acknowledgement statements of a practitioner/conservation body playing a role in research commissioning or design. Otherwise considered as “no”.</w:t>
            </w:r>
          </w:p>
        </w:tc>
        <w:tc>
          <w:tcPr>
            <w:tcW w:w="2126" w:type="dxa"/>
          </w:tcPr>
          <w:p w14:paraId="3D63DB23" w14:textId="609A54DD" w:rsidR="00A02F8E" w:rsidRPr="00CB2A8B" w:rsidRDefault="00A02F8E" w:rsidP="009D6BEA">
            <w:pPr>
              <w:rPr>
                <w:rFonts w:ascii="Times New Roman" w:hAnsi="Times New Roman" w:cs="Times New Roman"/>
              </w:rPr>
            </w:pPr>
            <w:r w:rsidRPr="00CB2A8B">
              <w:rPr>
                <w:rFonts w:ascii="Times New Roman" w:hAnsi="Times New Roman" w:cs="Times New Roman"/>
              </w:rPr>
              <w:fldChar w:fldCharType="begin"/>
            </w:r>
            <w:r w:rsidR="00166135" w:rsidRPr="00CB2A8B">
              <w:rPr>
                <w:rFonts w:ascii="Times New Roman" w:hAnsi="Times New Roman" w:cs="Times New Roman"/>
              </w:rPr>
              <w:instrText xml:space="preserve"> ADDIN ZOTERO_ITEM CSL_CITATION {"citationID":"jv3I3g3k","properties":{"formattedCitation":"(Froyd and Willis 2008; Rull 2010; Saulnier-Talbot 2015; Gillson et al. 2021)","plainCitation":"(Froyd and Willis 2008; Rull 2010; Saulnier-Talbot 2015; Gillson et al. 2021)","noteIndex":0},"citationItems":[{"id":782,"uris":["http://zotero.org/users/10235684/items/A6VCKBWP"],"itemData":{"id":782,"type":"article-journal","abstract":"The study of Quaternary environmental change is directly applicable to on-going issues of global conservation. Palaeoecological research techniques provide the tools to address some of the key questions presently being asked by conservation ecologists and land management organizations. But is this type of analysis currently being utilized to its full potential? Are the results of palaeoenvironmental analyses routinely applied to practical issues of natural resource management, and if not what can be done to expand the application of this research within the conservation community? This paper reviews recent developments in the application of the analysis of late Quaternary environmental change to key environmental issues of biodiversity and conservation management and examines areas which could be strengthened in the future including: (i) determination of baselines and natural ecosystem variability; (ii) understanding ecological thresholds and resilience; (iii) climate change conservation strategies; (iv) biological invasions; and (v) conservation and culture.","container-title":"Quaternary Science Reviews","DOI":"10.1016/j.quascirev.2008.06.006","ISSN":"0277-3791","issue":"17","journalAbbreviation":"Quaternary Science Reviews","language":"en","page":"1723-1732","source":"ScienceDirect","title":"Emerging issues in biodiversity &amp; conservation management: The need for a palaeoecological perspective","title-short":"Emerging issues in biodiversity &amp; conservation management","volume":"27","author":[{"family":"Froyd","given":"C. A."},{"family":"Willis","given":"K. J."}],"issued":{"date-parts":[["2008",9,1]]}}},{"id":446,"uris":["http://zotero.org/users/10235684/items/AU7DRH9J"],"itemData":{"id":446,"type":"article-journal","abstract":"Ecology and Palaeoecology: Two Approaches, One Objective","container-title":"The Open Ecology Journal","issue":"1","page":"1-5","source":"benthamopen.com","title":"Ecology and Palaeoecology: Two Approaches, One Objective","title-short":"Ecology and Palaeoecology","volume":"3","author":[{"family":"Rull","given":"Valenti"}],"issued":{"date-parts":[["2010",1,14]]}}},{"id":315,"uris":["http://zotero.org/users/10235684/items/L3C6HDWN"],"itemData":{"id":315,"type":"article-journal","container-title":"Frontiers in Ecology and Evolution","DOI":"https://doi.org/10.3389/fevo.2015.00032","ISSN":"2296-701X","source":"Frontiers","title":"Overcoming the disconnect: are paleolimnologists doing enough to make their science accessible to aquatic managers and conservationists?","title-short":"Overcoming the disconnect","URL":"https://www.frontiersin.org/articles/10.3389/fevo.2015.00032","volume":"3","author":[{"family":"Saulnier-Talbot","given":"Émilie"}],"accessed":{"date-parts":[["2022",10,26]]},"issued":{"date-parts":[["2015"]]}}},{"id":118,"uris":["http://zotero.org/users/10235684/items/BLTIUS7W"],"itemData":{"id":118,"type":"article-journal","abstract":"Landscapes change over time in response to multiple interacting drivers, including climate, disturbance, and land-use, which all leave a lasting legacy on ecosystem structure and function. As the dynamic nature of eco­ systems is increasingly recognised, long-term data is essential to contextualise recent changes and provide a frame of reference for planning appropriate restoration responses. Knowledge of ecological function and process can underpin management thresholds and decision pathways that consider the history and resilience of eco­ systems. This paper reviews and synthesizes literature relevant to process-based approaches to restoration ecology that incorporates a long-term perspective. In doing so, we identify alternative descriptors to frame reference conditions, useful theoretical principles for restoration ecology, and a management decision-support framework based on these principles. Such tools enable exploration of possible future scenarios and adapta­ tion pathways for social-ecological resilience in a no-analogue future.","container-title":"Anthropocene","DOI":"10.1016/j.ancene.2021.100315","ISSN":"22133054","journalAbbreviation":"Anthropocene","language":"en","page":"100315","source":"DOI.org (Crossref)","title":"Using long-term data to inform a decision pathway for restoration of ecosystem resilience","volume":"36","author":[{"family":"Gillson","given":"Lindsey"},{"family":"Dirk","given":"Cherié"},{"family":"Gell","given":"Peter"}],"issued":{"date-parts":[["2021",12]]}}}],"schema":"https://github.com/citation-style-language/schema/raw/master/csl-citation.json"} </w:instrText>
            </w:r>
            <w:r w:rsidRPr="00CB2A8B">
              <w:rPr>
                <w:rFonts w:ascii="Times New Roman" w:hAnsi="Times New Roman" w:cs="Times New Roman"/>
              </w:rPr>
              <w:fldChar w:fldCharType="separate"/>
            </w:r>
            <w:r w:rsidR="00166135" w:rsidRPr="00CB2A8B">
              <w:rPr>
                <w:rFonts w:ascii="Times New Roman" w:hAnsi="Times New Roman" w:cs="Times New Roman"/>
              </w:rPr>
              <w:t>(Froyd and Willis 2008; Rull 2010; Saulnier-Talbot 2015; Gillson et al. 2021)</w:t>
            </w:r>
            <w:r w:rsidRPr="00CB2A8B">
              <w:rPr>
                <w:rFonts w:ascii="Times New Roman" w:hAnsi="Times New Roman" w:cs="Times New Roman"/>
              </w:rPr>
              <w:fldChar w:fldCharType="end"/>
            </w:r>
          </w:p>
        </w:tc>
      </w:tr>
      <w:tr w:rsidR="00A02F8E" w:rsidRPr="00CB2A8B" w14:paraId="5BCAC691" w14:textId="77777777" w:rsidTr="009D6BEA">
        <w:tc>
          <w:tcPr>
            <w:tcW w:w="2254" w:type="dxa"/>
          </w:tcPr>
          <w:p w14:paraId="724C3964" w14:textId="2DED7258" w:rsidR="00A02F8E" w:rsidRPr="00CB2A8B" w:rsidRDefault="00A02F8E" w:rsidP="009D6BEA">
            <w:pPr>
              <w:rPr>
                <w:rFonts w:ascii="Times New Roman" w:hAnsi="Times New Roman" w:cs="Times New Roman"/>
              </w:rPr>
            </w:pPr>
            <w:r w:rsidRPr="00CB2A8B">
              <w:rPr>
                <w:rFonts w:ascii="Times New Roman" w:hAnsi="Times New Roman" w:cs="Times New Roman"/>
              </w:rPr>
              <w:t>Signposting</w:t>
            </w:r>
          </w:p>
        </w:tc>
        <w:tc>
          <w:tcPr>
            <w:tcW w:w="5254" w:type="dxa"/>
          </w:tcPr>
          <w:p w14:paraId="7142B02E" w14:textId="77777777" w:rsidR="00A02F8E" w:rsidRPr="00CB2A8B" w:rsidRDefault="00A02F8E" w:rsidP="009D6BEA">
            <w:pPr>
              <w:rPr>
                <w:rFonts w:ascii="Times New Roman" w:hAnsi="Times New Roman" w:cs="Times New Roman"/>
              </w:rPr>
            </w:pPr>
            <w:r w:rsidRPr="00CB2A8B">
              <w:rPr>
                <w:rFonts w:ascii="Times New Roman" w:hAnsi="Times New Roman" w:cs="Times New Roman"/>
              </w:rPr>
              <w:t>Thoughtfully structured for practitioners. Considered “yes” if there was a dedicated section to the conservation/management implications or recommendations, explicitly named as such with a heading or subheading. Otherwise considered “no”.</w:t>
            </w:r>
          </w:p>
        </w:tc>
        <w:tc>
          <w:tcPr>
            <w:tcW w:w="2126" w:type="dxa"/>
          </w:tcPr>
          <w:p w14:paraId="266DC27C" w14:textId="488D3517" w:rsidR="00A02F8E" w:rsidRPr="00CB2A8B" w:rsidRDefault="00A02F8E" w:rsidP="009D6BEA">
            <w:pPr>
              <w:rPr>
                <w:rFonts w:ascii="Times New Roman" w:hAnsi="Times New Roman" w:cs="Times New Roman"/>
              </w:rPr>
            </w:pPr>
            <w:r w:rsidRPr="00CB2A8B">
              <w:rPr>
                <w:rFonts w:ascii="Times New Roman" w:hAnsi="Times New Roman" w:cs="Times New Roman"/>
              </w:rPr>
              <w:fldChar w:fldCharType="begin"/>
            </w:r>
            <w:r w:rsidR="00166135" w:rsidRPr="00CB2A8B">
              <w:rPr>
                <w:rFonts w:ascii="Times New Roman" w:hAnsi="Times New Roman" w:cs="Times New Roman"/>
              </w:rPr>
              <w:instrText xml:space="preserve"> ADDIN ZOTERO_ITEM CSL_CITATION {"citationID":"6BEOVYCC","properties":{"formattedCitation":"(Bartunek and Rynes 2010; Wickert et al. 2021)","plainCitation":"(Bartunek and Rynes 2010; Wickert et al. 2021)","noteIndex":0},"citationItems":[{"id":2612,"uris":["http://zotero.org/users/10235684/items/ADLGTZHV"],"itemData":{"id":2612,"type":"article-journal","container-title":"Academy of Management Learning &amp; Education","ISSN":"1537-260X","issue":"1","note":"publisher: Academy of Management","page":"100-117","source":"JSTOR","title":"The Construction and Contributions of \"Implications for Practice\": What's in Them and What Might They Offer?","title-short":"The Construction and Contributions of \"Implications for Practice\"","volume":"9","author":[{"family":"Bartunek","given":"Jean M."},{"family":"Rynes","given":"Sara L."}],"issued":{"date-parts":[["2010"]]}}},{"id":2614,"uris":["http://zotero.org/users/10235684/items/H3WE6MME"],"itemData":{"id":2614,"type":"article-journal","abstract":"The world is undergoing dramatic transformations. Many of the grand societal challenges we currently face underscore the need for scholarly research – including management studies – that can help us best sort out and solve them. Yet, management scholars struggle to produce concrete solutions or to communicate how their research can help to tackle these grand societal challenges. With this editorial, we want to help scholars seeking to ‘make a difference’ by broadening our understanding of what constitutes impactful research. We examine five forms of impact – scholarly, practical, societal, policy, and educational – outlining how scholars can systematically extend or enlarge their research agenda or projects to amplify their impact on the challenges societies face. We suggest that each of these forms of impact has intrinsic value in advancing the scientific enterprise and, together, can help to address key societal problems that reach beyond the immediate and traditional context of business management. With concrete suggestions for getting started on these forms of impact, and possible outputs for each, we hope to stimulate management and organization scholars to think more broadly about the opportunities for making an impact with their research and to begin doing so more often.","container-title":"Journal of Management Studies","DOI":"10.1111/joms.12666","ISSN":"1467-6486","issue":"2","language":"en","license":"© 2020 Society for the Advancement of Management Studies and John Wiley &amp; Sons, Ltd.","note":"_eprint: https://onlinelibrary.wiley.com/doi/pdf/10.1111/joms.12666","page":"297-320","source":"Wiley Online Library","title":"Management Research that Makes a Difference: Broadening the Meaning of Impact","title-short":"Management Research that Makes a Difference","volume":"58","author":[{"family":"Wickert","given":"Christopher"},{"family":"Post","given":"Corinne"},{"family":"Doh","given":"Jonathan P."},{"family":"Prescott","given":"John E."},{"family":"Prencipe","given":"Andrea"}],"issued":{"date-parts":[["2021"]]}}}],"schema":"https://github.com/citation-style-language/schema/raw/master/csl-citation.json"} </w:instrText>
            </w:r>
            <w:r w:rsidRPr="00CB2A8B">
              <w:rPr>
                <w:rFonts w:ascii="Times New Roman" w:hAnsi="Times New Roman" w:cs="Times New Roman"/>
              </w:rPr>
              <w:fldChar w:fldCharType="separate"/>
            </w:r>
            <w:r w:rsidR="00166135" w:rsidRPr="00CB2A8B">
              <w:rPr>
                <w:rFonts w:ascii="Times New Roman" w:hAnsi="Times New Roman" w:cs="Times New Roman"/>
              </w:rPr>
              <w:t>(Bartunek and Rynes 2010; Wickert et al. 2021)</w:t>
            </w:r>
            <w:r w:rsidRPr="00CB2A8B">
              <w:rPr>
                <w:rFonts w:ascii="Times New Roman" w:hAnsi="Times New Roman" w:cs="Times New Roman"/>
              </w:rPr>
              <w:fldChar w:fldCharType="end"/>
            </w:r>
          </w:p>
        </w:tc>
      </w:tr>
    </w:tbl>
    <w:p w14:paraId="0C603AAD" w14:textId="41DCE92F" w:rsidR="006B4706" w:rsidRPr="006B4706" w:rsidRDefault="006B4706" w:rsidP="006B4706">
      <w:pPr>
        <w:pStyle w:val="Bibliography"/>
        <w:rPr>
          <w:rFonts w:ascii="Times New Roman" w:hAnsi="Times New Roman" w:cs="Times New Roman"/>
          <w:b/>
          <w:bCs/>
        </w:rPr>
      </w:pPr>
      <w:r w:rsidRPr="006B4706">
        <w:rPr>
          <w:rFonts w:ascii="Times New Roman" w:hAnsi="Times New Roman" w:cs="Times New Roman"/>
          <w:b/>
          <w:bCs/>
        </w:rPr>
        <w:lastRenderedPageBreak/>
        <w:t>References for Supplementary Material 3</w:t>
      </w:r>
    </w:p>
    <w:p w14:paraId="0A1812F9" w14:textId="11768F32" w:rsidR="006B4706" w:rsidRPr="006B4706" w:rsidRDefault="00D97AA3" w:rsidP="006B4706">
      <w:pPr>
        <w:pStyle w:val="Bibliography"/>
        <w:rPr>
          <w:rFonts w:ascii="Times New Roman" w:hAnsi="Times New Roman" w:cs="Times New Roman"/>
          <w:kern w:val="0"/>
          <w:szCs w:val="24"/>
        </w:rPr>
      </w:pPr>
      <w:r>
        <w:fldChar w:fldCharType="begin"/>
      </w:r>
      <w:r w:rsidR="006B4706">
        <w:instrText xml:space="preserve"> ADDIN ZOTERO_BIBL {"uncited":[],"omitted":[["http://zotero.org/users/10235684/items/Z8L9FCEY"],["http://zotero.org/users/10235684/items/Z5H9A7XX"],["http://zotero.org/users/10235684/items/D8WT8RQ8"],["http://zotero.org/users/10235684/items/HE59W8D2"],["http://zotero.org/users/10235684/items/KR6MU3YU"],["http://zotero.org/users/10235684/items/J87Y3WFP"],["http://zotero.org/users/10235684/items/AJHS8QF9"],["http://zotero.org/users/10235684/items/2WY3Q97J"]],"custom":[]} CSL_BIBLIOGRAPHY </w:instrText>
      </w:r>
      <w:r>
        <w:fldChar w:fldCharType="separate"/>
      </w:r>
      <w:r w:rsidR="006B4706" w:rsidRPr="006B4706">
        <w:rPr>
          <w:rFonts w:ascii="Times New Roman" w:hAnsi="Times New Roman" w:cs="Times New Roman"/>
          <w:kern w:val="0"/>
          <w:szCs w:val="24"/>
        </w:rPr>
        <w:t>Alston JM (2019) Open access principles and practices benefit conservation. Conservation Letters 12:e12672. https://doi.org/10.1111/conl.12672</w:t>
      </w:r>
    </w:p>
    <w:p w14:paraId="589C8C95" w14:textId="77777777" w:rsidR="006B4706" w:rsidRPr="006B4706" w:rsidRDefault="006B4706" w:rsidP="006B4706">
      <w:pPr>
        <w:pStyle w:val="Bibliography"/>
        <w:rPr>
          <w:rFonts w:ascii="Times New Roman" w:hAnsi="Times New Roman" w:cs="Times New Roman"/>
          <w:kern w:val="0"/>
          <w:szCs w:val="24"/>
        </w:rPr>
      </w:pPr>
      <w:r w:rsidRPr="006B4706">
        <w:rPr>
          <w:rFonts w:ascii="Times New Roman" w:hAnsi="Times New Roman" w:cs="Times New Roman"/>
          <w:kern w:val="0"/>
          <w:szCs w:val="24"/>
        </w:rPr>
        <w:t>Anderson P (2014) PRACTITIONER’S PERSPECTIVE: Bridging the gap between applied ecological science and practical implementation in peatland restoration. Journal of Applied Ecology 51:1148–1152. https://doi.org/10.1111/1365-2664.12258</w:t>
      </w:r>
    </w:p>
    <w:p w14:paraId="08CA1DD4" w14:textId="77777777" w:rsidR="006B4706" w:rsidRPr="006B4706" w:rsidRDefault="006B4706" w:rsidP="006B4706">
      <w:pPr>
        <w:pStyle w:val="Bibliography"/>
        <w:rPr>
          <w:rFonts w:ascii="Times New Roman" w:hAnsi="Times New Roman" w:cs="Times New Roman"/>
          <w:kern w:val="0"/>
          <w:szCs w:val="24"/>
        </w:rPr>
      </w:pPr>
      <w:r w:rsidRPr="006B4706">
        <w:rPr>
          <w:rFonts w:ascii="Times New Roman" w:hAnsi="Times New Roman" w:cs="Times New Roman"/>
          <w:kern w:val="0"/>
          <w:szCs w:val="24"/>
        </w:rPr>
        <w:t>Bartunek JM, Rynes SL (2010) The Construction and Contributions of “Implications for Practice”: What’s in Them and What Might They Offer? Academy of Management Learning &amp; Education 9:100–117</w:t>
      </w:r>
    </w:p>
    <w:p w14:paraId="4CE6FE7E" w14:textId="77777777" w:rsidR="006B4706" w:rsidRPr="006B4706" w:rsidRDefault="006B4706" w:rsidP="006B4706">
      <w:pPr>
        <w:pStyle w:val="Bibliography"/>
        <w:rPr>
          <w:rFonts w:ascii="Times New Roman" w:hAnsi="Times New Roman" w:cs="Times New Roman"/>
          <w:kern w:val="0"/>
          <w:szCs w:val="24"/>
        </w:rPr>
      </w:pPr>
      <w:r w:rsidRPr="006B4706">
        <w:rPr>
          <w:rFonts w:ascii="Times New Roman" w:hAnsi="Times New Roman" w:cs="Times New Roman"/>
          <w:kern w:val="0"/>
          <w:szCs w:val="24"/>
        </w:rPr>
        <w:t>Bennion H, Battarbee RW, Sayer CD, et al (2011) Defining reference conditions and restoration targets for lake ecosystems using palaeolimnology: a synthesis. J Paleolimnol 45:533–544. https://doi.org/10.1007/s10933-010-9419-3</w:t>
      </w:r>
    </w:p>
    <w:p w14:paraId="54BE159E" w14:textId="77777777" w:rsidR="006B4706" w:rsidRPr="006B4706" w:rsidRDefault="006B4706" w:rsidP="006B4706">
      <w:pPr>
        <w:pStyle w:val="Bibliography"/>
        <w:rPr>
          <w:rFonts w:ascii="Times New Roman" w:hAnsi="Times New Roman" w:cs="Times New Roman"/>
          <w:kern w:val="0"/>
          <w:szCs w:val="24"/>
        </w:rPr>
      </w:pPr>
      <w:r w:rsidRPr="006B4706">
        <w:rPr>
          <w:rFonts w:ascii="Times New Roman" w:hAnsi="Times New Roman" w:cs="Times New Roman"/>
          <w:kern w:val="0"/>
          <w:szCs w:val="24"/>
        </w:rPr>
        <w:t>Birks HJB (2012) Ecological palaeoecology and conservation biology: controversies, challenges, and compromises. International Journal of Biodiversity Science, Ecosystem Services &amp; Management 8:292–304. https://doi.org/10.1080/21513732.2012.701667</w:t>
      </w:r>
    </w:p>
    <w:p w14:paraId="1B50332E" w14:textId="77777777" w:rsidR="006B4706" w:rsidRPr="006B4706" w:rsidRDefault="006B4706" w:rsidP="006B4706">
      <w:pPr>
        <w:pStyle w:val="Bibliography"/>
        <w:rPr>
          <w:rFonts w:ascii="Times New Roman" w:hAnsi="Times New Roman" w:cs="Times New Roman"/>
          <w:kern w:val="0"/>
          <w:szCs w:val="24"/>
        </w:rPr>
      </w:pPr>
      <w:r w:rsidRPr="006B4706">
        <w:rPr>
          <w:rFonts w:ascii="Times New Roman" w:hAnsi="Times New Roman" w:cs="Times New Roman"/>
          <w:kern w:val="0"/>
          <w:szCs w:val="24"/>
        </w:rPr>
        <w:t>Brunson MW, Baker MA (2016) Translational training for tomorrow’s environmental scientists. J Environ Stud Sci 6:295–299. https://doi.org/10.1007/s13412-015-0333-x</w:t>
      </w:r>
    </w:p>
    <w:p w14:paraId="6EC82AF3" w14:textId="77777777" w:rsidR="006B4706" w:rsidRPr="006B4706" w:rsidRDefault="006B4706" w:rsidP="006B4706">
      <w:pPr>
        <w:pStyle w:val="Bibliography"/>
        <w:rPr>
          <w:rFonts w:ascii="Times New Roman" w:hAnsi="Times New Roman" w:cs="Times New Roman"/>
          <w:kern w:val="0"/>
          <w:szCs w:val="24"/>
        </w:rPr>
      </w:pPr>
      <w:r w:rsidRPr="006B4706">
        <w:rPr>
          <w:rFonts w:ascii="Times New Roman" w:hAnsi="Times New Roman" w:cs="Times New Roman"/>
          <w:kern w:val="0"/>
          <w:szCs w:val="24"/>
        </w:rPr>
        <w:t>Clarke S, Lynch A (2016) Palaeoecology to inform wetland conservation and management: some experiences and prospects. Marine and Freshwater Research 67:. https://doi.org/10.1071/MF15031</w:t>
      </w:r>
    </w:p>
    <w:p w14:paraId="102491CF" w14:textId="77777777" w:rsidR="006B4706" w:rsidRPr="006B4706" w:rsidRDefault="006B4706" w:rsidP="006B4706">
      <w:pPr>
        <w:pStyle w:val="Bibliography"/>
        <w:rPr>
          <w:rFonts w:ascii="Times New Roman" w:hAnsi="Times New Roman" w:cs="Times New Roman"/>
          <w:kern w:val="0"/>
          <w:szCs w:val="24"/>
        </w:rPr>
      </w:pPr>
      <w:r w:rsidRPr="006B4706">
        <w:rPr>
          <w:rFonts w:ascii="Times New Roman" w:hAnsi="Times New Roman" w:cs="Times New Roman"/>
          <w:kern w:val="0"/>
          <w:szCs w:val="24"/>
        </w:rPr>
        <w:t>Dietrich D, Gray J, McNamara T, et al (2012) Open Data Handbook Documentation</w:t>
      </w:r>
    </w:p>
    <w:p w14:paraId="65FA6A78" w14:textId="77777777" w:rsidR="006B4706" w:rsidRPr="006B4706" w:rsidRDefault="006B4706" w:rsidP="006B4706">
      <w:pPr>
        <w:pStyle w:val="Bibliography"/>
        <w:rPr>
          <w:rFonts w:ascii="Times New Roman" w:hAnsi="Times New Roman" w:cs="Times New Roman"/>
          <w:kern w:val="0"/>
          <w:szCs w:val="24"/>
        </w:rPr>
      </w:pPr>
      <w:r w:rsidRPr="006B4706">
        <w:rPr>
          <w:rFonts w:ascii="Times New Roman" w:hAnsi="Times New Roman" w:cs="Times New Roman"/>
          <w:kern w:val="0"/>
          <w:szCs w:val="24"/>
        </w:rPr>
        <w:t>Elsevier (2024) Highlights of journal articles | Elsevier. In: www.elsevier.com. https://www.elsevier.com/en-gb/researcher/author/tools-and-resources/highlights. Accessed 5 Apr 2024</w:t>
      </w:r>
    </w:p>
    <w:p w14:paraId="52D3673E" w14:textId="77777777" w:rsidR="006B4706" w:rsidRPr="006B4706" w:rsidRDefault="006B4706" w:rsidP="006B4706">
      <w:pPr>
        <w:pStyle w:val="Bibliography"/>
        <w:rPr>
          <w:rFonts w:ascii="Times New Roman" w:hAnsi="Times New Roman" w:cs="Times New Roman"/>
          <w:kern w:val="0"/>
          <w:szCs w:val="24"/>
        </w:rPr>
      </w:pPr>
      <w:r w:rsidRPr="006B4706">
        <w:rPr>
          <w:rFonts w:ascii="Times New Roman" w:hAnsi="Times New Roman" w:cs="Times New Roman"/>
          <w:kern w:val="0"/>
          <w:szCs w:val="24"/>
        </w:rPr>
        <w:t>Flessa KW (2017) Chapter Fourteen Putting the dead to work: Translational paleoecology. In: Chapter Fourteen Putting the dead to work: Translational paleoecology. University of Chicago Press, pp 283–290</w:t>
      </w:r>
    </w:p>
    <w:p w14:paraId="132C93B6" w14:textId="77777777" w:rsidR="006B4706" w:rsidRPr="006B4706" w:rsidRDefault="006B4706" w:rsidP="006B4706">
      <w:pPr>
        <w:pStyle w:val="Bibliography"/>
        <w:rPr>
          <w:rFonts w:ascii="Times New Roman" w:hAnsi="Times New Roman" w:cs="Times New Roman"/>
          <w:kern w:val="0"/>
          <w:szCs w:val="24"/>
        </w:rPr>
      </w:pPr>
      <w:r w:rsidRPr="006B4706">
        <w:rPr>
          <w:rFonts w:ascii="Times New Roman" w:hAnsi="Times New Roman" w:cs="Times New Roman"/>
          <w:kern w:val="0"/>
          <w:szCs w:val="24"/>
        </w:rPr>
        <w:t>Froyd CA, Willis KJ (2008) Emerging issues in biodiversity &amp; conservation management: The need for a palaeoecological perspective. Quaternary Science Reviews 27:1723–1732. https://doi.org/10.1016/j.quascirev.2008.06.006</w:t>
      </w:r>
    </w:p>
    <w:p w14:paraId="302B6CF5" w14:textId="77777777" w:rsidR="006B4706" w:rsidRPr="006B4706" w:rsidRDefault="006B4706" w:rsidP="006B4706">
      <w:pPr>
        <w:pStyle w:val="Bibliography"/>
        <w:rPr>
          <w:rFonts w:ascii="Times New Roman" w:hAnsi="Times New Roman" w:cs="Times New Roman"/>
          <w:kern w:val="0"/>
          <w:szCs w:val="24"/>
        </w:rPr>
      </w:pPr>
      <w:r w:rsidRPr="006B4706">
        <w:rPr>
          <w:rFonts w:ascii="Times New Roman" w:hAnsi="Times New Roman" w:cs="Times New Roman"/>
          <w:kern w:val="0"/>
          <w:szCs w:val="24"/>
        </w:rPr>
        <w:t>Gillson L, Dirk C, Gell P (2021) Using long-term data to inform a decision pathway for restoration of ecosystem resilience. Anthropocene 36:100315. https://doi.org/10.1016/j.ancene.2021.100315</w:t>
      </w:r>
    </w:p>
    <w:p w14:paraId="0CFFC38E" w14:textId="77777777" w:rsidR="006B4706" w:rsidRPr="006B4706" w:rsidRDefault="006B4706" w:rsidP="006B4706">
      <w:pPr>
        <w:pStyle w:val="Bibliography"/>
        <w:rPr>
          <w:rFonts w:ascii="Times New Roman" w:hAnsi="Times New Roman" w:cs="Times New Roman"/>
          <w:kern w:val="0"/>
          <w:szCs w:val="24"/>
        </w:rPr>
      </w:pPr>
      <w:r w:rsidRPr="006B4706">
        <w:rPr>
          <w:rFonts w:ascii="Times New Roman" w:hAnsi="Times New Roman" w:cs="Times New Roman"/>
          <w:kern w:val="0"/>
          <w:szCs w:val="24"/>
        </w:rPr>
        <w:t>Gillson L, Marchant R (2014) From myopia to clarity: sharpening the focus of ecosystem management through the lens of palaeoecology. Trends in Ecology &amp; Evolution 29:317–325. https://doi.org/10.1016/j.tree.2014.03.010</w:t>
      </w:r>
    </w:p>
    <w:p w14:paraId="4AFDDC2D" w14:textId="77777777" w:rsidR="006B4706" w:rsidRPr="006B4706" w:rsidRDefault="006B4706" w:rsidP="006B4706">
      <w:pPr>
        <w:pStyle w:val="Bibliography"/>
        <w:rPr>
          <w:rFonts w:ascii="Times New Roman" w:hAnsi="Times New Roman" w:cs="Times New Roman"/>
          <w:kern w:val="0"/>
          <w:szCs w:val="24"/>
        </w:rPr>
      </w:pPr>
      <w:r w:rsidRPr="006B4706">
        <w:rPr>
          <w:rFonts w:ascii="Times New Roman" w:hAnsi="Times New Roman" w:cs="Times New Roman"/>
          <w:kern w:val="0"/>
          <w:szCs w:val="24"/>
        </w:rPr>
        <w:t>Groff DV, McDonough MacKenzie C, Pier JQ, et al (2023) Knowing but not doing: Quantifying the research-implementation gap in conservation paleobiology. Frontiers in Ecology and Evolution 11:. https://doi.org/10.3389/fevo.2023.1058992</w:t>
      </w:r>
    </w:p>
    <w:p w14:paraId="07F49007" w14:textId="77777777" w:rsidR="006B4706" w:rsidRPr="006B4706" w:rsidRDefault="006B4706" w:rsidP="006B4706">
      <w:pPr>
        <w:pStyle w:val="Bibliography"/>
        <w:rPr>
          <w:rFonts w:ascii="Times New Roman" w:hAnsi="Times New Roman" w:cs="Times New Roman"/>
          <w:kern w:val="0"/>
          <w:szCs w:val="24"/>
        </w:rPr>
      </w:pPr>
      <w:r w:rsidRPr="006B4706">
        <w:rPr>
          <w:rFonts w:ascii="Times New Roman" w:hAnsi="Times New Roman" w:cs="Times New Roman"/>
          <w:kern w:val="0"/>
          <w:szCs w:val="24"/>
        </w:rPr>
        <w:t>Roche DG, O’Dea RE, Kerr KA, et al (2022) Closing the knowledge-action gap in conservation with open science. Conservation Biology 36:e13835. https://doi.org/10.1111/cobi.13835</w:t>
      </w:r>
    </w:p>
    <w:p w14:paraId="4C4622AD" w14:textId="77777777" w:rsidR="006B4706" w:rsidRPr="006B4706" w:rsidRDefault="006B4706" w:rsidP="006B4706">
      <w:pPr>
        <w:pStyle w:val="Bibliography"/>
        <w:rPr>
          <w:rFonts w:ascii="Times New Roman" w:hAnsi="Times New Roman" w:cs="Times New Roman"/>
          <w:kern w:val="0"/>
          <w:szCs w:val="24"/>
        </w:rPr>
      </w:pPr>
      <w:r w:rsidRPr="006B4706">
        <w:rPr>
          <w:rFonts w:ascii="Times New Roman" w:hAnsi="Times New Roman" w:cs="Times New Roman"/>
          <w:kern w:val="0"/>
          <w:szCs w:val="24"/>
        </w:rPr>
        <w:lastRenderedPageBreak/>
        <w:t>Rull V (2010) Ecology and Palaeoecology: Two Approaches, One Objective. The Open Ecology Journal 3:1–5</w:t>
      </w:r>
    </w:p>
    <w:p w14:paraId="39AD2149" w14:textId="77777777" w:rsidR="006B4706" w:rsidRPr="006B4706" w:rsidRDefault="006B4706" w:rsidP="006B4706">
      <w:pPr>
        <w:pStyle w:val="Bibliography"/>
        <w:rPr>
          <w:rFonts w:ascii="Times New Roman" w:hAnsi="Times New Roman" w:cs="Times New Roman"/>
          <w:kern w:val="0"/>
          <w:szCs w:val="24"/>
        </w:rPr>
      </w:pPr>
      <w:r w:rsidRPr="006B4706">
        <w:rPr>
          <w:rFonts w:ascii="Times New Roman" w:hAnsi="Times New Roman" w:cs="Times New Roman"/>
          <w:kern w:val="0"/>
          <w:szCs w:val="24"/>
        </w:rPr>
        <w:t>Saulnier-Talbot É (2015) Overcoming the disconnect: are paleolimnologists doing enough to make their science accessible to aquatic managers and conservationists? Frontiers in Ecology and Evolution 3:. https://doi.org/10.3389/fevo.2015.00032</w:t>
      </w:r>
    </w:p>
    <w:p w14:paraId="41E2D093" w14:textId="77777777" w:rsidR="006B4706" w:rsidRPr="006B4706" w:rsidRDefault="006B4706" w:rsidP="006B4706">
      <w:pPr>
        <w:pStyle w:val="Bibliography"/>
        <w:rPr>
          <w:rFonts w:ascii="Times New Roman" w:hAnsi="Times New Roman" w:cs="Times New Roman"/>
          <w:kern w:val="0"/>
          <w:szCs w:val="24"/>
        </w:rPr>
      </w:pPr>
      <w:r w:rsidRPr="006B4706">
        <w:rPr>
          <w:rFonts w:ascii="Times New Roman" w:hAnsi="Times New Roman" w:cs="Times New Roman"/>
          <w:kern w:val="0"/>
          <w:szCs w:val="24"/>
        </w:rPr>
        <w:t>Tinsley-Marshall P, Downey H, Adum G, et al (2022) Funding and delivering the routine testing of management interventions to improve conservation effectiveness. Journal for Nature Conservation 67:126184. https://doi.org/10.1016/j.jnc.2022.126184</w:t>
      </w:r>
    </w:p>
    <w:p w14:paraId="35687630" w14:textId="77777777" w:rsidR="006B4706" w:rsidRPr="006B4706" w:rsidRDefault="006B4706" w:rsidP="006B4706">
      <w:pPr>
        <w:pStyle w:val="Bibliography"/>
        <w:rPr>
          <w:rFonts w:ascii="Times New Roman" w:hAnsi="Times New Roman" w:cs="Times New Roman"/>
          <w:kern w:val="0"/>
          <w:szCs w:val="24"/>
        </w:rPr>
      </w:pPr>
      <w:r w:rsidRPr="006B4706">
        <w:rPr>
          <w:rFonts w:ascii="Times New Roman" w:hAnsi="Times New Roman" w:cs="Times New Roman"/>
          <w:kern w:val="0"/>
          <w:szCs w:val="24"/>
        </w:rPr>
        <w:t>Wickert C, Post C, Doh JP, et al (2021) Management Research that Makes a Difference: Broadening the Meaning of Impact. Journal of Management Studies 58:297–320. https://doi.org/10.1111/joms.12666</w:t>
      </w:r>
    </w:p>
    <w:p w14:paraId="7CBC4344" w14:textId="01D98957" w:rsidR="00A02F8E" w:rsidRDefault="00D97AA3" w:rsidP="0073175F">
      <w:pPr>
        <w:rPr>
          <w:rFonts w:ascii="Times New Roman" w:hAnsi="Times New Roman" w:cs="Times New Roman"/>
          <w:b/>
          <w:bCs/>
        </w:rPr>
      </w:pPr>
      <w:r>
        <w:rPr>
          <w:rFonts w:ascii="Times New Roman" w:hAnsi="Times New Roman" w:cs="Times New Roman"/>
          <w:b/>
          <w:bCs/>
        </w:rPr>
        <w:fldChar w:fldCharType="end"/>
      </w:r>
    </w:p>
    <w:p w14:paraId="0514195C" w14:textId="77777777" w:rsidR="00A251C1" w:rsidRDefault="00A251C1">
      <w:pPr>
        <w:rPr>
          <w:rFonts w:ascii="Times New Roman" w:hAnsi="Times New Roman" w:cs="Times New Roman"/>
          <w:b/>
          <w:bCs/>
        </w:rPr>
      </w:pPr>
      <w:r>
        <w:rPr>
          <w:rFonts w:ascii="Times New Roman" w:hAnsi="Times New Roman" w:cs="Times New Roman"/>
          <w:b/>
          <w:bCs/>
        </w:rPr>
        <w:br w:type="page"/>
      </w:r>
    </w:p>
    <w:p w14:paraId="5812091E" w14:textId="14F10649" w:rsidR="008A36DF" w:rsidRDefault="008A36DF" w:rsidP="008A36DF">
      <w:pPr>
        <w:rPr>
          <w:rFonts w:ascii="Times New Roman" w:hAnsi="Times New Roman" w:cs="Times New Roman"/>
          <w:b/>
          <w:bCs/>
        </w:rPr>
      </w:pPr>
      <w:r w:rsidRPr="00B7106A">
        <w:rPr>
          <w:rFonts w:ascii="Times New Roman" w:hAnsi="Times New Roman" w:cs="Times New Roman"/>
          <w:b/>
          <w:bCs/>
        </w:rPr>
        <w:lastRenderedPageBreak/>
        <w:t xml:space="preserve">Supplementary Material </w:t>
      </w:r>
      <w:r>
        <w:rPr>
          <w:rFonts w:ascii="Times New Roman" w:hAnsi="Times New Roman" w:cs="Times New Roman"/>
          <w:b/>
          <w:bCs/>
        </w:rPr>
        <w:t>4:</w:t>
      </w:r>
      <w:r w:rsidRPr="00B7106A">
        <w:rPr>
          <w:rFonts w:ascii="Times New Roman" w:hAnsi="Times New Roman" w:cs="Times New Roman"/>
          <w:b/>
          <w:bCs/>
        </w:rPr>
        <w:t xml:space="preserve"> </w:t>
      </w:r>
      <w:r w:rsidR="00C7431A">
        <w:rPr>
          <w:rFonts w:ascii="Times New Roman" w:hAnsi="Times New Roman" w:cs="Times New Roman"/>
          <w:b/>
          <w:bCs/>
        </w:rPr>
        <w:t>P</w:t>
      </w:r>
      <w:r>
        <w:rPr>
          <w:rFonts w:ascii="Times New Roman" w:hAnsi="Times New Roman" w:cs="Times New Roman"/>
          <w:b/>
          <w:bCs/>
        </w:rPr>
        <w:t>ractitioner assessment instructions</w:t>
      </w:r>
    </w:p>
    <w:p w14:paraId="0A177C23" w14:textId="2107E545" w:rsidR="00A251C1" w:rsidRDefault="00A251C1" w:rsidP="008A36DF">
      <w:pPr>
        <w:rPr>
          <w:rFonts w:ascii="Times New Roman" w:hAnsi="Times New Roman" w:cs="Times New Roman"/>
        </w:rPr>
      </w:pPr>
      <w:r>
        <w:rPr>
          <w:rFonts w:ascii="Times New Roman" w:hAnsi="Times New Roman" w:cs="Times New Roman"/>
        </w:rPr>
        <w:t>Practitioners were invited to partake via email</w:t>
      </w:r>
      <w:r w:rsidR="00350F6F">
        <w:rPr>
          <w:rFonts w:ascii="Times New Roman" w:hAnsi="Times New Roman" w:cs="Times New Roman"/>
        </w:rPr>
        <w:t>, those that responded were provided with a document with the following instructions alongside 10 randomly selected extracts.</w:t>
      </w:r>
    </w:p>
    <w:p w14:paraId="504C1056" w14:textId="1B975272" w:rsidR="00350F6F" w:rsidRDefault="00350F6F" w:rsidP="008A36DF">
      <w:pPr>
        <w:rPr>
          <w:rFonts w:ascii="Times New Roman" w:hAnsi="Times New Roman" w:cs="Times New Roman"/>
        </w:rPr>
      </w:pPr>
      <w:r>
        <w:rPr>
          <w:rFonts w:ascii="Times New Roman" w:hAnsi="Times New Roman" w:cs="Times New Roman"/>
        </w:rPr>
        <w:t>Instructions:</w:t>
      </w:r>
    </w:p>
    <w:p w14:paraId="608AF997" w14:textId="77777777" w:rsidR="00350F6F" w:rsidRPr="00350F6F" w:rsidRDefault="00350F6F" w:rsidP="00350F6F">
      <w:pPr>
        <w:pStyle w:val="NoSpacing"/>
        <w:numPr>
          <w:ilvl w:val="0"/>
          <w:numId w:val="2"/>
        </w:numPr>
        <w:rPr>
          <w:rFonts w:ascii="Times New Roman" w:hAnsi="Times New Roman" w:cs="Times New Roman"/>
        </w:rPr>
      </w:pPr>
      <w:r w:rsidRPr="00350F6F">
        <w:rPr>
          <w:rFonts w:ascii="Times New Roman" w:hAnsi="Times New Roman" w:cs="Times New Roman"/>
        </w:rPr>
        <w:t>You are provided with a summary of each paper, a space to write your response and then the extract itself on the following slide(s).</w:t>
      </w:r>
    </w:p>
    <w:p w14:paraId="4E95F071" w14:textId="77777777" w:rsidR="00350F6F" w:rsidRPr="00350F6F" w:rsidRDefault="00350F6F" w:rsidP="00350F6F">
      <w:pPr>
        <w:pStyle w:val="NoSpacing"/>
        <w:numPr>
          <w:ilvl w:val="0"/>
          <w:numId w:val="2"/>
        </w:numPr>
        <w:rPr>
          <w:rFonts w:ascii="Times New Roman" w:hAnsi="Times New Roman" w:cs="Times New Roman"/>
        </w:rPr>
      </w:pPr>
      <w:r w:rsidRPr="00350F6F">
        <w:rPr>
          <w:rFonts w:ascii="Times New Roman" w:hAnsi="Times New Roman" w:cs="Times New Roman"/>
        </w:rPr>
        <w:t xml:space="preserve">Papers are from across the globe, not all of which might be directly relevant to your </w:t>
      </w:r>
      <w:proofErr w:type="gramStart"/>
      <w:r w:rsidRPr="00350F6F">
        <w:rPr>
          <w:rFonts w:ascii="Times New Roman" w:hAnsi="Times New Roman" w:cs="Times New Roman"/>
        </w:rPr>
        <w:t>contexts</w:t>
      </w:r>
      <w:proofErr w:type="gramEnd"/>
      <w:r w:rsidRPr="00350F6F">
        <w:rPr>
          <w:rFonts w:ascii="Times New Roman" w:hAnsi="Times New Roman" w:cs="Times New Roman"/>
        </w:rPr>
        <w:t xml:space="preserve"> but I appreciate your insights none the less as conservation practitioners.</w:t>
      </w:r>
    </w:p>
    <w:p w14:paraId="6936100A" w14:textId="77777777" w:rsidR="00350F6F" w:rsidRPr="00350F6F" w:rsidRDefault="00350F6F" w:rsidP="00350F6F">
      <w:pPr>
        <w:pStyle w:val="NoSpacing"/>
        <w:numPr>
          <w:ilvl w:val="0"/>
          <w:numId w:val="2"/>
        </w:numPr>
        <w:rPr>
          <w:rFonts w:ascii="Times New Roman" w:hAnsi="Times New Roman" w:cs="Times New Roman"/>
        </w:rPr>
      </w:pPr>
      <w:r w:rsidRPr="00350F6F">
        <w:rPr>
          <w:rFonts w:ascii="Times New Roman" w:hAnsi="Times New Roman" w:cs="Times New Roman"/>
        </w:rPr>
        <w:t xml:space="preserve">These are extracts from the conclusions/recommendations made by the authors, so do not contain detail of the entire methods/findings. If you feel you need additional context for the </w:t>
      </w:r>
      <w:proofErr w:type="gramStart"/>
      <w:r w:rsidRPr="00350F6F">
        <w:rPr>
          <w:rFonts w:ascii="Times New Roman" w:hAnsi="Times New Roman" w:cs="Times New Roman"/>
        </w:rPr>
        <w:t>study</w:t>
      </w:r>
      <w:proofErr w:type="gramEnd"/>
      <w:r w:rsidRPr="00350F6F">
        <w:rPr>
          <w:rFonts w:ascii="Times New Roman" w:hAnsi="Times New Roman" w:cs="Times New Roman"/>
        </w:rPr>
        <w:t xml:space="preserve"> please get in touch.</w:t>
      </w:r>
    </w:p>
    <w:p w14:paraId="5A124C89" w14:textId="77777777" w:rsidR="00350F6F" w:rsidRPr="00350F6F" w:rsidRDefault="00350F6F" w:rsidP="00350F6F">
      <w:pPr>
        <w:pStyle w:val="NoSpacing"/>
        <w:numPr>
          <w:ilvl w:val="0"/>
          <w:numId w:val="2"/>
        </w:numPr>
        <w:rPr>
          <w:rFonts w:ascii="Times New Roman" w:hAnsi="Times New Roman" w:cs="Times New Roman"/>
        </w:rPr>
      </w:pPr>
      <w:r w:rsidRPr="00350F6F">
        <w:rPr>
          <w:rFonts w:ascii="Times New Roman" w:hAnsi="Times New Roman" w:cs="Times New Roman"/>
        </w:rPr>
        <w:t>“…” are used to indicate paraphrasing where superfluous sections of the text have been cut for conciseness.</w:t>
      </w:r>
    </w:p>
    <w:p w14:paraId="0B0F1C1C" w14:textId="77777777" w:rsidR="00350F6F" w:rsidRPr="00350F6F" w:rsidRDefault="00350F6F" w:rsidP="00350F6F">
      <w:pPr>
        <w:pStyle w:val="NoSpacing"/>
        <w:numPr>
          <w:ilvl w:val="0"/>
          <w:numId w:val="2"/>
        </w:numPr>
        <w:rPr>
          <w:rFonts w:ascii="Times New Roman" w:hAnsi="Times New Roman" w:cs="Times New Roman"/>
        </w:rPr>
      </w:pPr>
      <w:r w:rsidRPr="00350F6F">
        <w:rPr>
          <w:rFonts w:ascii="Times New Roman" w:hAnsi="Times New Roman" w:cs="Times New Roman"/>
        </w:rPr>
        <w:t>Any acronyms used have been explained at the bottom of the extract.</w:t>
      </w:r>
    </w:p>
    <w:p w14:paraId="5DB606B5" w14:textId="77777777" w:rsidR="00350F6F" w:rsidRPr="00350F6F" w:rsidRDefault="00350F6F" w:rsidP="00350F6F">
      <w:pPr>
        <w:pStyle w:val="NoSpacing"/>
        <w:numPr>
          <w:ilvl w:val="0"/>
          <w:numId w:val="2"/>
        </w:numPr>
        <w:rPr>
          <w:rFonts w:ascii="Times New Roman" w:hAnsi="Times New Roman" w:cs="Times New Roman"/>
        </w:rPr>
      </w:pPr>
      <w:r w:rsidRPr="00350F6F">
        <w:rPr>
          <w:rFonts w:ascii="Times New Roman" w:hAnsi="Times New Roman" w:cs="Times New Roman"/>
        </w:rPr>
        <w:t>Be aware that a small number of extracts go over two slides instead of one, where there was a high amount of relevant content in the paper. These are indicated when they occur.</w:t>
      </w:r>
    </w:p>
    <w:p w14:paraId="2B2C31DC" w14:textId="77777777" w:rsidR="00350F6F" w:rsidRPr="00350F6F" w:rsidRDefault="00350F6F" w:rsidP="00350F6F">
      <w:pPr>
        <w:pStyle w:val="NoSpacing"/>
        <w:numPr>
          <w:ilvl w:val="0"/>
          <w:numId w:val="2"/>
        </w:numPr>
        <w:rPr>
          <w:rFonts w:ascii="Times New Roman" w:hAnsi="Times New Roman" w:cs="Times New Roman"/>
        </w:rPr>
      </w:pPr>
      <w:r w:rsidRPr="00350F6F">
        <w:rPr>
          <w:rFonts w:ascii="Times New Roman" w:hAnsi="Times New Roman" w:cs="Times New Roman"/>
        </w:rPr>
        <w:t>Feel free to highlight, make notes, etc on the extracts if that is useful for you.</w:t>
      </w:r>
    </w:p>
    <w:p w14:paraId="5981922C" w14:textId="5B610C46" w:rsidR="00350F6F" w:rsidRDefault="00350F6F" w:rsidP="00350F6F">
      <w:pPr>
        <w:pStyle w:val="NoSpacing"/>
        <w:numPr>
          <w:ilvl w:val="0"/>
          <w:numId w:val="2"/>
        </w:numPr>
        <w:rPr>
          <w:rFonts w:ascii="Times New Roman" w:hAnsi="Times New Roman" w:cs="Times New Roman"/>
        </w:rPr>
      </w:pPr>
      <w:r w:rsidRPr="00350F6F">
        <w:rPr>
          <w:rFonts w:ascii="Times New Roman" w:hAnsi="Times New Roman" w:cs="Times New Roman"/>
        </w:rPr>
        <w:t xml:space="preserve">It would be really appreciated if you could complete a minimum of 5 extracts, but if you would like to do more than that </w:t>
      </w:r>
      <w:r w:rsidR="00F0232C">
        <w:rPr>
          <w:rFonts w:ascii="Times New Roman" w:hAnsi="Times New Roman" w:cs="Times New Roman"/>
        </w:rPr>
        <w:t>you are welcome.</w:t>
      </w:r>
    </w:p>
    <w:p w14:paraId="416BCB35" w14:textId="77777777" w:rsidR="00350F6F" w:rsidRDefault="00350F6F" w:rsidP="00350F6F">
      <w:pPr>
        <w:pStyle w:val="NoSpacing"/>
        <w:rPr>
          <w:rFonts w:ascii="Times New Roman" w:hAnsi="Times New Roman" w:cs="Times New Roman"/>
        </w:rPr>
      </w:pPr>
    </w:p>
    <w:p w14:paraId="718B352B" w14:textId="62DAFD95" w:rsidR="00350F6F" w:rsidRPr="00350F6F" w:rsidRDefault="00350F6F" w:rsidP="00350F6F">
      <w:pPr>
        <w:pStyle w:val="NoSpacing"/>
        <w:rPr>
          <w:rFonts w:ascii="Times New Roman" w:hAnsi="Times New Roman" w:cs="Times New Roman"/>
        </w:rPr>
      </w:pPr>
      <w:r>
        <w:rPr>
          <w:rFonts w:ascii="Times New Roman" w:hAnsi="Times New Roman" w:cs="Times New Roman"/>
        </w:rPr>
        <w:t>Scoring Instructions:</w:t>
      </w:r>
    </w:p>
    <w:p w14:paraId="6AA4D6FF" w14:textId="77777777" w:rsidR="00350F6F" w:rsidRPr="00350F6F" w:rsidRDefault="00350F6F" w:rsidP="00350F6F">
      <w:pPr>
        <w:pStyle w:val="NoSpacing"/>
        <w:numPr>
          <w:ilvl w:val="0"/>
          <w:numId w:val="2"/>
        </w:numPr>
        <w:rPr>
          <w:rFonts w:ascii="Times New Roman" w:hAnsi="Times New Roman" w:cs="Times New Roman"/>
        </w:rPr>
      </w:pPr>
      <w:r w:rsidRPr="00350F6F">
        <w:rPr>
          <w:rFonts w:ascii="Times New Roman" w:hAnsi="Times New Roman" w:cs="Times New Roman"/>
        </w:rPr>
        <w:t xml:space="preserve">You are asked to rate each paper from 1-5, with 5 being </w:t>
      </w:r>
      <w:proofErr w:type="gramStart"/>
      <w:r w:rsidRPr="00350F6F">
        <w:rPr>
          <w:rFonts w:ascii="Times New Roman" w:hAnsi="Times New Roman" w:cs="Times New Roman"/>
        </w:rPr>
        <w:t>really useful</w:t>
      </w:r>
      <w:proofErr w:type="gramEnd"/>
      <w:r w:rsidRPr="00350F6F">
        <w:rPr>
          <w:rFonts w:ascii="Times New Roman" w:hAnsi="Times New Roman" w:cs="Times New Roman"/>
        </w:rPr>
        <w:t xml:space="preserve"> and 1 being minimally useful.</w:t>
      </w:r>
    </w:p>
    <w:p w14:paraId="50D8F18B" w14:textId="77777777" w:rsidR="00350F6F" w:rsidRPr="00350F6F" w:rsidRDefault="00350F6F" w:rsidP="00350F6F">
      <w:pPr>
        <w:pStyle w:val="NoSpacing"/>
        <w:numPr>
          <w:ilvl w:val="0"/>
          <w:numId w:val="2"/>
        </w:numPr>
        <w:rPr>
          <w:rFonts w:ascii="Times New Roman" w:hAnsi="Times New Roman" w:cs="Times New Roman"/>
        </w:rPr>
      </w:pPr>
      <w:r w:rsidRPr="00350F6F">
        <w:rPr>
          <w:rFonts w:ascii="Times New Roman" w:hAnsi="Times New Roman" w:cs="Times New Roman"/>
        </w:rPr>
        <w:t>If you think that any of the papers do not contain enough relevant information to be of any use as a practitioner, please score it as 0.</w:t>
      </w:r>
    </w:p>
    <w:p w14:paraId="2DB73378" w14:textId="77777777" w:rsidR="00350F6F" w:rsidRPr="00350F6F" w:rsidRDefault="00350F6F" w:rsidP="00350F6F">
      <w:pPr>
        <w:pStyle w:val="NoSpacing"/>
        <w:numPr>
          <w:ilvl w:val="0"/>
          <w:numId w:val="2"/>
        </w:numPr>
        <w:rPr>
          <w:rFonts w:ascii="Times New Roman" w:hAnsi="Times New Roman" w:cs="Times New Roman"/>
        </w:rPr>
      </w:pPr>
      <w:r w:rsidRPr="00350F6F">
        <w:rPr>
          <w:rFonts w:ascii="Times New Roman" w:hAnsi="Times New Roman" w:cs="Times New Roman"/>
        </w:rPr>
        <w:t>Please also provide a very brief reasoning for your score.</w:t>
      </w:r>
    </w:p>
    <w:p w14:paraId="683E517E" w14:textId="77777777" w:rsidR="00350F6F" w:rsidRPr="00350F6F" w:rsidRDefault="00350F6F" w:rsidP="00350F6F">
      <w:pPr>
        <w:pStyle w:val="NoSpacing"/>
        <w:numPr>
          <w:ilvl w:val="0"/>
          <w:numId w:val="2"/>
        </w:numPr>
        <w:rPr>
          <w:rFonts w:ascii="Times New Roman" w:hAnsi="Times New Roman" w:cs="Times New Roman"/>
        </w:rPr>
      </w:pPr>
      <w:r w:rsidRPr="00350F6F">
        <w:rPr>
          <w:rFonts w:ascii="Times New Roman" w:hAnsi="Times New Roman" w:cs="Times New Roman"/>
        </w:rPr>
        <w:t>When scoring, reflect on:</w:t>
      </w:r>
    </w:p>
    <w:p w14:paraId="39C932E1" w14:textId="77777777" w:rsidR="00350F6F" w:rsidRPr="00350F6F" w:rsidRDefault="00350F6F" w:rsidP="00F0232C">
      <w:pPr>
        <w:pStyle w:val="NoSpacing"/>
        <w:numPr>
          <w:ilvl w:val="1"/>
          <w:numId w:val="2"/>
        </w:numPr>
        <w:rPr>
          <w:rFonts w:ascii="Times New Roman" w:hAnsi="Times New Roman" w:cs="Times New Roman"/>
        </w:rPr>
      </w:pPr>
      <w:r w:rsidRPr="00350F6F">
        <w:rPr>
          <w:rFonts w:ascii="Times New Roman" w:hAnsi="Times New Roman" w:cs="Times New Roman"/>
        </w:rPr>
        <w:t>Whether the findings would be useful for you as a manager of the species/habitat in the study, and if they would be useful if you managed a comparable species/habitat.</w:t>
      </w:r>
    </w:p>
    <w:p w14:paraId="76B1AEFD" w14:textId="77777777" w:rsidR="00350F6F" w:rsidRPr="00350F6F" w:rsidRDefault="00350F6F" w:rsidP="00F0232C">
      <w:pPr>
        <w:pStyle w:val="NoSpacing"/>
        <w:numPr>
          <w:ilvl w:val="1"/>
          <w:numId w:val="2"/>
        </w:numPr>
        <w:rPr>
          <w:rFonts w:ascii="Times New Roman" w:hAnsi="Times New Roman" w:cs="Times New Roman"/>
        </w:rPr>
      </w:pPr>
      <w:r w:rsidRPr="00350F6F">
        <w:rPr>
          <w:rFonts w:ascii="Times New Roman" w:hAnsi="Times New Roman" w:cs="Times New Roman"/>
        </w:rPr>
        <w:t>The language used by the authors and how easy it is to get the key takeaway messages for management.</w:t>
      </w:r>
    </w:p>
    <w:p w14:paraId="1993042B" w14:textId="77777777" w:rsidR="00350F6F" w:rsidRDefault="00350F6F" w:rsidP="00F0232C">
      <w:pPr>
        <w:pStyle w:val="NoSpacing"/>
        <w:numPr>
          <w:ilvl w:val="1"/>
          <w:numId w:val="2"/>
        </w:numPr>
        <w:rPr>
          <w:rFonts w:ascii="Times New Roman" w:hAnsi="Times New Roman" w:cs="Times New Roman"/>
        </w:rPr>
      </w:pPr>
      <w:r w:rsidRPr="00350F6F">
        <w:rPr>
          <w:rFonts w:ascii="Times New Roman" w:hAnsi="Times New Roman" w:cs="Times New Roman"/>
        </w:rPr>
        <w:t xml:space="preserve">Whether the authors make considerations around practicalities, such as financial cost, </w:t>
      </w:r>
      <w:proofErr w:type="gramStart"/>
      <w:r w:rsidRPr="00350F6F">
        <w:rPr>
          <w:rFonts w:ascii="Times New Roman" w:hAnsi="Times New Roman" w:cs="Times New Roman"/>
        </w:rPr>
        <w:t>stakeholders</w:t>
      </w:r>
      <w:proofErr w:type="gramEnd"/>
      <w:r w:rsidRPr="00350F6F">
        <w:rPr>
          <w:rFonts w:ascii="Times New Roman" w:hAnsi="Times New Roman" w:cs="Times New Roman"/>
        </w:rPr>
        <w:t xml:space="preserve"> or site designations.</w:t>
      </w:r>
    </w:p>
    <w:p w14:paraId="52FA3D0D" w14:textId="77777777" w:rsidR="00C7431A" w:rsidRDefault="00C7431A" w:rsidP="00C7431A">
      <w:pPr>
        <w:pStyle w:val="NoSpacing"/>
        <w:rPr>
          <w:rFonts w:ascii="Times New Roman" w:hAnsi="Times New Roman" w:cs="Times New Roman"/>
        </w:rPr>
      </w:pPr>
    </w:p>
    <w:p w14:paraId="0AC061D1" w14:textId="294168B8" w:rsidR="00C7431A" w:rsidRDefault="00C7431A" w:rsidP="00C7431A">
      <w:pPr>
        <w:pStyle w:val="NoSpacing"/>
        <w:rPr>
          <w:rFonts w:ascii="Times New Roman" w:hAnsi="Times New Roman" w:cs="Times New Roman"/>
        </w:rPr>
      </w:pPr>
      <w:r>
        <w:rPr>
          <w:rFonts w:ascii="Times New Roman" w:hAnsi="Times New Roman" w:cs="Times New Roman"/>
        </w:rPr>
        <w:t>They were also provided with an example of a study that the author had scored and commented on.</w:t>
      </w:r>
    </w:p>
    <w:p w14:paraId="1819B761" w14:textId="77777777" w:rsidR="007923D8" w:rsidRDefault="007923D8">
      <w:pPr>
        <w:rPr>
          <w:rFonts w:ascii="Times New Roman" w:hAnsi="Times New Roman" w:cs="Times New Roman"/>
        </w:rPr>
      </w:pPr>
    </w:p>
    <w:p w14:paraId="792E7D7D" w14:textId="4F7A0B8B" w:rsidR="00D56CEA" w:rsidRDefault="007923D8">
      <w:pPr>
        <w:rPr>
          <w:rFonts w:ascii="Times New Roman" w:hAnsi="Times New Roman" w:cs="Times New Roman"/>
        </w:rPr>
      </w:pPr>
      <w:r>
        <w:rPr>
          <w:rFonts w:ascii="Times New Roman" w:hAnsi="Times New Roman" w:cs="Times New Roman"/>
        </w:rPr>
        <w:t>Consent forms were signed by all practitioners who partook in the study.</w:t>
      </w:r>
      <w:r w:rsidR="00D56CEA">
        <w:rPr>
          <w:rFonts w:ascii="Times New Roman" w:hAnsi="Times New Roman" w:cs="Times New Roman"/>
        </w:rPr>
        <w:br w:type="page"/>
      </w:r>
    </w:p>
    <w:p w14:paraId="15EB5B19" w14:textId="0EF9E448" w:rsidR="00824101" w:rsidRDefault="00824101" w:rsidP="00824101">
      <w:pPr>
        <w:rPr>
          <w:rFonts w:ascii="Times New Roman" w:hAnsi="Times New Roman" w:cs="Times New Roman"/>
          <w:b/>
          <w:bCs/>
        </w:rPr>
      </w:pPr>
      <w:r w:rsidRPr="00B7106A">
        <w:rPr>
          <w:rFonts w:ascii="Times New Roman" w:hAnsi="Times New Roman" w:cs="Times New Roman"/>
          <w:b/>
          <w:bCs/>
        </w:rPr>
        <w:lastRenderedPageBreak/>
        <w:t xml:space="preserve">Supplementary Material </w:t>
      </w:r>
      <w:r w:rsidR="00104E4A">
        <w:rPr>
          <w:rFonts w:ascii="Times New Roman" w:hAnsi="Times New Roman" w:cs="Times New Roman"/>
          <w:b/>
          <w:bCs/>
        </w:rPr>
        <w:t>5</w:t>
      </w:r>
      <w:r>
        <w:rPr>
          <w:rFonts w:ascii="Times New Roman" w:hAnsi="Times New Roman" w:cs="Times New Roman"/>
          <w:b/>
          <w:bCs/>
        </w:rPr>
        <w:t>:</w:t>
      </w:r>
      <w:r w:rsidRPr="00B7106A">
        <w:rPr>
          <w:rFonts w:ascii="Times New Roman" w:hAnsi="Times New Roman" w:cs="Times New Roman"/>
          <w:b/>
          <w:bCs/>
        </w:rPr>
        <w:t xml:space="preserve"> </w:t>
      </w:r>
      <w:r w:rsidR="00A84445">
        <w:rPr>
          <w:rFonts w:ascii="Times New Roman" w:hAnsi="Times New Roman" w:cs="Times New Roman"/>
          <w:b/>
          <w:bCs/>
        </w:rPr>
        <w:t xml:space="preserve">Table of </w:t>
      </w:r>
      <w:r w:rsidR="00174591">
        <w:rPr>
          <w:rFonts w:ascii="Times New Roman" w:hAnsi="Times New Roman" w:cs="Times New Roman"/>
          <w:b/>
          <w:bCs/>
        </w:rPr>
        <w:t>accessibility criteria vs conservation value scores</w:t>
      </w:r>
    </w:p>
    <w:tbl>
      <w:tblPr>
        <w:tblStyle w:val="TableGrid"/>
        <w:tblW w:w="0" w:type="auto"/>
        <w:tblLook w:val="04A0" w:firstRow="1" w:lastRow="0" w:firstColumn="1" w:lastColumn="0" w:noHBand="0" w:noVBand="1"/>
      </w:tblPr>
      <w:tblGrid>
        <w:gridCol w:w="2167"/>
        <w:gridCol w:w="2081"/>
        <w:gridCol w:w="1984"/>
        <w:gridCol w:w="2552"/>
      </w:tblGrid>
      <w:tr w:rsidR="00FA7F3B" w:rsidRPr="00CB2A8B" w14:paraId="11AF5901" w14:textId="77777777" w:rsidTr="009D6BEA">
        <w:tc>
          <w:tcPr>
            <w:tcW w:w="2167" w:type="dxa"/>
          </w:tcPr>
          <w:p w14:paraId="0D61847D" w14:textId="77777777" w:rsidR="00FA7F3B" w:rsidRPr="00CB2A8B" w:rsidRDefault="00FA7F3B" w:rsidP="009D6BEA">
            <w:pPr>
              <w:rPr>
                <w:rFonts w:ascii="Times New Roman" w:hAnsi="Times New Roman" w:cs="Times New Roman"/>
                <w:b/>
                <w:bCs/>
                <w:color w:val="000000" w:themeColor="text1"/>
              </w:rPr>
            </w:pPr>
            <w:r w:rsidRPr="00CB2A8B">
              <w:rPr>
                <w:rFonts w:ascii="Times New Roman" w:hAnsi="Times New Roman" w:cs="Times New Roman"/>
                <w:b/>
                <w:bCs/>
                <w:color w:val="000000" w:themeColor="text1"/>
              </w:rPr>
              <w:t>Criteria</w:t>
            </w:r>
          </w:p>
        </w:tc>
        <w:tc>
          <w:tcPr>
            <w:tcW w:w="2081" w:type="dxa"/>
          </w:tcPr>
          <w:p w14:paraId="71246581" w14:textId="77777777" w:rsidR="00FA7F3B" w:rsidRPr="00CB2A8B" w:rsidRDefault="00FA7F3B" w:rsidP="009D6BEA">
            <w:pPr>
              <w:rPr>
                <w:rFonts w:ascii="Times New Roman" w:hAnsi="Times New Roman" w:cs="Times New Roman"/>
                <w:b/>
                <w:bCs/>
                <w:color w:val="000000" w:themeColor="text1"/>
              </w:rPr>
            </w:pPr>
            <w:r w:rsidRPr="00CB2A8B">
              <w:rPr>
                <w:rFonts w:ascii="Times New Roman" w:hAnsi="Times New Roman" w:cs="Times New Roman"/>
                <w:b/>
                <w:bCs/>
                <w:color w:val="000000" w:themeColor="text1"/>
              </w:rPr>
              <w:t>Yes</w:t>
            </w:r>
          </w:p>
        </w:tc>
        <w:tc>
          <w:tcPr>
            <w:tcW w:w="1984" w:type="dxa"/>
          </w:tcPr>
          <w:p w14:paraId="1C570B9D" w14:textId="77777777" w:rsidR="00FA7F3B" w:rsidRPr="00CB2A8B" w:rsidRDefault="00FA7F3B" w:rsidP="009D6BEA">
            <w:pPr>
              <w:rPr>
                <w:rFonts w:ascii="Times New Roman" w:hAnsi="Times New Roman" w:cs="Times New Roman"/>
                <w:b/>
                <w:bCs/>
                <w:color w:val="000000" w:themeColor="text1"/>
              </w:rPr>
            </w:pPr>
            <w:r w:rsidRPr="00CB2A8B">
              <w:rPr>
                <w:rFonts w:ascii="Times New Roman" w:hAnsi="Times New Roman" w:cs="Times New Roman"/>
                <w:b/>
                <w:bCs/>
                <w:color w:val="000000" w:themeColor="text1"/>
              </w:rPr>
              <w:t>No</w:t>
            </w:r>
          </w:p>
        </w:tc>
        <w:tc>
          <w:tcPr>
            <w:tcW w:w="2552" w:type="dxa"/>
          </w:tcPr>
          <w:p w14:paraId="5265425A" w14:textId="77777777" w:rsidR="00FA7F3B" w:rsidRPr="00CB2A8B" w:rsidRDefault="00FA7F3B" w:rsidP="009D6BEA">
            <w:pPr>
              <w:rPr>
                <w:rFonts w:ascii="Times New Roman" w:hAnsi="Times New Roman" w:cs="Times New Roman"/>
                <w:b/>
                <w:bCs/>
                <w:color w:val="000000" w:themeColor="text1"/>
              </w:rPr>
            </w:pPr>
            <w:r w:rsidRPr="00CB2A8B">
              <w:rPr>
                <w:rFonts w:ascii="Times New Roman" w:hAnsi="Times New Roman" w:cs="Times New Roman"/>
                <w:b/>
                <w:bCs/>
                <w:color w:val="000000" w:themeColor="text1"/>
              </w:rPr>
              <w:t>Difference between y/n</w:t>
            </w:r>
          </w:p>
        </w:tc>
      </w:tr>
      <w:tr w:rsidR="00FA7F3B" w:rsidRPr="00CB2A8B" w14:paraId="770FA843" w14:textId="77777777" w:rsidTr="009D6BEA">
        <w:tc>
          <w:tcPr>
            <w:tcW w:w="2167" w:type="dxa"/>
            <w:shd w:val="clear" w:color="auto" w:fill="auto"/>
          </w:tcPr>
          <w:p w14:paraId="0EF63AD5" w14:textId="77777777" w:rsidR="00FA7F3B" w:rsidRPr="00CB2A8B" w:rsidRDefault="00FA7F3B" w:rsidP="009D6BEA">
            <w:pPr>
              <w:rPr>
                <w:rFonts w:ascii="Times New Roman" w:hAnsi="Times New Roman" w:cs="Times New Roman"/>
                <w:b/>
                <w:bCs/>
                <w:color w:val="A5A5A5" w:themeColor="accent3"/>
              </w:rPr>
            </w:pPr>
            <w:r w:rsidRPr="00CB2A8B">
              <w:rPr>
                <w:rFonts w:ascii="Times New Roman" w:hAnsi="Times New Roman" w:cs="Times New Roman"/>
                <w:b/>
                <w:bCs/>
                <w:color w:val="A5A5A5" w:themeColor="accent3"/>
              </w:rPr>
              <w:t>Open Access</w:t>
            </w:r>
          </w:p>
        </w:tc>
        <w:tc>
          <w:tcPr>
            <w:tcW w:w="2081" w:type="dxa"/>
            <w:shd w:val="clear" w:color="auto" w:fill="auto"/>
          </w:tcPr>
          <w:p w14:paraId="173BAB17" w14:textId="77777777" w:rsidR="00FA7F3B" w:rsidRPr="00CB2A8B" w:rsidRDefault="00FA7F3B" w:rsidP="009D6BEA">
            <w:pPr>
              <w:rPr>
                <w:rFonts w:ascii="Times New Roman" w:hAnsi="Times New Roman" w:cs="Times New Roman"/>
                <w:color w:val="A6A6A6" w:themeColor="background1" w:themeShade="A6"/>
              </w:rPr>
            </w:pPr>
            <w:r w:rsidRPr="00CB2A8B">
              <w:rPr>
                <w:rFonts w:ascii="Times New Roman" w:hAnsi="Times New Roman" w:cs="Times New Roman"/>
                <w:color w:val="A6A6A6" w:themeColor="background1" w:themeShade="A6"/>
              </w:rPr>
              <w:t>3.65 (23)</w:t>
            </w:r>
          </w:p>
        </w:tc>
        <w:tc>
          <w:tcPr>
            <w:tcW w:w="1984" w:type="dxa"/>
            <w:shd w:val="clear" w:color="auto" w:fill="auto"/>
          </w:tcPr>
          <w:p w14:paraId="671F3D30" w14:textId="77777777" w:rsidR="00FA7F3B" w:rsidRPr="00CB2A8B" w:rsidRDefault="00FA7F3B" w:rsidP="009D6BEA">
            <w:pPr>
              <w:rPr>
                <w:rFonts w:ascii="Times New Roman" w:hAnsi="Times New Roman" w:cs="Times New Roman"/>
                <w:color w:val="A6A6A6" w:themeColor="background1" w:themeShade="A6"/>
              </w:rPr>
            </w:pPr>
            <w:r w:rsidRPr="00CB2A8B">
              <w:rPr>
                <w:rFonts w:ascii="Times New Roman" w:hAnsi="Times New Roman" w:cs="Times New Roman"/>
                <w:color w:val="A6A6A6" w:themeColor="background1" w:themeShade="A6"/>
              </w:rPr>
              <w:t>3.36 (22)</w:t>
            </w:r>
          </w:p>
        </w:tc>
        <w:tc>
          <w:tcPr>
            <w:tcW w:w="2552" w:type="dxa"/>
            <w:shd w:val="clear" w:color="auto" w:fill="auto"/>
          </w:tcPr>
          <w:p w14:paraId="347B3E3E" w14:textId="77777777" w:rsidR="00FA7F3B" w:rsidRPr="00CB2A8B" w:rsidRDefault="00FA7F3B" w:rsidP="009D6BEA">
            <w:pPr>
              <w:rPr>
                <w:rFonts w:ascii="Times New Roman" w:hAnsi="Times New Roman" w:cs="Times New Roman"/>
                <w:color w:val="A6A6A6" w:themeColor="background1" w:themeShade="A6"/>
              </w:rPr>
            </w:pPr>
            <w:r w:rsidRPr="00CB2A8B">
              <w:rPr>
                <w:rFonts w:ascii="Times New Roman" w:hAnsi="Times New Roman" w:cs="Times New Roman"/>
                <w:color w:val="A6A6A6" w:themeColor="background1" w:themeShade="A6"/>
              </w:rPr>
              <w:t>0.29</w:t>
            </w:r>
          </w:p>
        </w:tc>
      </w:tr>
      <w:tr w:rsidR="00FA7F3B" w:rsidRPr="00CB2A8B" w14:paraId="1B984821" w14:textId="77777777" w:rsidTr="009D6BEA">
        <w:tc>
          <w:tcPr>
            <w:tcW w:w="2167" w:type="dxa"/>
            <w:shd w:val="clear" w:color="auto" w:fill="auto"/>
          </w:tcPr>
          <w:p w14:paraId="2EB70714" w14:textId="77777777" w:rsidR="00FA7F3B" w:rsidRPr="00CB2A8B" w:rsidRDefault="00FA7F3B" w:rsidP="009D6BEA">
            <w:pPr>
              <w:rPr>
                <w:rFonts w:ascii="Times New Roman" w:hAnsi="Times New Roman" w:cs="Times New Roman"/>
                <w:b/>
                <w:bCs/>
                <w:color w:val="A5A5A5" w:themeColor="accent3"/>
              </w:rPr>
            </w:pPr>
            <w:r w:rsidRPr="00CB2A8B">
              <w:rPr>
                <w:rFonts w:ascii="Times New Roman" w:hAnsi="Times New Roman" w:cs="Times New Roman"/>
                <w:b/>
                <w:bCs/>
                <w:color w:val="A5A5A5" w:themeColor="accent3"/>
              </w:rPr>
              <w:t>Plain language summary</w:t>
            </w:r>
          </w:p>
        </w:tc>
        <w:tc>
          <w:tcPr>
            <w:tcW w:w="2081" w:type="dxa"/>
            <w:shd w:val="clear" w:color="auto" w:fill="auto"/>
          </w:tcPr>
          <w:p w14:paraId="3E97641B" w14:textId="77777777" w:rsidR="00FA7F3B" w:rsidRPr="00CB2A8B" w:rsidRDefault="00FA7F3B" w:rsidP="009D6BEA">
            <w:pPr>
              <w:rPr>
                <w:rFonts w:ascii="Times New Roman" w:hAnsi="Times New Roman" w:cs="Times New Roman"/>
                <w:color w:val="A6A6A6" w:themeColor="background1" w:themeShade="A6"/>
              </w:rPr>
            </w:pPr>
            <w:r w:rsidRPr="00CB2A8B">
              <w:rPr>
                <w:rFonts w:ascii="Times New Roman" w:hAnsi="Times New Roman" w:cs="Times New Roman"/>
                <w:color w:val="A6A6A6" w:themeColor="background1" w:themeShade="A6"/>
              </w:rPr>
              <w:t>4.25 (4)</w:t>
            </w:r>
          </w:p>
        </w:tc>
        <w:tc>
          <w:tcPr>
            <w:tcW w:w="1984" w:type="dxa"/>
            <w:shd w:val="clear" w:color="auto" w:fill="auto"/>
          </w:tcPr>
          <w:p w14:paraId="50E8317B" w14:textId="77777777" w:rsidR="00FA7F3B" w:rsidRPr="00CB2A8B" w:rsidRDefault="00FA7F3B" w:rsidP="009D6BEA">
            <w:pPr>
              <w:rPr>
                <w:rFonts w:ascii="Times New Roman" w:hAnsi="Times New Roman" w:cs="Times New Roman"/>
                <w:color w:val="A6A6A6" w:themeColor="background1" w:themeShade="A6"/>
              </w:rPr>
            </w:pPr>
            <w:r w:rsidRPr="00CB2A8B">
              <w:rPr>
                <w:rFonts w:ascii="Times New Roman" w:hAnsi="Times New Roman" w:cs="Times New Roman"/>
                <w:color w:val="A6A6A6" w:themeColor="background1" w:themeShade="A6"/>
              </w:rPr>
              <w:t>3.46 (56)</w:t>
            </w:r>
          </w:p>
        </w:tc>
        <w:tc>
          <w:tcPr>
            <w:tcW w:w="2552" w:type="dxa"/>
            <w:shd w:val="clear" w:color="auto" w:fill="auto"/>
          </w:tcPr>
          <w:p w14:paraId="76BF1512" w14:textId="77777777" w:rsidR="00FA7F3B" w:rsidRPr="00CB2A8B" w:rsidRDefault="00FA7F3B" w:rsidP="009D6BEA">
            <w:pPr>
              <w:rPr>
                <w:rFonts w:ascii="Times New Roman" w:hAnsi="Times New Roman" w:cs="Times New Roman"/>
                <w:color w:val="A6A6A6" w:themeColor="background1" w:themeShade="A6"/>
              </w:rPr>
            </w:pPr>
            <w:r w:rsidRPr="00CB2A8B">
              <w:rPr>
                <w:rFonts w:ascii="Times New Roman" w:hAnsi="Times New Roman" w:cs="Times New Roman"/>
                <w:color w:val="A6A6A6" w:themeColor="background1" w:themeShade="A6"/>
              </w:rPr>
              <w:t>0.79</w:t>
            </w:r>
          </w:p>
        </w:tc>
      </w:tr>
      <w:tr w:rsidR="00FA7F3B" w:rsidRPr="00CB2A8B" w14:paraId="1A1A8168" w14:textId="77777777" w:rsidTr="009D6BEA">
        <w:tc>
          <w:tcPr>
            <w:tcW w:w="2167" w:type="dxa"/>
            <w:shd w:val="clear" w:color="auto" w:fill="auto"/>
          </w:tcPr>
          <w:p w14:paraId="3C13E5BE" w14:textId="77777777" w:rsidR="00FA7F3B" w:rsidRPr="00CB2A8B" w:rsidRDefault="00FA7F3B" w:rsidP="009D6BEA">
            <w:pPr>
              <w:rPr>
                <w:rFonts w:ascii="Times New Roman" w:hAnsi="Times New Roman" w:cs="Times New Roman"/>
                <w:b/>
                <w:bCs/>
                <w:color w:val="A5A5A5" w:themeColor="accent3"/>
              </w:rPr>
            </w:pPr>
            <w:r w:rsidRPr="00CB2A8B">
              <w:rPr>
                <w:rFonts w:ascii="Times New Roman" w:hAnsi="Times New Roman" w:cs="Times New Roman"/>
                <w:b/>
                <w:bCs/>
                <w:color w:val="A5A5A5" w:themeColor="accent3"/>
              </w:rPr>
              <w:t>Open Data</w:t>
            </w:r>
          </w:p>
        </w:tc>
        <w:tc>
          <w:tcPr>
            <w:tcW w:w="2081" w:type="dxa"/>
            <w:shd w:val="clear" w:color="auto" w:fill="auto"/>
          </w:tcPr>
          <w:p w14:paraId="62617600" w14:textId="77777777" w:rsidR="00FA7F3B" w:rsidRPr="00CB2A8B" w:rsidRDefault="00FA7F3B" w:rsidP="009D6BEA">
            <w:pPr>
              <w:rPr>
                <w:rFonts w:ascii="Times New Roman" w:hAnsi="Times New Roman" w:cs="Times New Roman"/>
                <w:color w:val="A6A6A6" w:themeColor="background1" w:themeShade="A6"/>
              </w:rPr>
            </w:pPr>
            <w:r w:rsidRPr="00CB2A8B">
              <w:rPr>
                <w:rFonts w:ascii="Times New Roman" w:hAnsi="Times New Roman" w:cs="Times New Roman"/>
                <w:color w:val="A6A6A6" w:themeColor="background1" w:themeShade="A6"/>
              </w:rPr>
              <w:t>3.75 (8)</w:t>
            </w:r>
          </w:p>
        </w:tc>
        <w:tc>
          <w:tcPr>
            <w:tcW w:w="1984" w:type="dxa"/>
            <w:shd w:val="clear" w:color="auto" w:fill="auto"/>
          </w:tcPr>
          <w:p w14:paraId="4FF8BEE2" w14:textId="77777777" w:rsidR="00FA7F3B" w:rsidRPr="00CB2A8B" w:rsidRDefault="00FA7F3B" w:rsidP="009D6BEA">
            <w:pPr>
              <w:rPr>
                <w:rFonts w:ascii="Times New Roman" w:hAnsi="Times New Roman" w:cs="Times New Roman"/>
                <w:color w:val="A6A6A6" w:themeColor="background1" w:themeShade="A6"/>
              </w:rPr>
            </w:pPr>
            <w:r w:rsidRPr="00CB2A8B">
              <w:rPr>
                <w:rFonts w:ascii="Times New Roman" w:hAnsi="Times New Roman" w:cs="Times New Roman"/>
                <w:color w:val="A6A6A6" w:themeColor="background1" w:themeShade="A6"/>
              </w:rPr>
              <w:t>3.46 (41)</w:t>
            </w:r>
          </w:p>
        </w:tc>
        <w:tc>
          <w:tcPr>
            <w:tcW w:w="2552" w:type="dxa"/>
            <w:shd w:val="clear" w:color="auto" w:fill="auto"/>
          </w:tcPr>
          <w:p w14:paraId="14BFB8A0" w14:textId="77777777" w:rsidR="00FA7F3B" w:rsidRPr="00CB2A8B" w:rsidRDefault="00FA7F3B" w:rsidP="009D6BEA">
            <w:pPr>
              <w:rPr>
                <w:rFonts w:ascii="Times New Roman" w:hAnsi="Times New Roman" w:cs="Times New Roman"/>
                <w:color w:val="A6A6A6" w:themeColor="background1" w:themeShade="A6"/>
              </w:rPr>
            </w:pPr>
            <w:r w:rsidRPr="00CB2A8B">
              <w:rPr>
                <w:rFonts w:ascii="Times New Roman" w:hAnsi="Times New Roman" w:cs="Times New Roman"/>
                <w:color w:val="A6A6A6" w:themeColor="background1" w:themeShade="A6"/>
              </w:rPr>
              <w:t>0.29</w:t>
            </w:r>
          </w:p>
        </w:tc>
      </w:tr>
      <w:tr w:rsidR="00FA7F3B" w:rsidRPr="00CB2A8B" w14:paraId="145419D1" w14:textId="77777777" w:rsidTr="009D6BEA">
        <w:tc>
          <w:tcPr>
            <w:tcW w:w="2167" w:type="dxa"/>
            <w:shd w:val="clear" w:color="auto" w:fill="D5DCE4" w:themeFill="text2" w:themeFillTint="33"/>
          </w:tcPr>
          <w:p w14:paraId="05E33DDD" w14:textId="77777777" w:rsidR="00FA7F3B" w:rsidRPr="00CB2A8B" w:rsidRDefault="00FA7F3B" w:rsidP="009D6BEA">
            <w:pPr>
              <w:rPr>
                <w:rFonts w:ascii="Times New Roman" w:hAnsi="Times New Roman" w:cs="Times New Roman"/>
                <w:b/>
                <w:bCs/>
                <w:color w:val="000000" w:themeColor="text1"/>
              </w:rPr>
            </w:pPr>
            <w:r w:rsidRPr="00CB2A8B">
              <w:rPr>
                <w:rFonts w:ascii="Times New Roman" w:hAnsi="Times New Roman" w:cs="Times New Roman"/>
                <w:b/>
                <w:bCs/>
                <w:color w:val="000000" w:themeColor="text1"/>
              </w:rPr>
              <w:t>Co author</w:t>
            </w:r>
          </w:p>
        </w:tc>
        <w:tc>
          <w:tcPr>
            <w:tcW w:w="2081" w:type="dxa"/>
            <w:shd w:val="clear" w:color="auto" w:fill="D5DCE4" w:themeFill="text2" w:themeFillTint="33"/>
          </w:tcPr>
          <w:p w14:paraId="79C8FAE8" w14:textId="77777777" w:rsidR="00FA7F3B" w:rsidRPr="00CB2A8B" w:rsidRDefault="00FA7F3B" w:rsidP="009D6BEA">
            <w:pPr>
              <w:rPr>
                <w:rFonts w:ascii="Times New Roman" w:hAnsi="Times New Roman" w:cs="Times New Roman"/>
                <w:b/>
                <w:bCs/>
                <w:color w:val="000000" w:themeColor="text1"/>
              </w:rPr>
            </w:pPr>
            <w:r w:rsidRPr="00CB2A8B">
              <w:rPr>
                <w:rFonts w:ascii="Times New Roman" w:hAnsi="Times New Roman" w:cs="Times New Roman"/>
                <w:b/>
                <w:bCs/>
              </w:rPr>
              <w:t>3.84 (19)</w:t>
            </w:r>
          </w:p>
        </w:tc>
        <w:tc>
          <w:tcPr>
            <w:tcW w:w="1984" w:type="dxa"/>
            <w:shd w:val="clear" w:color="auto" w:fill="D5DCE4" w:themeFill="text2" w:themeFillTint="33"/>
          </w:tcPr>
          <w:p w14:paraId="2E4E9C41" w14:textId="77777777" w:rsidR="00FA7F3B" w:rsidRPr="00CB2A8B" w:rsidRDefault="00FA7F3B" w:rsidP="009D6BEA">
            <w:pPr>
              <w:rPr>
                <w:rFonts w:ascii="Times New Roman" w:hAnsi="Times New Roman" w:cs="Times New Roman"/>
                <w:b/>
                <w:bCs/>
                <w:color w:val="000000" w:themeColor="text1"/>
              </w:rPr>
            </w:pPr>
            <w:r w:rsidRPr="00CB2A8B">
              <w:rPr>
                <w:rFonts w:ascii="Times New Roman" w:hAnsi="Times New Roman" w:cs="Times New Roman"/>
                <w:b/>
                <w:bCs/>
              </w:rPr>
              <w:t>3.36 (41)</w:t>
            </w:r>
          </w:p>
        </w:tc>
        <w:tc>
          <w:tcPr>
            <w:tcW w:w="2552" w:type="dxa"/>
            <w:shd w:val="clear" w:color="auto" w:fill="D5DCE4" w:themeFill="text2" w:themeFillTint="33"/>
          </w:tcPr>
          <w:p w14:paraId="18CD3AC3" w14:textId="77777777" w:rsidR="00FA7F3B" w:rsidRPr="00CB2A8B" w:rsidRDefault="00FA7F3B" w:rsidP="009D6BEA">
            <w:pPr>
              <w:rPr>
                <w:rFonts w:ascii="Times New Roman" w:hAnsi="Times New Roman" w:cs="Times New Roman"/>
                <w:b/>
                <w:bCs/>
                <w:color w:val="000000"/>
              </w:rPr>
            </w:pPr>
            <w:r w:rsidRPr="00CB2A8B">
              <w:rPr>
                <w:rFonts w:ascii="Times New Roman" w:hAnsi="Times New Roman" w:cs="Times New Roman"/>
                <w:b/>
                <w:bCs/>
              </w:rPr>
              <w:t>0.48</w:t>
            </w:r>
          </w:p>
        </w:tc>
      </w:tr>
      <w:tr w:rsidR="00FA7F3B" w:rsidRPr="00CB2A8B" w14:paraId="1489CCCF" w14:textId="77777777" w:rsidTr="009D6BEA">
        <w:tc>
          <w:tcPr>
            <w:tcW w:w="2167" w:type="dxa"/>
            <w:shd w:val="clear" w:color="auto" w:fill="D5DCE4" w:themeFill="text2" w:themeFillTint="33"/>
          </w:tcPr>
          <w:p w14:paraId="796F2BA2" w14:textId="77777777" w:rsidR="00FA7F3B" w:rsidRPr="00CB2A8B" w:rsidRDefault="00FA7F3B" w:rsidP="009D6BEA">
            <w:pPr>
              <w:rPr>
                <w:rFonts w:ascii="Times New Roman" w:hAnsi="Times New Roman" w:cs="Times New Roman"/>
                <w:b/>
                <w:bCs/>
                <w:color w:val="000000" w:themeColor="text1"/>
              </w:rPr>
            </w:pPr>
            <w:r w:rsidRPr="00CB2A8B">
              <w:rPr>
                <w:rFonts w:ascii="Times New Roman" w:hAnsi="Times New Roman" w:cs="Times New Roman"/>
                <w:b/>
                <w:bCs/>
                <w:color w:val="000000" w:themeColor="text1"/>
              </w:rPr>
              <w:t>Co design</w:t>
            </w:r>
          </w:p>
        </w:tc>
        <w:tc>
          <w:tcPr>
            <w:tcW w:w="2081" w:type="dxa"/>
            <w:shd w:val="clear" w:color="auto" w:fill="D5DCE4" w:themeFill="text2" w:themeFillTint="33"/>
          </w:tcPr>
          <w:p w14:paraId="38E9D558" w14:textId="77777777" w:rsidR="00FA7F3B" w:rsidRPr="00CB2A8B" w:rsidRDefault="00FA7F3B" w:rsidP="009D6BEA">
            <w:pPr>
              <w:rPr>
                <w:rFonts w:ascii="Times New Roman" w:hAnsi="Times New Roman" w:cs="Times New Roman"/>
                <w:b/>
                <w:bCs/>
                <w:color w:val="000000" w:themeColor="text1"/>
              </w:rPr>
            </w:pPr>
            <w:r w:rsidRPr="00CB2A8B">
              <w:rPr>
                <w:rFonts w:ascii="Times New Roman" w:hAnsi="Times New Roman" w:cs="Times New Roman"/>
                <w:b/>
                <w:bCs/>
              </w:rPr>
              <w:t>3.95 (21)</w:t>
            </w:r>
          </w:p>
        </w:tc>
        <w:tc>
          <w:tcPr>
            <w:tcW w:w="1984" w:type="dxa"/>
            <w:shd w:val="clear" w:color="auto" w:fill="D5DCE4" w:themeFill="text2" w:themeFillTint="33"/>
          </w:tcPr>
          <w:p w14:paraId="7DAA7598" w14:textId="77777777" w:rsidR="00FA7F3B" w:rsidRPr="00CB2A8B" w:rsidRDefault="00FA7F3B" w:rsidP="009D6BEA">
            <w:pPr>
              <w:rPr>
                <w:rFonts w:ascii="Times New Roman" w:hAnsi="Times New Roman" w:cs="Times New Roman"/>
                <w:b/>
                <w:bCs/>
                <w:color w:val="000000" w:themeColor="text1"/>
              </w:rPr>
            </w:pPr>
            <w:r w:rsidRPr="00CB2A8B">
              <w:rPr>
                <w:rFonts w:ascii="Times New Roman" w:hAnsi="Times New Roman" w:cs="Times New Roman"/>
                <w:b/>
                <w:bCs/>
              </w:rPr>
              <w:t>3.26 (39)</w:t>
            </w:r>
          </w:p>
        </w:tc>
        <w:tc>
          <w:tcPr>
            <w:tcW w:w="2552" w:type="dxa"/>
            <w:shd w:val="clear" w:color="auto" w:fill="D5DCE4" w:themeFill="text2" w:themeFillTint="33"/>
          </w:tcPr>
          <w:p w14:paraId="0F6E4640" w14:textId="77777777" w:rsidR="00FA7F3B" w:rsidRPr="00CB2A8B" w:rsidRDefault="00FA7F3B" w:rsidP="009D6BEA">
            <w:pPr>
              <w:rPr>
                <w:rFonts w:ascii="Times New Roman" w:hAnsi="Times New Roman" w:cs="Times New Roman"/>
                <w:b/>
                <w:bCs/>
                <w:color w:val="000000"/>
              </w:rPr>
            </w:pPr>
            <w:r w:rsidRPr="00CB2A8B">
              <w:rPr>
                <w:rFonts w:ascii="Times New Roman" w:hAnsi="Times New Roman" w:cs="Times New Roman"/>
                <w:b/>
                <w:bCs/>
              </w:rPr>
              <w:t>0.70</w:t>
            </w:r>
          </w:p>
        </w:tc>
      </w:tr>
      <w:tr w:rsidR="00FA7F3B" w:rsidRPr="00CB2A8B" w14:paraId="17FE9C21" w14:textId="77777777" w:rsidTr="009D6BEA">
        <w:tc>
          <w:tcPr>
            <w:tcW w:w="2167" w:type="dxa"/>
            <w:shd w:val="clear" w:color="auto" w:fill="D5DCE4" w:themeFill="text2" w:themeFillTint="33"/>
          </w:tcPr>
          <w:p w14:paraId="0582E696" w14:textId="77777777" w:rsidR="00FA7F3B" w:rsidRPr="00CB2A8B" w:rsidRDefault="00FA7F3B" w:rsidP="009D6BEA">
            <w:pPr>
              <w:rPr>
                <w:rFonts w:ascii="Times New Roman" w:hAnsi="Times New Roman" w:cs="Times New Roman"/>
                <w:b/>
                <w:bCs/>
                <w:color w:val="000000" w:themeColor="text1"/>
              </w:rPr>
            </w:pPr>
            <w:r w:rsidRPr="00CB2A8B">
              <w:rPr>
                <w:rFonts w:ascii="Times New Roman" w:hAnsi="Times New Roman" w:cs="Times New Roman"/>
                <w:b/>
                <w:bCs/>
                <w:color w:val="000000" w:themeColor="text1"/>
              </w:rPr>
              <w:t>Legislation</w:t>
            </w:r>
          </w:p>
        </w:tc>
        <w:tc>
          <w:tcPr>
            <w:tcW w:w="2081" w:type="dxa"/>
            <w:shd w:val="clear" w:color="auto" w:fill="D5DCE4" w:themeFill="text2" w:themeFillTint="33"/>
          </w:tcPr>
          <w:p w14:paraId="09D4C39D" w14:textId="77777777" w:rsidR="00FA7F3B" w:rsidRPr="00CB2A8B" w:rsidRDefault="00FA7F3B" w:rsidP="009D6BEA">
            <w:pPr>
              <w:rPr>
                <w:rFonts w:ascii="Times New Roman" w:hAnsi="Times New Roman" w:cs="Times New Roman"/>
                <w:b/>
                <w:bCs/>
                <w:color w:val="000000" w:themeColor="text1"/>
              </w:rPr>
            </w:pPr>
            <w:r w:rsidRPr="00CB2A8B">
              <w:rPr>
                <w:rFonts w:ascii="Times New Roman" w:hAnsi="Times New Roman" w:cs="Times New Roman"/>
                <w:b/>
                <w:bCs/>
              </w:rPr>
              <w:t>3.90 (22)</w:t>
            </w:r>
          </w:p>
        </w:tc>
        <w:tc>
          <w:tcPr>
            <w:tcW w:w="1984" w:type="dxa"/>
            <w:shd w:val="clear" w:color="auto" w:fill="D5DCE4" w:themeFill="text2" w:themeFillTint="33"/>
          </w:tcPr>
          <w:p w14:paraId="42611D93" w14:textId="77777777" w:rsidR="00FA7F3B" w:rsidRPr="00CB2A8B" w:rsidRDefault="00FA7F3B" w:rsidP="009D6BEA">
            <w:pPr>
              <w:rPr>
                <w:rFonts w:ascii="Times New Roman" w:hAnsi="Times New Roman" w:cs="Times New Roman"/>
                <w:b/>
                <w:bCs/>
                <w:color w:val="000000" w:themeColor="text1"/>
              </w:rPr>
            </w:pPr>
            <w:r w:rsidRPr="00CB2A8B">
              <w:rPr>
                <w:rFonts w:ascii="Times New Roman" w:hAnsi="Times New Roman" w:cs="Times New Roman"/>
                <w:b/>
                <w:bCs/>
              </w:rPr>
              <w:t>3.30 (38)</w:t>
            </w:r>
          </w:p>
        </w:tc>
        <w:tc>
          <w:tcPr>
            <w:tcW w:w="2552" w:type="dxa"/>
            <w:shd w:val="clear" w:color="auto" w:fill="D5DCE4" w:themeFill="text2" w:themeFillTint="33"/>
          </w:tcPr>
          <w:p w14:paraId="22B86B71" w14:textId="77777777" w:rsidR="00FA7F3B" w:rsidRPr="00CB2A8B" w:rsidRDefault="00FA7F3B" w:rsidP="009D6BEA">
            <w:pPr>
              <w:rPr>
                <w:rFonts w:ascii="Times New Roman" w:hAnsi="Times New Roman" w:cs="Times New Roman"/>
                <w:b/>
                <w:bCs/>
                <w:color w:val="000000"/>
              </w:rPr>
            </w:pPr>
            <w:r w:rsidRPr="00CB2A8B">
              <w:rPr>
                <w:rFonts w:ascii="Times New Roman" w:hAnsi="Times New Roman" w:cs="Times New Roman"/>
                <w:b/>
                <w:bCs/>
              </w:rPr>
              <w:t>0.60</w:t>
            </w:r>
          </w:p>
        </w:tc>
      </w:tr>
      <w:tr w:rsidR="00FA7F3B" w:rsidRPr="00CB2A8B" w14:paraId="31A9CAC6" w14:textId="77777777" w:rsidTr="009D6BEA">
        <w:tc>
          <w:tcPr>
            <w:tcW w:w="2167" w:type="dxa"/>
            <w:shd w:val="clear" w:color="auto" w:fill="auto"/>
          </w:tcPr>
          <w:p w14:paraId="1DB85BCE" w14:textId="77777777" w:rsidR="00FA7F3B" w:rsidRPr="00CB2A8B" w:rsidRDefault="00FA7F3B" w:rsidP="009D6BEA">
            <w:pPr>
              <w:rPr>
                <w:rFonts w:ascii="Times New Roman" w:hAnsi="Times New Roman" w:cs="Times New Roman"/>
                <w:b/>
                <w:bCs/>
                <w:color w:val="A5A5A5" w:themeColor="accent3"/>
              </w:rPr>
            </w:pPr>
            <w:r w:rsidRPr="00CB2A8B">
              <w:rPr>
                <w:rFonts w:ascii="Times New Roman" w:hAnsi="Times New Roman" w:cs="Times New Roman"/>
                <w:b/>
                <w:bCs/>
                <w:color w:val="A5A5A5" w:themeColor="accent3"/>
              </w:rPr>
              <w:t>Sign posting</w:t>
            </w:r>
          </w:p>
        </w:tc>
        <w:tc>
          <w:tcPr>
            <w:tcW w:w="2081" w:type="dxa"/>
            <w:shd w:val="clear" w:color="auto" w:fill="auto"/>
          </w:tcPr>
          <w:p w14:paraId="44A6C20E" w14:textId="77777777" w:rsidR="00FA7F3B" w:rsidRPr="00CB2A8B" w:rsidRDefault="00FA7F3B" w:rsidP="009D6BEA">
            <w:pPr>
              <w:rPr>
                <w:rFonts w:ascii="Times New Roman" w:hAnsi="Times New Roman" w:cs="Times New Roman"/>
                <w:color w:val="A6A6A6" w:themeColor="background1" w:themeShade="A6"/>
              </w:rPr>
            </w:pPr>
            <w:r w:rsidRPr="00CB2A8B">
              <w:rPr>
                <w:rFonts w:ascii="Times New Roman" w:hAnsi="Times New Roman" w:cs="Times New Roman"/>
                <w:color w:val="A6A6A6" w:themeColor="background1" w:themeShade="A6"/>
              </w:rPr>
              <w:t>3.69 (38)</w:t>
            </w:r>
          </w:p>
        </w:tc>
        <w:tc>
          <w:tcPr>
            <w:tcW w:w="1984" w:type="dxa"/>
            <w:shd w:val="clear" w:color="auto" w:fill="auto"/>
          </w:tcPr>
          <w:p w14:paraId="4C6F7338" w14:textId="77777777" w:rsidR="00FA7F3B" w:rsidRPr="00CB2A8B" w:rsidRDefault="00FA7F3B" w:rsidP="009D6BEA">
            <w:pPr>
              <w:rPr>
                <w:rFonts w:ascii="Times New Roman" w:hAnsi="Times New Roman" w:cs="Times New Roman"/>
                <w:color w:val="A6A6A6" w:themeColor="background1" w:themeShade="A6"/>
              </w:rPr>
            </w:pPr>
            <w:r w:rsidRPr="00CB2A8B">
              <w:rPr>
                <w:rFonts w:ascii="Times New Roman" w:hAnsi="Times New Roman" w:cs="Times New Roman"/>
                <w:color w:val="A6A6A6" w:themeColor="background1" w:themeShade="A6"/>
              </w:rPr>
              <w:t>3.20 (22)</w:t>
            </w:r>
          </w:p>
        </w:tc>
        <w:tc>
          <w:tcPr>
            <w:tcW w:w="2552" w:type="dxa"/>
            <w:shd w:val="clear" w:color="auto" w:fill="auto"/>
          </w:tcPr>
          <w:p w14:paraId="6AA406E7" w14:textId="77777777" w:rsidR="00FA7F3B" w:rsidRPr="00CB2A8B" w:rsidRDefault="00FA7F3B" w:rsidP="009D6BEA">
            <w:pPr>
              <w:rPr>
                <w:rFonts w:ascii="Times New Roman" w:hAnsi="Times New Roman" w:cs="Times New Roman"/>
                <w:color w:val="A6A6A6" w:themeColor="background1" w:themeShade="A6"/>
              </w:rPr>
            </w:pPr>
            <w:r w:rsidRPr="00CB2A8B">
              <w:rPr>
                <w:rFonts w:ascii="Times New Roman" w:hAnsi="Times New Roman" w:cs="Times New Roman"/>
                <w:color w:val="A6A6A6" w:themeColor="background1" w:themeShade="A6"/>
              </w:rPr>
              <w:t>0.49</w:t>
            </w:r>
          </w:p>
        </w:tc>
      </w:tr>
    </w:tbl>
    <w:p w14:paraId="38898EC2" w14:textId="77777777" w:rsidR="008F282F" w:rsidRDefault="008F282F" w:rsidP="00824101">
      <w:pPr>
        <w:rPr>
          <w:rFonts w:ascii="Times New Roman" w:hAnsi="Times New Roman" w:cs="Times New Roman"/>
          <w:b/>
          <w:bCs/>
        </w:rPr>
      </w:pPr>
    </w:p>
    <w:p w14:paraId="3A77830D" w14:textId="77777777" w:rsidR="00824101" w:rsidRDefault="00824101" w:rsidP="00D56CEA">
      <w:pPr>
        <w:rPr>
          <w:rFonts w:ascii="Times New Roman" w:hAnsi="Times New Roman" w:cs="Times New Roman"/>
          <w:b/>
          <w:bCs/>
        </w:rPr>
      </w:pPr>
    </w:p>
    <w:p w14:paraId="62737808" w14:textId="77777777" w:rsidR="00D56CEA" w:rsidRPr="00350F6F" w:rsidRDefault="00D56CEA" w:rsidP="00C7431A">
      <w:pPr>
        <w:pStyle w:val="NoSpacing"/>
        <w:rPr>
          <w:rFonts w:ascii="Times New Roman" w:hAnsi="Times New Roman" w:cs="Times New Roman"/>
        </w:rPr>
      </w:pPr>
    </w:p>
    <w:p w14:paraId="58FA17B7" w14:textId="77777777" w:rsidR="00350F6F" w:rsidRPr="00350F6F" w:rsidRDefault="00350F6F" w:rsidP="00350F6F">
      <w:pPr>
        <w:pStyle w:val="NoSpacing"/>
        <w:rPr>
          <w:rFonts w:ascii="Times New Roman" w:hAnsi="Times New Roman" w:cs="Times New Roman"/>
        </w:rPr>
      </w:pPr>
    </w:p>
    <w:p w14:paraId="0B21149A" w14:textId="77777777" w:rsidR="00350F6F" w:rsidRPr="00350F6F" w:rsidRDefault="00350F6F" w:rsidP="00350F6F">
      <w:pPr>
        <w:pStyle w:val="NoSpacing"/>
        <w:rPr>
          <w:rFonts w:ascii="Times New Roman" w:hAnsi="Times New Roman" w:cs="Times New Roman"/>
        </w:rPr>
      </w:pPr>
    </w:p>
    <w:p w14:paraId="01453BC1" w14:textId="77777777" w:rsidR="008A36DF" w:rsidRPr="00350F6F" w:rsidRDefault="008A36DF" w:rsidP="00350F6F">
      <w:pPr>
        <w:pStyle w:val="NoSpacing"/>
        <w:rPr>
          <w:rFonts w:ascii="Times New Roman" w:hAnsi="Times New Roman" w:cs="Times New Roman"/>
          <w:b/>
          <w:bCs/>
        </w:rPr>
      </w:pPr>
    </w:p>
    <w:p w14:paraId="40EBEC7C" w14:textId="77777777" w:rsidR="0073175F" w:rsidRPr="00350F6F" w:rsidRDefault="0073175F" w:rsidP="00350F6F">
      <w:pPr>
        <w:pStyle w:val="NoSpacing"/>
        <w:rPr>
          <w:rFonts w:ascii="Times New Roman" w:hAnsi="Times New Roman" w:cs="Times New Roman"/>
          <w:b/>
          <w:bCs/>
        </w:rPr>
      </w:pPr>
    </w:p>
    <w:p w14:paraId="6D9021D3" w14:textId="04616CC1" w:rsidR="00C41716" w:rsidRPr="00350F6F" w:rsidRDefault="00C41716" w:rsidP="00350F6F">
      <w:pPr>
        <w:pStyle w:val="NoSpacing"/>
        <w:rPr>
          <w:rFonts w:ascii="Times New Roman" w:hAnsi="Times New Roman" w:cs="Times New Roman"/>
        </w:rPr>
      </w:pPr>
    </w:p>
    <w:sectPr w:rsidR="00C41716" w:rsidRPr="00350F6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79E087A"/>
    <w:multiLevelType w:val="hybridMultilevel"/>
    <w:tmpl w:val="CA1877C4"/>
    <w:lvl w:ilvl="0" w:tplc="2A6AACDE">
      <w:start w:val="1"/>
      <w:numFmt w:val="bullet"/>
      <w:lvlText w:val="•"/>
      <w:lvlJc w:val="left"/>
      <w:pPr>
        <w:tabs>
          <w:tab w:val="num" w:pos="720"/>
        </w:tabs>
        <w:ind w:left="720" w:hanging="360"/>
      </w:pPr>
      <w:rPr>
        <w:rFonts w:ascii="Arial" w:hAnsi="Arial" w:hint="default"/>
      </w:rPr>
    </w:lvl>
    <w:lvl w:ilvl="1" w:tplc="44085FB8" w:tentative="1">
      <w:start w:val="1"/>
      <w:numFmt w:val="bullet"/>
      <w:lvlText w:val="•"/>
      <w:lvlJc w:val="left"/>
      <w:pPr>
        <w:tabs>
          <w:tab w:val="num" w:pos="1440"/>
        </w:tabs>
        <w:ind w:left="1440" w:hanging="360"/>
      </w:pPr>
      <w:rPr>
        <w:rFonts w:ascii="Arial" w:hAnsi="Arial" w:hint="default"/>
      </w:rPr>
    </w:lvl>
    <w:lvl w:ilvl="2" w:tplc="A758604C" w:tentative="1">
      <w:start w:val="1"/>
      <w:numFmt w:val="bullet"/>
      <w:lvlText w:val="•"/>
      <w:lvlJc w:val="left"/>
      <w:pPr>
        <w:tabs>
          <w:tab w:val="num" w:pos="2160"/>
        </w:tabs>
        <w:ind w:left="2160" w:hanging="360"/>
      </w:pPr>
      <w:rPr>
        <w:rFonts w:ascii="Arial" w:hAnsi="Arial" w:hint="default"/>
      </w:rPr>
    </w:lvl>
    <w:lvl w:ilvl="3" w:tplc="B608F544" w:tentative="1">
      <w:start w:val="1"/>
      <w:numFmt w:val="bullet"/>
      <w:lvlText w:val="•"/>
      <w:lvlJc w:val="left"/>
      <w:pPr>
        <w:tabs>
          <w:tab w:val="num" w:pos="2880"/>
        </w:tabs>
        <w:ind w:left="2880" w:hanging="360"/>
      </w:pPr>
      <w:rPr>
        <w:rFonts w:ascii="Arial" w:hAnsi="Arial" w:hint="default"/>
      </w:rPr>
    </w:lvl>
    <w:lvl w:ilvl="4" w:tplc="F58A67D8" w:tentative="1">
      <w:start w:val="1"/>
      <w:numFmt w:val="bullet"/>
      <w:lvlText w:val="•"/>
      <w:lvlJc w:val="left"/>
      <w:pPr>
        <w:tabs>
          <w:tab w:val="num" w:pos="3600"/>
        </w:tabs>
        <w:ind w:left="3600" w:hanging="360"/>
      </w:pPr>
      <w:rPr>
        <w:rFonts w:ascii="Arial" w:hAnsi="Arial" w:hint="default"/>
      </w:rPr>
    </w:lvl>
    <w:lvl w:ilvl="5" w:tplc="29340B58" w:tentative="1">
      <w:start w:val="1"/>
      <w:numFmt w:val="bullet"/>
      <w:lvlText w:val="•"/>
      <w:lvlJc w:val="left"/>
      <w:pPr>
        <w:tabs>
          <w:tab w:val="num" w:pos="4320"/>
        </w:tabs>
        <w:ind w:left="4320" w:hanging="360"/>
      </w:pPr>
      <w:rPr>
        <w:rFonts w:ascii="Arial" w:hAnsi="Arial" w:hint="default"/>
      </w:rPr>
    </w:lvl>
    <w:lvl w:ilvl="6" w:tplc="871825AE" w:tentative="1">
      <w:start w:val="1"/>
      <w:numFmt w:val="bullet"/>
      <w:lvlText w:val="•"/>
      <w:lvlJc w:val="left"/>
      <w:pPr>
        <w:tabs>
          <w:tab w:val="num" w:pos="5040"/>
        </w:tabs>
        <w:ind w:left="5040" w:hanging="360"/>
      </w:pPr>
      <w:rPr>
        <w:rFonts w:ascii="Arial" w:hAnsi="Arial" w:hint="default"/>
      </w:rPr>
    </w:lvl>
    <w:lvl w:ilvl="7" w:tplc="DC94B3C8" w:tentative="1">
      <w:start w:val="1"/>
      <w:numFmt w:val="bullet"/>
      <w:lvlText w:val="•"/>
      <w:lvlJc w:val="left"/>
      <w:pPr>
        <w:tabs>
          <w:tab w:val="num" w:pos="5760"/>
        </w:tabs>
        <w:ind w:left="5760" w:hanging="360"/>
      </w:pPr>
      <w:rPr>
        <w:rFonts w:ascii="Arial" w:hAnsi="Arial" w:hint="default"/>
      </w:rPr>
    </w:lvl>
    <w:lvl w:ilvl="8" w:tplc="8DF472D6"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495B6D2C"/>
    <w:multiLevelType w:val="hybridMultilevel"/>
    <w:tmpl w:val="F5A4336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523594007">
    <w:abstractNumId w:val="0"/>
  </w:num>
  <w:num w:numId="2" w16cid:durableId="130346303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3E7C"/>
    <w:rsid w:val="000F03FF"/>
    <w:rsid w:val="00104E4A"/>
    <w:rsid w:val="00127410"/>
    <w:rsid w:val="00141C47"/>
    <w:rsid w:val="00166135"/>
    <w:rsid w:val="00174591"/>
    <w:rsid w:val="003310DB"/>
    <w:rsid w:val="00350F6F"/>
    <w:rsid w:val="003713F9"/>
    <w:rsid w:val="00460676"/>
    <w:rsid w:val="0046177F"/>
    <w:rsid w:val="00497117"/>
    <w:rsid w:val="004C2311"/>
    <w:rsid w:val="004E3E7C"/>
    <w:rsid w:val="0055558D"/>
    <w:rsid w:val="00572F0F"/>
    <w:rsid w:val="005C018F"/>
    <w:rsid w:val="006B3320"/>
    <w:rsid w:val="006B4706"/>
    <w:rsid w:val="006C288B"/>
    <w:rsid w:val="0073175F"/>
    <w:rsid w:val="007923D8"/>
    <w:rsid w:val="00824101"/>
    <w:rsid w:val="00835BE1"/>
    <w:rsid w:val="0087576F"/>
    <w:rsid w:val="008846DD"/>
    <w:rsid w:val="008A36DF"/>
    <w:rsid w:val="008F282F"/>
    <w:rsid w:val="00A02F8E"/>
    <w:rsid w:val="00A251C1"/>
    <w:rsid w:val="00A84445"/>
    <w:rsid w:val="00B646ED"/>
    <w:rsid w:val="00B86FE8"/>
    <w:rsid w:val="00C23B02"/>
    <w:rsid w:val="00C3316D"/>
    <w:rsid w:val="00C41716"/>
    <w:rsid w:val="00C7431A"/>
    <w:rsid w:val="00CB2A8B"/>
    <w:rsid w:val="00D56CEA"/>
    <w:rsid w:val="00D97AA3"/>
    <w:rsid w:val="00E22E18"/>
    <w:rsid w:val="00E46DDF"/>
    <w:rsid w:val="00F0232C"/>
    <w:rsid w:val="00F11826"/>
    <w:rsid w:val="00F64E40"/>
    <w:rsid w:val="00F76837"/>
    <w:rsid w:val="00FA7F3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B746EE"/>
  <w15:chartTrackingRefBased/>
  <w15:docId w15:val="{9E1883D2-437C-4EEF-8066-EC569D70F8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56CE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A02F8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A02F8E"/>
    <w:rPr>
      <w:sz w:val="16"/>
      <w:szCs w:val="16"/>
    </w:rPr>
  </w:style>
  <w:style w:type="paragraph" w:styleId="CommentText">
    <w:name w:val="annotation text"/>
    <w:basedOn w:val="Normal"/>
    <w:link w:val="CommentTextChar"/>
    <w:uiPriority w:val="99"/>
    <w:unhideWhenUsed/>
    <w:rsid w:val="00A02F8E"/>
    <w:pPr>
      <w:spacing w:line="240" w:lineRule="auto"/>
    </w:pPr>
    <w:rPr>
      <w:sz w:val="20"/>
      <w:szCs w:val="20"/>
    </w:rPr>
  </w:style>
  <w:style w:type="character" w:customStyle="1" w:styleId="CommentTextChar">
    <w:name w:val="Comment Text Char"/>
    <w:basedOn w:val="DefaultParagraphFont"/>
    <w:link w:val="CommentText"/>
    <w:uiPriority w:val="99"/>
    <w:rsid w:val="00A02F8E"/>
    <w:rPr>
      <w:sz w:val="20"/>
      <w:szCs w:val="20"/>
    </w:rPr>
  </w:style>
  <w:style w:type="paragraph" w:styleId="NoSpacing">
    <w:name w:val="No Spacing"/>
    <w:uiPriority w:val="1"/>
    <w:qFormat/>
    <w:rsid w:val="00350F6F"/>
    <w:pPr>
      <w:spacing w:after="0" w:line="240" w:lineRule="auto"/>
    </w:pPr>
  </w:style>
  <w:style w:type="paragraph" w:styleId="Bibliography">
    <w:name w:val="Bibliography"/>
    <w:basedOn w:val="Normal"/>
    <w:next w:val="Normal"/>
    <w:uiPriority w:val="37"/>
    <w:unhideWhenUsed/>
    <w:rsid w:val="00D97AA3"/>
    <w:pPr>
      <w:spacing w:after="240" w:line="240" w:lineRule="auto"/>
      <w:ind w:left="720" w:hanging="720"/>
    </w:pPr>
  </w:style>
  <w:style w:type="paragraph" w:styleId="Caption">
    <w:name w:val="caption"/>
    <w:basedOn w:val="Normal"/>
    <w:next w:val="Normal"/>
    <w:uiPriority w:val="35"/>
    <w:unhideWhenUsed/>
    <w:qFormat/>
    <w:rsid w:val="00F76837"/>
    <w:pPr>
      <w:spacing w:after="200"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1154261">
      <w:bodyDiv w:val="1"/>
      <w:marLeft w:val="0"/>
      <w:marRight w:val="0"/>
      <w:marTop w:val="0"/>
      <w:marBottom w:val="0"/>
      <w:divBdr>
        <w:top w:val="none" w:sz="0" w:space="0" w:color="auto"/>
        <w:left w:val="none" w:sz="0" w:space="0" w:color="auto"/>
        <w:bottom w:val="none" w:sz="0" w:space="0" w:color="auto"/>
        <w:right w:val="none" w:sz="0" w:space="0" w:color="auto"/>
      </w:divBdr>
    </w:div>
    <w:div w:id="855919629">
      <w:bodyDiv w:val="1"/>
      <w:marLeft w:val="0"/>
      <w:marRight w:val="0"/>
      <w:marTop w:val="0"/>
      <w:marBottom w:val="0"/>
      <w:divBdr>
        <w:top w:val="none" w:sz="0" w:space="0" w:color="auto"/>
        <w:left w:val="none" w:sz="0" w:space="0" w:color="auto"/>
        <w:bottom w:val="none" w:sz="0" w:space="0" w:color="auto"/>
        <w:right w:val="none" w:sz="0" w:space="0" w:color="auto"/>
      </w:divBdr>
      <w:divsChild>
        <w:div w:id="848913568">
          <w:marLeft w:val="360"/>
          <w:marRight w:val="0"/>
          <w:marTop w:val="200"/>
          <w:marBottom w:val="0"/>
          <w:divBdr>
            <w:top w:val="none" w:sz="0" w:space="0" w:color="auto"/>
            <w:left w:val="none" w:sz="0" w:space="0" w:color="auto"/>
            <w:bottom w:val="none" w:sz="0" w:space="0" w:color="auto"/>
            <w:right w:val="none" w:sz="0" w:space="0" w:color="auto"/>
          </w:divBdr>
        </w:div>
        <w:div w:id="1781409537">
          <w:marLeft w:val="360"/>
          <w:marRight w:val="0"/>
          <w:marTop w:val="200"/>
          <w:marBottom w:val="0"/>
          <w:divBdr>
            <w:top w:val="none" w:sz="0" w:space="0" w:color="auto"/>
            <w:left w:val="none" w:sz="0" w:space="0" w:color="auto"/>
            <w:bottom w:val="none" w:sz="0" w:space="0" w:color="auto"/>
            <w:right w:val="none" w:sz="0" w:space="0" w:color="auto"/>
          </w:divBdr>
        </w:div>
        <w:div w:id="1886675895">
          <w:marLeft w:val="360"/>
          <w:marRight w:val="0"/>
          <w:marTop w:val="200"/>
          <w:marBottom w:val="0"/>
          <w:divBdr>
            <w:top w:val="none" w:sz="0" w:space="0" w:color="auto"/>
            <w:left w:val="none" w:sz="0" w:space="0" w:color="auto"/>
            <w:bottom w:val="none" w:sz="0" w:space="0" w:color="auto"/>
            <w:right w:val="none" w:sz="0" w:space="0" w:color="auto"/>
          </w:divBdr>
        </w:div>
        <w:div w:id="1720011164">
          <w:marLeft w:val="360"/>
          <w:marRight w:val="0"/>
          <w:marTop w:val="200"/>
          <w:marBottom w:val="0"/>
          <w:divBdr>
            <w:top w:val="none" w:sz="0" w:space="0" w:color="auto"/>
            <w:left w:val="none" w:sz="0" w:space="0" w:color="auto"/>
            <w:bottom w:val="none" w:sz="0" w:space="0" w:color="auto"/>
            <w:right w:val="none" w:sz="0" w:space="0" w:color="auto"/>
          </w:divBdr>
        </w:div>
        <w:div w:id="1543593851">
          <w:marLeft w:val="1080"/>
          <w:marRight w:val="0"/>
          <w:marTop w:val="100"/>
          <w:marBottom w:val="0"/>
          <w:divBdr>
            <w:top w:val="none" w:sz="0" w:space="0" w:color="auto"/>
            <w:left w:val="none" w:sz="0" w:space="0" w:color="auto"/>
            <w:bottom w:val="none" w:sz="0" w:space="0" w:color="auto"/>
            <w:right w:val="none" w:sz="0" w:space="0" w:color="auto"/>
          </w:divBdr>
        </w:div>
        <w:div w:id="2096782478">
          <w:marLeft w:val="1080"/>
          <w:marRight w:val="0"/>
          <w:marTop w:val="100"/>
          <w:marBottom w:val="0"/>
          <w:divBdr>
            <w:top w:val="none" w:sz="0" w:space="0" w:color="auto"/>
            <w:left w:val="none" w:sz="0" w:space="0" w:color="auto"/>
            <w:bottom w:val="none" w:sz="0" w:space="0" w:color="auto"/>
            <w:right w:val="none" w:sz="0" w:space="0" w:color="auto"/>
          </w:divBdr>
        </w:div>
        <w:div w:id="1781292940">
          <w:marLeft w:val="1080"/>
          <w:marRight w:val="0"/>
          <w:marTop w:val="100"/>
          <w:marBottom w:val="0"/>
          <w:divBdr>
            <w:top w:val="none" w:sz="0" w:space="0" w:color="auto"/>
            <w:left w:val="none" w:sz="0" w:space="0" w:color="auto"/>
            <w:bottom w:val="none" w:sz="0" w:space="0" w:color="auto"/>
            <w:right w:val="none" w:sz="0" w:space="0" w:color="auto"/>
          </w:divBdr>
        </w:div>
      </w:divsChild>
    </w:div>
    <w:div w:id="1383863386">
      <w:bodyDiv w:val="1"/>
      <w:marLeft w:val="0"/>
      <w:marRight w:val="0"/>
      <w:marTop w:val="0"/>
      <w:marBottom w:val="0"/>
      <w:divBdr>
        <w:top w:val="none" w:sz="0" w:space="0" w:color="auto"/>
        <w:left w:val="none" w:sz="0" w:space="0" w:color="auto"/>
        <w:bottom w:val="none" w:sz="0" w:space="0" w:color="auto"/>
        <w:right w:val="none" w:sz="0" w:space="0" w:color="auto"/>
      </w:divBdr>
      <w:divsChild>
        <w:div w:id="81223736">
          <w:marLeft w:val="360"/>
          <w:marRight w:val="0"/>
          <w:marTop w:val="200"/>
          <w:marBottom w:val="0"/>
          <w:divBdr>
            <w:top w:val="none" w:sz="0" w:space="0" w:color="auto"/>
            <w:left w:val="none" w:sz="0" w:space="0" w:color="auto"/>
            <w:bottom w:val="none" w:sz="0" w:space="0" w:color="auto"/>
            <w:right w:val="none" w:sz="0" w:space="0" w:color="auto"/>
          </w:divBdr>
        </w:div>
        <w:div w:id="119416982">
          <w:marLeft w:val="360"/>
          <w:marRight w:val="0"/>
          <w:marTop w:val="200"/>
          <w:marBottom w:val="0"/>
          <w:divBdr>
            <w:top w:val="none" w:sz="0" w:space="0" w:color="auto"/>
            <w:left w:val="none" w:sz="0" w:space="0" w:color="auto"/>
            <w:bottom w:val="none" w:sz="0" w:space="0" w:color="auto"/>
            <w:right w:val="none" w:sz="0" w:space="0" w:color="auto"/>
          </w:divBdr>
        </w:div>
        <w:div w:id="1937400854">
          <w:marLeft w:val="360"/>
          <w:marRight w:val="0"/>
          <w:marTop w:val="200"/>
          <w:marBottom w:val="0"/>
          <w:divBdr>
            <w:top w:val="none" w:sz="0" w:space="0" w:color="auto"/>
            <w:left w:val="none" w:sz="0" w:space="0" w:color="auto"/>
            <w:bottom w:val="none" w:sz="0" w:space="0" w:color="auto"/>
            <w:right w:val="none" w:sz="0" w:space="0" w:color="auto"/>
          </w:divBdr>
        </w:div>
        <w:div w:id="886648715">
          <w:marLeft w:val="360"/>
          <w:marRight w:val="0"/>
          <w:marTop w:val="200"/>
          <w:marBottom w:val="0"/>
          <w:divBdr>
            <w:top w:val="none" w:sz="0" w:space="0" w:color="auto"/>
            <w:left w:val="none" w:sz="0" w:space="0" w:color="auto"/>
            <w:bottom w:val="none" w:sz="0" w:space="0" w:color="auto"/>
            <w:right w:val="none" w:sz="0" w:space="0" w:color="auto"/>
          </w:divBdr>
        </w:div>
        <w:div w:id="1085685423">
          <w:marLeft w:val="360"/>
          <w:marRight w:val="0"/>
          <w:marTop w:val="200"/>
          <w:marBottom w:val="0"/>
          <w:divBdr>
            <w:top w:val="none" w:sz="0" w:space="0" w:color="auto"/>
            <w:left w:val="none" w:sz="0" w:space="0" w:color="auto"/>
            <w:bottom w:val="none" w:sz="0" w:space="0" w:color="auto"/>
            <w:right w:val="none" w:sz="0" w:space="0" w:color="auto"/>
          </w:divBdr>
        </w:div>
        <w:div w:id="2051034861">
          <w:marLeft w:val="360"/>
          <w:marRight w:val="0"/>
          <w:marTop w:val="200"/>
          <w:marBottom w:val="0"/>
          <w:divBdr>
            <w:top w:val="none" w:sz="0" w:space="0" w:color="auto"/>
            <w:left w:val="none" w:sz="0" w:space="0" w:color="auto"/>
            <w:bottom w:val="none" w:sz="0" w:space="0" w:color="auto"/>
            <w:right w:val="none" w:sz="0" w:space="0" w:color="auto"/>
          </w:divBdr>
        </w:div>
        <w:div w:id="2091851999">
          <w:marLeft w:val="360"/>
          <w:marRight w:val="0"/>
          <w:marTop w:val="200"/>
          <w:marBottom w:val="0"/>
          <w:divBdr>
            <w:top w:val="none" w:sz="0" w:space="0" w:color="auto"/>
            <w:left w:val="none" w:sz="0" w:space="0" w:color="auto"/>
            <w:bottom w:val="none" w:sz="0" w:space="0" w:color="auto"/>
            <w:right w:val="none" w:sz="0" w:space="0" w:color="auto"/>
          </w:divBdr>
        </w:div>
        <w:div w:id="448280869">
          <w:marLeft w:val="360"/>
          <w:marRight w:val="0"/>
          <w:marTop w:val="20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1030</TotalTime>
  <Pages>11</Pages>
  <Words>13874</Words>
  <Characters>79085</Characters>
  <Application>Microsoft Office Word</Application>
  <DocSecurity>0</DocSecurity>
  <Lines>659</Lines>
  <Paragraphs>185</Paragraphs>
  <ScaleCrop>false</ScaleCrop>
  <Company/>
  <LinksUpToDate>false</LinksUpToDate>
  <CharactersWithSpaces>92774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 Siggery</dc:creator>
  <cp:keywords/>
  <dc:description/>
  <cp:lastModifiedBy>Ben Siggery</cp:lastModifiedBy>
  <cp:revision>45</cp:revision>
  <dcterms:created xsi:type="dcterms:W3CDTF">2024-07-15T12:14:00Z</dcterms:created>
  <dcterms:modified xsi:type="dcterms:W3CDTF">2024-07-23T18:16:00Z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zotero-version="6.0.30"&gt;&lt;session id="4DmHrEbf"/&gt;&lt;style id="http://www.zotero.org/styles/journal-of-paleolimnology" hasBibliography="1" bibliographyStyleHasBeenSet="1"/&gt;&lt;prefs&gt;&lt;pref name="fieldType" value="Field"/&gt;&lt;/prefs&gt;&lt;/data&gt;</vt:lpwstr>
  </property>
</Properties>
</file>