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EB7846" w:rsidRDefault="00EB7846" w:rsidP="00EB7846">
      <w:pPr>
        <w:jc w:val="center"/>
        <w:rPr>
          <w:rFonts w:ascii="Arial" w:hAnsi="Arial" w:cs="Arial"/>
          <w:b/>
          <w:bCs/>
          <w:sz w:val="28"/>
          <w:szCs w:val="28"/>
        </w:rPr>
      </w:pPr>
      <w:r>
        <w:rPr>
          <w:rFonts w:ascii="Arial" w:hAnsi="Arial" w:cs="Arial"/>
          <w:b/>
          <w:bCs/>
          <w:sz w:val="28"/>
          <w:szCs w:val="28"/>
        </w:rPr>
        <w:t>S</w:t>
      </w:r>
      <w:r w:rsidRPr="00EB7846">
        <w:rPr>
          <w:rFonts w:ascii="Arial" w:hAnsi="Arial" w:cs="Arial"/>
          <w:b/>
          <w:bCs/>
          <w:sz w:val="28"/>
          <w:szCs w:val="28"/>
        </w:rPr>
        <w:t xml:space="preserve">upplementary </w:t>
      </w:r>
      <w:r>
        <w:rPr>
          <w:rFonts w:ascii="Arial" w:hAnsi="Arial" w:cs="Arial"/>
          <w:b/>
          <w:bCs/>
          <w:sz w:val="28"/>
          <w:szCs w:val="28"/>
        </w:rPr>
        <w:t>M</w:t>
      </w:r>
      <w:r w:rsidRPr="00EB7846">
        <w:rPr>
          <w:rFonts w:ascii="Arial" w:hAnsi="Arial" w:cs="Arial"/>
          <w:b/>
          <w:bCs/>
          <w:sz w:val="28"/>
          <w:szCs w:val="28"/>
        </w:rPr>
        <w:t>aterial</w:t>
      </w:r>
    </w:p>
    <w:p w:rsidR="00EB7846" w:rsidRPr="0096503E" w:rsidRDefault="00EB7846" w:rsidP="00EB7846">
      <w:pPr>
        <w:rPr>
          <w:rFonts w:ascii="Arial" w:hAnsi="Arial" w:cs="Arial"/>
          <w:b/>
          <w:bCs/>
          <w:sz w:val="28"/>
          <w:szCs w:val="28"/>
        </w:rPr>
      </w:pPr>
      <w:r>
        <w:rPr>
          <w:rFonts w:ascii="Arial" w:hAnsi="Arial" w:cs="Arial"/>
          <w:b/>
          <w:bCs/>
          <w:sz w:val="28"/>
          <w:szCs w:val="28"/>
        </w:rPr>
        <w:t xml:space="preserve">Model informed approach to estimate treatment effect in placebo-controlled clinical trials using an artificial intelligence based </w:t>
      </w:r>
      <w:r w:rsidRPr="0096503E">
        <w:rPr>
          <w:rFonts w:ascii="Arial" w:hAnsi="Arial" w:cs="Arial"/>
          <w:b/>
          <w:bCs/>
          <w:sz w:val="28"/>
          <w:szCs w:val="28"/>
        </w:rPr>
        <w:t>p</w:t>
      </w:r>
      <w:r w:rsidRPr="00D0380A">
        <w:rPr>
          <w:rFonts w:ascii="Arial" w:hAnsi="Arial" w:cs="Arial"/>
          <w:b/>
          <w:bCs/>
          <w:sz w:val="28"/>
          <w:szCs w:val="28"/>
        </w:rPr>
        <w:t>ropensity weighting method</w:t>
      </w:r>
      <w:r>
        <w:rPr>
          <w:rFonts w:ascii="Arial" w:hAnsi="Arial" w:cs="Arial"/>
          <w:b/>
          <w:bCs/>
          <w:sz w:val="28"/>
          <w:szCs w:val="28"/>
        </w:rPr>
        <w:t>ology to account for n</w:t>
      </w:r>
      <w:r w:rsidRPr="00D3440A">
        <w:rPr>
          <w:rFonts w:ascii="Arial" w:hAnsi="Arial" w:cs="Arial"/>
          <w:b/>
          <w:bCs/>
          <w:sz w:val="28"/>
          <w:szCs w:val="28"/>
        </w:rPr>
        <w:t>on-specific response</w:t>
      </w:r>
      <w:r>
        <w:rPr>
          <w:rFonts w:ascii="Arial" w:hAnsi="Arial" w:cs="Arial"/>
          <w:b/>
          <w:bCs/>
          <w:sz w:val="28"/>
          <w:szCs w:val="28"/>
        </w:rPr>
        <w:t>s</w:t>
      </w:r>
      <w:r w:rsidRPr="00D3440A">
        <w:rPr>
          <w:rFonts w:ascii="Arial" w:hAnsi="Arial" w:cs="Arial"/>
          <w:b/>
          <w:bCs/>
          <w:sz w:val="28"/>
          <w:szCs w:val="28"/>
        </w:rPr>
        <w:t xml:space="preserve"> to treatment</w:t>
      </w:r>
    </w:p>
    <w:p w:rsidR="00EB7846" w:rsidRPr="00EB7846" w:rsidRDefault="00EB7846" w:rsidP="00EB7846">
      <w:pPr>
        <w:jc w:val="center"/>
        <w:rPr>
          <w:rFonts w:ascii="Arial" w:hAnsi="Arial" w:cs="Arial"/>
          <w:color w:val="000000"/>
          <w:sz w:val="28"/>
          <w:szCs w:val="28"/>
          <w:shd w:val="clear" w:color="auto" w:fill="FFFFFF"/>
          <w:vertAlign w:val="superscript"/>
          <w:lang w:val="it-IT"/>
        </w:rPr>
      </w:pPr>
      <w:r w:rsidRPr="005873A8">
        <w:rPr>
          <w:rFonts w:ascii="Arial" w:hAnsi="Arial" w:cs="Arial"/>
          <w:color w:val="000000"/>
          <w:sz w:val="28"/>
          <w:szCs w:val="28"/>
          <w:shd w:val="clear" w:color="auto" w:fill="FFFFFF"/>
          <w:lang w:val="it-IT"/>
        </w:rPr>
        <w:t>R. Gomeni</w:t>
      </w:r>
      <w:r w:rsidRPr="005873A8">
        <w:rPr>
          <w:rFonts w:ascii="Arial" w:hAnsi="Arial" w:cs="Arial"/>
          <w:color w:val="000000"/>
          <w:sz w:val="28"/>
          <w:szCs w:val="28"/>
          <w:shd w:val="clear" w:color="auto" w:fill="FFFFFF"/>
          <w:vertAlign w:val="superscript"/>
          <w:lang w:val="it-IT"/>
        </w:rPr>
        <w:t>1</w:t>
      </w:r>
      <w:r w:rsidRPr="005873A8">
        <w:rPr>
          <w:rFonts w:ascii="Arial" w:hAnsi="Arial" w:cs="Arial"/>
          <w:color w:val="000000"/>
          <w:sz w:val="28"/>
          <w:szCs w:val="28"/>
          <w:shd w:val="clear" w:color="auto" w:fill="FFFFFF"/>
          <w:lang w:val="it-IT"/>
        </w:rPr>
        <w:t>, F. Bressolle</w:t>
      </w:r>
      <w:r>
        <w:rPr>
          <w:rFonts w:ascii="Arial" w:hAnsi="Arial" w:cs="Arial"/>
          <w:color w:val="000000"/>
          <w:sz w:val="28"/>
          <w:szCs w:val="28"/>
          <w:shd w:val="clear" w:color="auto" w:fill="FFFFFF"/>
          <w:lang w:val="it-IT"/>
        </w:rPr>
        <w:t>-Gomeni</w:t>
      </w:r>
      <w:r w:rsidRPr="005873A8">
        <w:rPr>
          <w:rFonts w:ascii="Arial" w:hAnsi="Arial" w:cs="Arial"/>
          <w:color w:val="000000"/>
          <w:sz w:val="28"/>
          <w:szCs w:val="28"/>
          <w:shd w:val="clear" w:color="auto" w:fill="FFFFFF"/>
          <w:vertAlign w:val="superscript"/>
          <w:lang w:val="it-IT"/>
        </w:rPr>
        <w:t>1</w:t>
      </w:r>
    </w:p>
    <w:p w:rsidR="00EB7846" w:rsidRPr="00CD01CE" w:rsidRDefault="00EB7846" w:rsidP="00EB7846">
      <w:pPr>
        <w:autoSpaceDE w:val="0"/>
        <w:autoSpaceDN w:val="0"/>
        <w:adjustRightInd w:val="0"/>
        <w:jc w:val="center"/>
        <w:rPr>
          <w:rFonts w:ascii="Arial" w:hAnsi="Arial" w:cs="Arial"/>
          <w:bCs/>
          <w:i/>
          <w:sz w:val="28"/>
          <w:szCs w:val="28"/>
          <w:lang w:val="it-IT"/>
        </w:rPr>
      </w:pPr>
      <w:r w:rsidRPr="00CD01CE">
        <w:rPr>
          <w:rFonts w:ascii="Arial" w:hAnsi="Arial" w:cs="Arial"/>
          <w:bCs/>
          <w:i/>
          <w:sz w:val="28"/>
          <w:szCs w:val="28"/>
          <w:vertAlign w:val="superscript"/>
          <w:lang w:val="it-IT"/>
        </w:rPr>
        <w:t>1</w:t>
      </w:r>
      <w:r w:rsidRPr="00CD01CE">
        <w:rPr>
          <w:rFonts w:ascii="Arial" w:hAnsi="Arial" w:cs="Arial"/>
          <w:bCs/>
          <w:i/>
          <w:sz w:val="28"/>
          <w:szCs w:val="28"/>
          <w:lang w:val="it-IT"/>
        </w:rPr>
        <w:t>Pharmacometrica, Longcol, La Fouillade, France</w:t>
      </w:r>
    </w:p>
    <w:p w:rsidR="00EB7846" w:rsidRDefault="00EB7846" w:rsidP="00EB7846">
      <w:pPr>
        <w:rPr>
          <w:lang w:val="it-IT"/>
        </w:rPr>
      </w:pPr>
    </w:p>
    <w:p w:rsidR="00EB7846" w:rsidRPr="00CD01CE" w:rsidRDefault="00EB7846" w:rsidP="00EB7846">
      <w:pPr>
        <w:rPr>
          <w:lang w:val="it-IT"/>
        </w:rPr>
      </w:pPr>
    </w:p>
    <w:p w:rsidR="00EB7846" w:rsidRPr="00CD0027" w:rsidRDefault="00EB7846" w:rsidP="00EB7846">
      <w:pPr>
        <w:spacing w:after="0" w:line="240" w:lineRule="auto"/>
        <w:rPr>
          <w:rFonts w:ascii="Arial" w:hAnsi="Arial" w:cs="Arial"/>
          <w:sz w:val="24"/>
          <w:szCs w:val="24"/>
          <w:shd w:val="clear" w:color="auto" w:fill="FFFFFF"/>
          <w:lang w:val="fr-FR"/>
        </w:rPr>
      </w:pPr>
      <w:r w:rsidRPr="00EB7846">
        <w:rPr>
          <w:rFonts w:ascii="Cambria" w:hAnsi="Cambria" w:cs="Angsana New"/>
          <w:b/>
          <w:bCs/>
          <w:kern w:val="32"/>
          <w:sz w:val="32"/>
          <w:szCs w:val="40"/>
          <w:lang w:val="fr-FR"/>
        </w:rPr>
        <w:t>Corresponding author</w:t>
      </w:r>
      <w:r w:rsidRPr="00CD0027">
        <w:rPr>
          <w:rFonts w:ascii="Arial" w:hAnsi="Arial" w:cs="Arial"/>
          <w:sz w:val="24"/>
          <w:szCs w:val="24"/>
          <w:shd w:val="clear" w:color="auto" w:fill="FFFFFF"/>
          <w:lang w:val="fr-FR"/>
        </w:rPr>
        <w:t>:</w:t>
      </w:r>
    </w:p>
    <w:p w:rsidR="00EB7846" w:rsidRPr="00CD0027" w:rsidRDefault="00EB7846" w:rsidP="00EB7846">
      <w:pPr>
        <w:spacing w:after="0" w:line="240" w:lineRule="auto"/>
        <w:rPr>
          <w:rFonts w:ascii="Arial" w:hAnsi="Arial" w:cs="Arial"/>
          <w:sz w:val="24"/>
          <w:szCs w:val="24"/>
          <w:shd w:val="clear" w:color="auto" w:fill="FFFFFF"/>
          <w:lang w:val="fr-FR"/>
        </w:rPr>
      </w:pPr>
    </w:p>
    <w:p w:rsidR="00EB7846" w:rsidRPr="00CD0027" w:rsidRDefault="00EB7846" w:rsidP="00EB7846">
      <w:pPr>
        <w:spacing w:after="0" w:line="240" w:lineRule="auto"/>
        <w:rPr>
          <w:rFonts w:ascii="Arial" w:hAnsi="Arial" w:cs="Arial"/>
          <w:sz w:val="24"/>
          <w:szCs w:val="24"/>
          <w:shd w:val="clear" w:color="auto" w:fill="FFFFFF"/>
          <w:lang w:val="fr-FR"/>
        </w:rPr>
      </w:pPr>
      <w:r w:rsidRPr="00CD0027">
        <w:rPr>
          <w:rFonts w:ascii="Arial" w:hAnsi="Arial" w:cs="Arial"/>
          <w:sz w:val="24"/>
          <w:szCs w:val="24"/>
          <w:shd w:val="clear" w:color="auto" w:fill="FFFFFF"/>
          <w:lang w:val="fr-FR"/>
        </w:rPr>
        <w:t>Roberto Gomeni</w:t>
      </w:r>
    </w:p>
    <w:p w:rsidR="00EB7846" w:rsidRPr="00CD0027" w:rsidRDefault="00EB7846" w:rsidP="00EB7846">
      <w:pPr>
        <w:spacing w:after="0" w:line="240" w:lineRule="auto"/>
        <w:rPr>
          <w:rFonts w:ascii="Arial" w:hAnsi="Arial" w:cs="Arial"/>
          <w:sz w:val="24"/>
          <w:szCs w:val="24"/>
          <w:shd w:val="clear" w:color="auto" w:fill="FFFFFF"/>
          <w:lang w:val="fr-FR"/>
        </w:rPr>
      </w:pPr>
      <w:r w:rsidRPr="00CD0027">
        <w:rPr>
          <w:rFonts w:ascii="Arial" w:hAnsi="Arial" w:cs="Arial"/>
          <w:sz w:val="24"/>
          <w:szCs w:val="24"/>
          <w:shd w:val="clear" w:color="auto" w:fill="FFFFFF"/>
          <w:lang w:val="fr-FR"/>
        </w:rPr>
        <w:t>Pharmacometrica, Lieu-dit Longcol, 12270, La Fouillade, France</w:t>
      </w:r>
    </w:p>
    <w:p w:rsidR="00EB7846" w:rsidRPr="00CD0027" w:rsidRDefault="00EB7846" w:rsidP="00EB7846">
      <w:pPr>
        <w:spacing w:after="0" w:line="240" w:lineRule="auto"/>
        <w:rPr>
          <w:rFonts w:ascii="Arial" w:hAnsi="Arial" w:cs="Arial"/>
          <w:sz w:val="24"/>
          <w:szCs w:val="24"/>
          <w:shd w:val="clear" w:color="auto" w:fill="FFFFFF"/>
          <w:lang w:val="fr-FR"/>
        </w:rPr>
      </w:pPr>
      <w:r w:rsidRPr="00CD0027">
        <w:rPr>
          <w:rFonts w:ascii="Arial" w:hAnsi="Arial" w:cs="Arial"/>
          <w:sz w:val="24"/>
          <w:szCs w:val="24"/>
          <w:shd w:val="clear" w:color="auto" w:fill="FFFFFF"/>
          <w:lang w:val="fr-FR"/>
        </w:rPr>
        <w:t xml:space="preserve">E-mail: </w:t>
      </w:r>
      <w:hyperlink r:id="rId7" w:history="1">
        <w:r w:rsidRPr="00CD0027">
          <w:rPr>
            <w:rFonts w:ascii="Arial" w:hAnsi="Arial" w:cs="Arial"/>
            <w:sz w:val="24"/>
            <w:szCs w:val="24"/>
            <w:shd w:val="clear" w:color="auto" w:fill="FFFFFF"/>
            <w:lang w:val="fr-FR"/>
          </w:rPr>
          <w:t>roberto.gomeni@pharmacometrica.com</w:t>
        </w:r>
      </w:hyperlink>
    </w:p>
    <w:p w:rsidR="00EB7846" w:rsidRPr="00CD0027" w:rsidRDefault="00EB7846" w:rsidP="00EB7846">
      <w:pPr>
        <w:spacing w:after="0" w:line="240" w:lineRule="auto"/>
        <w:rPr>
          <w:rFonts w:ascii="Arial" w:hAnsi="Arial" w:cs="Arial"/>
          <w:sz w:val="24"/>
          <w:szCs w:val="24"/>
          <w:shd w:val="clear" w:color="auto" w:fill="FFFFFF"/>
          <w:lang w:val="fr-FR"/>
        </w:rPr>
      </w:pPr>
      <w:r w:rsidRPr="00CD0027">
        <w:rPr>
          <w:rFonts w:ascii="Arial" w:hAnsi="Arial" w:cs="Arial"/>
          <w:sz w:val="24"/>
          <w:szCs w:val="24"/>
          <w:shd w:val="clear" w:color="auto" w:fill="FFFFFF"/>
          <w:lang w:val="fr-FR"/>
        </w:rPr>
        <w:t>Phone number: +33 760451976</w:t>
      </w:r>
    </w:p>
    <w:p w:rsidR="00EB7846" w:rsidRDefault="00EB7846">
      <w:pPr>
        <w:rPr>
          <w:lang w:val="fr-FR"/>
        </w:rPr>
      </w:pPr>
      <w:r>
        <w:rPr>
          <w:lang w:val="fr-FR"/>
        </w:rPr>
        <w:br w:type="page"/>
      </w:r>
    </w:p>
    <w:p w:rsidR="00EB7846" w:rsidRPr="00EB7846" w:rsidRDefault="00EB7846" w:rsidP="001D5B07">
      <w:pPr>
        <w:jc w:val="center"/>
        <w:rPr>
          <w:lang w:val="fr-FR"/>
        </w:rPr>
      </w:pPr>
    </w:p>
    <w:p w:rsidR="002E6ED9" w:rsidRDefault="001F5886" w:rsidP="001D5B07">
      <w:pPr>
        <w:jc w:val="center"/>
      </w:pPr>
      <w:r>
        <w:rPr>
          <w:noProof/>
        </w:rPr>
        <w:drawing>
          <wp:inline distT="0" distB="0" distL="0" distR="0" wp14:anchorId="7C31CFC6" wp14:editId="1BD57C1B">
            <wp:extent cx="4092826" cy="3132586"/>
            <wp:effectExtent l="0" t="0" r="3175" b="0"/>
            <wp:docPr id="1523477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47733" name=""/>
                    <pic:cNvPicPr/>
                  </pic:nvPicPr>
                  <pic:blipFill>
                    <a:blip r:embed="rId8"/>
                    <a:stretch>
                      <a:fillRect/>
                    </a:stretch>
                  </pic:blipFill>
                  <pic:spPr>
                    <a:xfrm>
                      <a:off x="0" y="0"/>
                      <a:ext cx="4108941" cy="3144920"/>
                    </a:xfrm>
                    <a:prstGeom prst="rect">
                      <a:avLst/>
                    </a:prstGeom>
                  </pic:spPr>
                </pic:pic>
              </a:graphicData>
            </a:graphic>
          </wp:inline>
        </w:drawing>
      </w:r>
    </w:p>
    <w:p w:rsidR="00996BB6" w:rsidRPr="008218C8" w:rsidRDefault="00996BB6" w:rsidP="008218C8">
      <w:pPr>
        <w:jc w:val="center"/>
        <w:rPr>
          <w:rFonts w:ascii="Arial" w:hAnsi="Arial" w:cs="Arial"/>
          <w:sz w:val="24"/>
          <w:szCs w:val="24"/>
        </w:rPr>
      </w:pPr>
      <w:r w:rsidRPr="008218C8">
        <w:rPr>
          <w:rFonts w:ascii="Arial" w:hAnsi="Arial" w:cs="Arial"/>
          <w:b/>
          <w:bCs/>
          <w:sz w:val="24"/>
          <w:szCs w:val="24"/>
        </w:rPr>
        <w:t>Fig</w:t>
      </w:r>
      <w:r w:rsidR="008218C8" w:rsidRPr="008218C8">
        <w:rPr>
          <w:rFonts w:ascii="Arial" w:hAnsi="Arial" w:cs="Arial"/>
          <w:b/>
          <w:bCs/>
          <w:sz w:val="24"/>
          <w:szCs w:val="24"/>
        </w:rPr>
        <w:t>.</w:t>
      </w:r>
      <w:r w:rsidRPr="008218C8">
        <w:rPr>
          <w:rFonts w:ascii="Arial" w:hAnsi="Arial" w:cs="Arial"/>
          <w:b/>
          <w:bCs/>
          <w:sz w:val="24"/>
          <w:szCs w:val="24"/>
        </w:rPr>
        <w:t xml:space="preserve"> S1</w:t>
      </w:r>
      <w:r w:rsidRPr="008218C8">
        <w:rPr>
          <w:rFonts w:ascii="Arial" w:hAnsi="Arial" w:cs="Arial"/>
          <w:sz w:val="24"/>
          <w:szCs w:val="24"/>
        </w:rPr>
        <w:t>.</w:t>
      </w:r>
      <w:r w:rsidR="008218C8" w:rsidRPr="008218C8">
        <w:rPr>
          <w:rFonts w:ascii="Arial" w:hAnsi="Arial" w:cs="Arial"/>
          <w:sz w:val="24"/>
          <w:szCs w:val="24"/>
        </w:rPr>
        <w:t xml:space="preserve"> Propensity analysis. Plots of then mean (± Standard Error) of the individual Bayesian parameter estimate</w:t>
      </w:r>
      <w:r w:rsidR="008218C8">
        <w:rPr>
          <w:rFonts w:ascii="Arial" w:hAnsi="Arial" w:cs="Arial"/>
          <w:sz w:val="24"/>
          <w:szCs w:val="24"/>
        </w:rPr>
        <w:t>s</w:t>
      </w:r>
      <w:r w:rsidR="008218C8" w:rsidRPr="008218C8">
        <w:rPr>
          <w:rFonts w:ascii="Arial" w:hAnsi="Arial" w:cs="Arial"/>
          <w:sz w:val="24"/>
          <w:szCs w:val="24"/>
        </w:rPr>
        <w:t xml:space="preserve"> as a function of the dose (dose=0 for placebo) and of the class of age</w:t>
      </w:r>
    </w:p>
    <w:p w:rsidR="001F5886" w:rsidRDefault="001F5886" w:rsidP="001D5B07">
      <w:pPr>
        <w:jc w:val="center"/>
      </w:pPr>
      <w:r>
        <w:rPr>
          <w:noProof/>
        </w:rPr>
        <w:drawing>
          <wp:inline distT="0" distB="0" distL="0" distR="0" wp14:anchorId="6269B8F2" wp14:editId="0E6505DE">
            <wp:extent cx="3940029" cy="3015637"/>
            <wp:effectExtent l="0" t="0" r="3810" b="0"/>
            <wp:docPr id="14749556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955607" name=""/>
                    <pic:cNvPicPr/>
                  </pic:nvPicPr>
                  <pic:blipFill>
                    <a:blip r:embed="rId9"/>
                    <a:stretch>
                      <a:fillRect/>
                    </a:stretch>
                  </pic:blipFill>
                  <pic:spPr>
                    <a:xfrm>
                      <a:off x="0" y="0"/>
                      <a:ext cx="3952756" cy="3025378"/>
                    </a:xfrm>
                    <a:prstGeom prst="rect">
                      <a:avLst/>
                    </a:prstGeom>
                  </pic:spPr>
                </pic:pic>
              </a:graphicData>
            </a:graphic>
          </wp:inline>
        </w:drawing>
      </w:r>
    </w:p>
    <w:p w:rsidR="008218C8" w:rsidRPr="008218C8" w:rsidRDefault="001F5886" w:rsidP="008218C8">
      <w:pPr>
        <w:jc w:val="center"/>
        <w:rPr>
          <w:rFonts w:ascii="Arial" w:hAnsi="Arial" w:cs="Arial"/>
          <w:sz w:val="24"/>
          <w:szCs w:val="24"/>
        </w:rPr>
      </w:pPr>
      <w:r w:rsidRPr="008218C8">
        <w:rPr>
          <w:rFonts w:ascii="Arial" w:hAnsi="Arial" w:cs="Arial"/>
          <w:b/>
          <w:bCs/>
        </w:rPr>
        <w:t>Fig</w:t>
      </w:r>
      <w:r w:rsidR="008218C8" w:rsidRPr="008218C8">
        <w:rPr>
          <w:rFonts w:ascii="Arial" w:hAnsi="Arial" w:cs="Arial"/>
          <w:b/>
          <w:bCs/>
        </w:rPr>
        <w:t>.</w:t>
      </w:r>
      <w:r w:rsidRPr="008218C8">
        <w:rPr>
          <w:rFonts w:ascii="Arial" w:hAnsi="Arial" w:cs="Arial"/>
          <w:b/>
          <w:bCs/>
        </w:rPr>
        <w:t xml:space="preserve"> S2</w:t>
      </w:r>
      <w:r w:rsidRPr="008218C8">
        <w:rPr>
          <w:rFonts w:ascii="Arial" w:hAnsi="Arial" w:cs="Arial"/>
        </w:rPr>
        <w:t>.</w:t>
      </w:r>
      <w:r w:rsidR="008218C8" w:rsidRPr="008218C8">
        <w:rPr>
          <w:rFonts w:ascii="Arial" w:hAnsi="Arial" w:cs="Arial"/>
        </w:rPr>
        <w:t xml:space="preserve"> </w:t>
      </w:r>
      <w:r w:rsidR="008218C8">
        <w:rPr>
          <w:rFonts w:ascii="Arial" w:hAnsi="Arial" w:cs="Arial"/>
          <w:sz w:val="24"/>
          <w:szCs w:val="24"/>
        </w:rPr>
        <w:t>Reference</w:t>
      </w:r>
      <w:r w:rsidR="008218C8" w:rsidRPr="008218C8">
        <w:rPr>
          <w:rFonts w:ascii="Arial" w:hAnsi="Arial" w:cs="Arial"/>
          <w:sz w:val="24"/>
          <w:szCs w:val="24"/>
        </w:rPr>
        <w:t xml:space="preserve"> analysis. Plots of then mean (± Standard Error) of the individual Bayesian parameter estimate</w:t>
      </w:r>
      <w:r w:rsidR="008218C8">
        <w:rPr>
          <w:rFonts w:ascii="Arial" w:hAnsi="Arial" w:cs="Arial"/>
          <w:sz w:val="24"/>
          <w:szCs w:val="24"/>
        </w:rPr>
        <w:t>s</w:t>
      </w:r>
      <w:r w:rsidR="008218C8" w:rsidRPr="008218C8">
        <w:rPr>
          <w:rFonts w:ascii="Arial" w:hAnsi="Arial" w:cs="Arial"/>
          <w:sz w:val="24"/>
          <w:szCs w:val="24"/>
        </w:rPr>
        <w:t xml:space="preserve"> as a function of the dose (dose=0 for placebo) and of the class of age</w:t>
      </w:r>
    </w:p>
    <w:p w:rsidR="001F5886" w:rsidRDefault="001F5886"/>
    <w:p w:rsidR="001A278E" w:rsidRDefault="001A278E"/>
    <w:p w:rsidR="001A278E" w:rsidRDefault="00A02663">
      <w:r w:rsidRPr="00A02663">
        <w:rPr>
          <w:noProof/>
        </w:rPr>
        <w:drawing>
          <wp:inline distT="0" distB="0" distL="0" distR="0" wp14:anchorId="0D382EAB" wp14:editId="15B3A4F9">
            <wp:extent cx="5943600" cy="4258945"/>
            <wp:effectExtent l="0" t="0" r="0" b="8255"/>
            <wp:docPr id="3982519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251959" name=""/>
                    <pic:cNvPicPr/>
                  </pic:nvPicPr>
                  <pic:blipFill>
                    <a:blip r:embed="rId10"/>
                    <a:stretch>
                      <a:fillRect/>
                    </a:stretch>
                  </pic:blipFill>
                  <pic:spPr>
                    <a:xfrm>
                      <a:off x="0" y="0"/>
                      <a:ext cx="5943600" cy="4258945"/>
                    </a:xfrm>
                    <a:prstGeom prst="rect">
                      <a:avLst/>
                    </a:prstGeom>
                  </pic:spPr>
                </pic:pic>
              </a:graphicData>
            </a:graphic>
          </wp:inline>
        </w:drawing>
      </w:r>
    </w:p>
    <w:p w:rsidR="001A278E" w:rsidRDefault="001A278E" w:rsidP="001A278E">
      <w:pPr>
        <w:jc w:val="center"/>
        <w:rPr>
          <w:rFonts w:ascii="Arial" w:hAnsi="Arial" w:cs="Arial"/>
          <w:i/>
          <w:iCs/>
          <w:sz w:val="24"/>
          <w:szCs w:val="24"/>
        </w:rPr>
      </w:pPr>
      <w:r w:rsidRPr="001A278E">
        <w:rPr>
          <w:rFonts w:ascii="Arial" w:hAnsi="Arial" w:cs="Arial"/>
          <w:i/>
          <w:iCs/>
          <w:sz w:val="24"/>
          <w:szCs w:val="24"/>
        </w:rPr>
        <w:t>Table S1.  Stepwise covariate model building procedure</w:t>
      </w:r>
      <w:r w:rsidR="00D75266">
        <w:rPr>
          <w:rFonts w:ascii="Arial" w:hAnsi="Arial" w:cs="Arial"/>
          <w:i/>
          <w:iCs/>
          <w:sz w:val="24"/>
          <w:szCs w:val="24"/>
        </w:rPr>
        <w:t xml:space="preserve"> for the ‘propensity’ and ‘reference’ models</w:t>
      </w:r>
      <w:r w:rsidRPr="001A278E">
        <w:rPr>
          <w:rFonts w:ascii="Arial" w:hAnsi="Arial" w:cs="Arial"/>
          <w:i/>
          <w:iCs/>
          <w:sz w:val="24"/>
          <w:szCs w:val="24"/>
        </w:rPr>
        <w:t>. The first column lists each model tested.  The second column lists the reference run to which the test run was compared.  The third and fourth columns list the OFV for each test run and the change in OFV from the reference run (test – reference), respectively. The fifth column reports the p value associated to the chi-squared statistics.</w:t>
      </w:r>
    </w:p>
    <w:p w:rsidR="00996BB6" w:rsidRDefault="009849FA" w:rsidP="001A278E">
      <w:pPr>
        <w:jc w:val="center"/>
        <w:rPr>
          <w:rFonts w:ascii="Arial" w:hAnsi="Arial" w:cs="Arial"/>
          <w:i/>
          <w:iCs/>
          <w:sz w:val="24"/>
          <w:szCs w:val="24"/>
        </w:rPr>
      </w:pPr>
      <w:r>
        <w:rPr>
          <w:noProof/>
        </w:rPr>
        <w:lastRenderedPageBreak/>
        <w:drawing>
          <wp:inline distT="0" distB="0" distL="0" distR="0" wp14:anchorId="39B44FEB" wp14:editId="06D1C050">
            <wp:extent cx="5943600" cy="4939665"/>
            <wp:effectExtent l="0" t="0" r="0" b="0"/>
            <wp:docPr id="9634537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453741" name=""/>
                    <pic:cNvPicPr/>
                  </pic:nvPicPr>
                  <pic:blipFill>
                    <a:blip r:embed="rId11"/>
                    <a:stretch>
                      <a:fillRect/>
                    </a:stretch>
                  </pic:blipFill>
                  <pic:spPr>
                    <a:xfrm>
                      <a:off x="0" y="0"/>
                      <a:ext cx="5943600" cy="4939665"/>
                    </a:xfrm>
                    <a:prstGeom prst="rect">
                      <a:avLst/>
                    </a:prstGeom>
                  </pic:spPr>
                </pic:pic>
              </a:graphicData>
            </a:graphic>
          </wp:inline>
        </w:drawing>
      </w:r>
    </w:p>
    <w:p w:rsidR="009849FA" w:rsidRPr="009849FA" w:rsidRDefault="009849FA" w:rsidP="009849FA">
      <w:pPr>
        <w:pStyle w:val="TextTi12"/>
        <w:jc w:val="center"/>
        <w:rPr>
          <w:rFonts w:ascii="Arial" w:hAnsi="Arial" w:cs="Arial"/>
          <w:i/>
          <w:iCs/>
        </w:rPr>
      </w:pPr>
      <w:r>
        <w:rPr>
          <w:rFonts w:ascii="Arial" w:hAnsi="Arial" w:cs="Arial"/>
          <w:i/>
          <w:iCs/>
          <w:szCs w:val="24"/>
        </w:rPr>
        <w:t>Fig S</w:t>
      </w:r>
      <w:r w:rsidR="0022528A">
        <w:rPr>
          <w:rFonts w:ascii="Arial" w:hAnsi="Arial" w:cs="Arial"/>
          <w:i/>
          <w:iCs/>
          <w:szCs w:val="24"/>
        </w:rPr>
        <w:t>3</w:t>
      </w:r>
      <w:r>
        <w:rPr>
          <w:rFonts w:ascii="Arial" w:hAnsi="Arial" w:cs="Arial"/>
          <w:i/>
          <w:iCs/>
          <w:szCs w:val="24"/>
        </w:rPr>
        <w:t xml:space="preserve">. </w:t>
      </w:r>
      <w:r>
        <w:rPr>
          <w:rFonts w:ascii="Arial" w:hAnsi="Arial" w:cs="Arial"/>
          <w:i/>
          <w:iCs/>
        </w:rPr>
        <w:t xml:space="preserve">Propensity model. </w:t>
      </w:r>
      <w:r w:rsidRPr="009849FA">
        <w:rPr>
          <w:rFonts w:ascii="Arial" w:hAnsi="Arial" w:cs="Arial"/>
          <w:i/>
          <w:iCs/>
        </w:rPr>
        <w:t>Goodness-of-fit plots. The blue dotted lines represent the reference identity line (in the observed versus individual and population model predicted concentration values plots) and the reference zero intercept horizontal lines (in the IWRES and Conditional Weighted residual plots). The red lines represent the smoothing function lines. The gray lines joint the individual observation (circles).</w:t>
      </w:r>
    </w:p>
    <w:p w:rsidR="009849FA" w:rsidRDefault="009849FA" w:rsidP="001A278E">
      <w:pPr>
        <w:jc w:val="center"/>
        <w:rPr>
          <w:rFonts w:ascii="Arial" w:hAnsi="Arial" w:cs="Arial"/>
          <w:i/>
          <w:iCs/>
          <w:sz w:val="24"/>
          <w:szCs w:val="24"/>
        </w:rPr>
      </w:pPr>
    </w:p>
    <w:p w:rsidR="009849FA" w:rsidRDefault="009849FA" w:rsidP="001A278E">
      <w:pPr>
        <w:jc w:val="center"/>
        <w:rPr>
          <w:rFonts w:ascii="Arial" w:hAnsi="Arial" w:cs="Arial"/>
          <w:i/>
          <w:iCs/>
          <w:sz w:val="24"/>
          <w:szCs w:val="24"/>
        </w:rPr>
      </w:pPr>
      <w:r>
        <w:rPr>
          <w:noProof/>
        </w:rPr>
        <w:lastRenderedPageBreak/>
        <w:drawing>
          <wp:inline distT="0" distB="0" distL="0" distR="0" wp14:anchorId="316A2AAF" wp14:editId="778ED37F">
            <wp:extent cx="5943600" cy="4939665"/>
            <wp:effectExtent l="0" t="0" r="0" b="0"/>
            <wp:docPr id="16665890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589042" name=""/>
                    <pic:cNvPicPr/>
                  </pic:nvPicPr>
                  <pic:blipFill>
                    <a:blip r:embed="rId12"/>
                    <a:stretch>
                      <a:fillRect/>
                    </a:stretch>
                  </pic:blipFill>
                  <pic:spPr>
                    <a:xfrm>
                      <a:off x="0" y="0"/>
                      <a:ext cx="5943600" cy="4939665"/>
                    </a:xfrm>
                    <a:prstGeom prst="rect">
                      <a:avLst/>
                    </a:prstGeom>
                  </pic:spPr>
                </pic:pic>
              </a:graphicData>
            </a:graphic>
          </wp:inline>
        </w:drawing>
      </w:r>
    </w:p>
    <w:p w:rsidR="009849FA" w:rsidRPr="009849FA" w:rsidRDefault="009849FA" w:rsidP="009849FA">
      <w:pPr>
        <w:pStyle w:val="TextTi12"/>
        <w:jc w:val="center"/>
        <w:rPr>
          <w:rFonts w:ascii="Arial" w:hAnsi="Arial" w:cs="Arial"/>
          <w:i/>
          <w:iCs/>
        </w:rPr>
      </w:pPr>
      <w:r>
        <w:rPr>
          <w:rFonts w:ascii="Arial" w:hAnsi="Arial" w:cs="Arial"/>
          <w:i/>
          <w:iCs/>
          <w:szCs w:val="24"/>
        </w:rPr>
        <w:t>Fig S</w:t>
      </w:r>
      <w:r w:rsidR="0022528A">
        <w:rPr>
          <w:rFonts w:ascii="Arial" w:hAnsi="Arial" w:cs="Arial"/>
          <w:i/>
          <w:iCs/>
          <w:szCs w:val="24"/>
        </w:rPr>
        <w:t>4</w:t>
      </w:r>
      <w:r>
        <w:rPr>
          <w:rFonts w:ascii="Arial" w:hAnsi="Arial" w:cs="Arial"/>
          <w:i/>
          <w:iCs/>
          <w:szCs w:val="24"/>
        </w:rPr>
        <w:t xml:space="preserve">. </w:t>
      </w:r>
      <w:r>
        <w:rPr>
          <w:rFonts w:ascii="Arial" w:hAnsi="Arial" w:cs="Arial"/>
          <w:i/>
          <w:iCs/>
        </w:rPr>
        <w:t xml:space="preserve">Reference model. </w:t>
      </w:r>
      <w:r w:rsidRPr="009849FA">
        <w:rPr>
          <w:rFonts w:ascii="Arial" w:hAnsi="Arial" w:cs="Arial"/>
          <w:i/>
          <w:iCs/>
        </w:rPr>
        <w:t>Goodness-of-fit plots. The blue dotted lines represent the reference identity line (in the observed versus individual and population model predicted concentration values plots) and the reference zero intercept horizontal lines (in the IWRES and Conditional Weighted residual plots). The red lines represent the smoothing function lines. The gray lines joint the individual observation (circles).</w:t>
      </w:r>
    </w:p>
    <w:p w:rsidR="009849FA" w:rsidRDefault="009849FA" w:rsidP="001A278E">
      <w:pPr>
        <w:jc w:val="center"/>
        <w:rPr>
          <w:rFonts w:ascii="Arial" w:hAnsi="Arial" w:cs="Arial"/>
          <w:i/>
          <w:iCs/>
          <w:sz w:val="24"/>
          <w:szCs w:val="24"/>
        </w:rPr>
      </w:pPr>
    </w:p>
    <w:p w:rsidR="00E85F5A" w:rsidRDefault="00AB7040" w:rsidP="00AB7040">
      <w:pPr>
        <w:jc w:val="center"/>
        <w:rPr>
          <w:rFonts w:ascii="Arial" w:hAnsi="Arial" w:cs="Arial"/>
          <w:i/>
          <w:iCs/>
        </w:rPr>
      </w:pPr>
      <w:r>
        <w:rPr>
          <w:noProof/>
        </w:rPr>
        <w:lastRenderedPageBreak/>
        <w:drawing>
          <wp:inline distT="0" distB="0" distL="0" distR="0" wp14:anchorId="14621557" wp14:editId="363CA430">
            <wp:extent cx="5714963" cy="3729990"/>
            <wp:effectExtent l="0" t="0" r="635" b="3810"/>
            <wp:docPr id="3210502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050297" name=""/>
                    <pic:cNvPicPr/>
                  </pic:nvPicPr>
                  <pic:blipFill>
                    <a:blip r:embed="rId13"/>
                    <a:stretch>
                      <a:fillRect/>
                    </a:stretch>
                  </pic:blipFill>
                  <pic:spPr>
                    <a:xfrm>
                      <a:off x="0" y="0"/>
                      <a:ext cx="5722018" cy="3734594"/>
                    </a:xfrm>
                    <a:prstGeom prst="rect">
                      <a:avLst/>
                    </a:prstGeom>
                  </pic:spPr>
                </pic:pic>
              </a:graphicData>
            </a:graphic>
          </wp:inline>
        </w:drawing>
      </w:r>
    </w:p>
    <w:p w:rsidR="00E85F5A" w:rsidRPr="00996BB6" w:rsidRDefault="00E85F5A" w:rsidP="00E85F5A">
      <w:pPr>
        <w:jc w:val="center"/>
        <w:rPr>
          <w:rFonts w:ascii="Arial" w:hAnsi="Arial" w:cs="Arial"/>
          <w:i/>
          <w:iCs/>
        </w:rPr>
      </w:pPr>
      <w:r w:rsidRPr="00996BB6">
        <w:rPr>
          <w:rFonts w:ascii="Arial" w:hAnsi="Arial" w:cs="Arial"/>
          <w:i/>
          <w:iCs/>
        </w:rPr>
        <w:t>Figure S</w:t>
      </w:r>
      <w:r w:rsidR="0022528A">
        <w:rPr>
          <w:rFonts w:ascii="Arial" w:hAnsi="Arial" w:cs="Arial"/>
          <w:i/>
          <w:iCs/>
        </w:rPr>
        <w:t>5</w:t>
      </w:r>
      <w:r w:rsidRPr="00996BB6">
        <w:rPr>
          <w:rFonts w:ascii="Arial" w:hAnsi="Arial" w:cs="Arial"/>
          <w:i/>
          <w:iCs/>
        </w:rPr>
        <w:t xml:space="preserve">. </w:t>
      </w:r>
      <w:bookmarkStart w:id="0" w:name="_Hlk173069183"/>
      <w:r>
        <w:rPr>
          <w:rFonts w:ascii="Arial" w:hAnsi="Arial" w:cs="Arial"/>
          <w:i/>
          <w:iCs/>
        </w:rPr>
        <w:t xml:space="preserve">Propensity model. </w:t>
      </w:r>
      <w:r w:rsidRPr="00996BB6">
        <w:rPr>
          <w:rFonts w:ascii="Arial" w:hAnsi="Arial" w:cs="Arial"/>
          <w:i/>
          <w:iCs/>
        </w:rPr>
        <w:t>Prediction-corrected visual predictive check</w:t>
      </w:r>
      <w:r>
        <w:rPr>
          <w:rFonts w:ascii="Arial" w:hAnsi="Arial" w:cs="Arial"/>
          <w:i/>
          <w:iCs/>
        </w:rPr>
        <w:t>s stratified by dose and median split of age</w:t>
      </w:r>
      <w:r w:rsidRPr="00996BB6">
        <w:rPr>
          <w:rFonts w:ascii="Arial" w:hAnsi="Arial" w:cs="Arial"/>
          <w:i/>
          <w:iCs/>
        </w:rPr>
        <w:t xml:space="preserve"> of </w:t>
      </w:r>
      <w:r>
        <w:rPr>
          <w:rFonts w:ascii="Arial" w:hAnsi="Arial" w:cs="Arial"/>
          <w:i/>
          <w:iCs/>
        </w:rPr>
        <w:t xml:space="preserve">the </w:t>
      </w:r>
      <w:r w:rsidRPr="00996BB6">
        <w:rPr>
          <w:rFonts w:ascii="Arial" w:hAnsi="Arial" w:cs="Arial"/>
          <w:i/>
          <w:iCs/>
        </w:rPr>
        <w:t xml:space="preserve">longitudinal HAMD-17 total score versus time </w:t>
      </w:r>
      <w:r>
        <w:rPr>
          <w:rFonts w:ascii="Arial" w:hAnsi="Arial" w:cs="Arial"/>
          <w:i/>
          <w:iCs/>
        </w:rPr>
        <w:t xml:space="preserve">computed </w:t>
      </w:r>
      <w:r w:rsidRPr="00996BB6">
        <w:rPr>
          <w:rFonts w:ascii="Arial" w:hAnsi="Arial" w:cs="Arial"/>
          <w:i/>
          <w:iCs/>
        </w:rPr>
        <w:t xml:space="preserve">using the final ‘Propensity’ and ‘Reference’ </w:t>
      </w:r>
      <w:r>
        <w:rPr>
          <w:rFonts w:ascii="Arial" w:hAnsi="Arial" w:cs="Arial"/>
          <w:i/>
          <w:iCs/>
        </w:rPr>
        <w:t xml:space="preserve">model outcomes. </w:t>
      </w:r>
      <w:r w:rsidRPr="00996BB6">
        <w:rPr>
          <w:rFonts w:ascii="Arial" w:hAnsi="Arial" w:cs="Arial"/>
          <w:i/>
          <w:iCs/>
        </w:rPr>
        <w:t>Points are observed HAMD-17 score</w:t>
      </w:r>
      <w:r>
        <w:rPr>
          <w:rFonts w:ascii="Arial" w:hAnsi="Arial" w:cs="Arial"/>
          <w:i/>
          <w:iCs/>
        </w:rPr>
        <w:t>s</w:t>
      </w:r>
      <w:r w:rsidRPr="00996BB6">
        <w:rPr>
          <w:rFonts w:ascii="Arial" w:hAnsi="Arial" w:cs="Arial"/>
          <w:i/>
          <w:iCs/>
        </w:rPr>
        <w:t xml:space="preserve">, solid </w:t>
      </w:r>
      <w:r>
        <w:rPr>
          <w:rFonts w:ascii="Arial" w:hAnsi="Arial" w:cs="Arial"/>
          <w:i/>
          <w:iCs/>
        </w:rPr>
        <w:t xml:space="preserve">red </w:t>
      </w:r>
      <w:r w:rsidRPr="00996BB6">
        <w:rPr>
          <w:rFonts w:ascii="Arial" w:hAnsi="Arial" w:cs="Arial"/>
          <w:i/>
          <w:iCs/>
        </w:rPr>
        <w:t>line</w:t>
      </w:r>
      <w:r>
        <w:rPr>
          <w:rFonts w:ascii="Arial" w:hAnsi="Arial" w:cs="Arial"/>
          <w:i/>
          <w:iCs/>
        </w:rPr>
        <w:t>s</w:t>
      </w:r>
      <w:r w:rsidRPr="00996BB6">
        <w:rPr>
          <w:rFonts w:ascii="Arial" w:hAnsi="Arial" w:cs="Arial"/>
          <w:i/>
          <w:iCs/>
        </w:rPr>
        <w:t xml:space="preserve"> represents the median</w:t>
      </w:r>
      <w:r>
        <w:rPr>
          <w:rFonts w:ascii="Arial" w:hAnsi="Arial" w:cs="Arial"/>
          <w:i/>
          <w:iCs/>
        </w:rPr>
        <w:t xml:space="preserve"> </w:t>
      </w:r>
      <w:r w:rsidRPr="00996BB6">
        <w:rPr>
          <w:rFonts w:ascii="Arial" w:hAnsi="Arial" w:cs="Arial"/>
          <w:i/>
          <w:iCs/>
        </w:rPr>
        <w:t>observed value</w:t>
      </w:r>
      <w:r>
        <w:rPr>
          <w:rFonts w:ascii="Arial" w:hAnsi="Arial" w:cs="Arial"/>
          <w:i/>
          <w:iCs/>
        </w:rPr>
        <w:t>s</w:t>
      </w:r>
      <w:r w:rsidRPr="00996BB6">
        <w:rPr>
          <w:rFonts w:ascii="Arial" w:hAnsi="Arial" w:cs="Arial"/>
          <w:i/>
          <w:iCs/>
        </w:rPr>
        <w:t>, and dashed lines represent 5</w:t>
      </w:r>
      <w:r w:rsidRPr="00CB5602">
        <w:rPr>
          <w:rFonts w:ascii="Arial" w:hAnsi="Arial" w:cs="Arial"/>
          <w:i/>
          <w:iCs/>
          <w:vertAlign w:val="superscript"/>
        </w:rPr>
        <w:t>th</w:t>
      </w:r>
      <w:r w:rsidRPr="00996BB6">
        <w:rPr>
          <w:rFonts w:ascii="Arial" w:hAnsi="Arial" w:cs="Arial"/>
          <w:i/>
          <w:iCs/>
        </w:rPr>
        <w:t xml:space="preserve"> percentiles and 95</w:t>
      </w:r>
      <w:r w:rsidRPr="00996BB6">
        <w:rPr>
          <w:rFonts w:ascii="Arial" w:hAnsi="Arial" w:cs="Arial"/>
          <w:i/>
          <w:iCs/>
          <w:vertAlign w:val="superscript"/>
        </w:rPr>
        <w:t>th</w:t>
      </w:r>
      <w:r>
        <w:rPr>
          <w:rFonts w:ascii="Arial" w:hAnsi="Arial" w:cs="Arial"/>
          <w:i/>
          <w:iCs/>
        </w:rPr>
        <w:t xml:space="preserve"> </w:t>
      </w:r>
      <w:r w:rsidRPr="00996BB6">
        <w:rPr>
          <w:rFonts w:ascii="Arial" w:hAnsi="Arial" w:cs="Arial"/>
          <w:i/>
          <w:iCs/>
        </w:rPr>
        <w:t>percentiles of the observed values. The upper and lower shaded areas</w:t>
      </w:r>
      <w:r>
        <w:rPr>
          <w:rFonts w:ascii="Arial" w:hAnsi="Arial" w:cs="Arial"/>
          <w:i/>
          <w:iCs/>
        </w:rPr>
        <w:t xml:space="preserve"> </w:t>
      </w:r>
      <w:r w:rsidRPr="00996BB6">
        <w:rPr>
          <w:rFonts w:ascii="Arial" w:hAnsi="Arial" w:cs="Arial"/>
          <w:i/>
          <w:iCs/>
        </w:rPr>
        <w:t>represent the 9</w:t>
      </w:r>
      <w:r>
        <w:rPr>
          <w:rFonts w:ascii="Arial" w:hAnsi="Arial" w:cs="Arial"/>
          <w:i/>
          <w:iCs/>
        </w:rPr>
        <w:t>0</w:t>
      </w:r>
      <w:r w:rsidRPr="00996BB6">
        <w:rPr>
          <w:rFonts w:ascii="Arial" w:hAnsi="Arial" w:cs="Arial"/>
          <w:i/>
          <w:iCs/>
        </w:rPr>
        <w:t>% confidence interval  spread of the 5</w:t>
      </w:r>
      <w:r w:rsidRPr="00996BB6">
        <w:rPr>
          <w:rFonts w:ascii="Arial" w:hAnsi="Arial" w:cs="Arial"/>
          <w:i/>
          <w:iCs/>
          <w:vertAlign w:val="superscript"/>
        </w:rPr>
        <w:t>th</w:t>
      </w:r>
      <w:r w:rsidRPr="00996BB6">
        <w:rPr>
          <w:rFonts w:ascii="Arial" w:hAnsi="Arial" w:cs="Arial"/>
          <w:i/>
          <w:iCs/>
        </w:rPr>
        <w:t>–95</w:t>
      </w:r>
      <w:r w:rsidRPr="00996BB6">
        <w:rPr>
          <w:rFonts w:ascii="Arial" w:hAnsi="Arial" w:cs="Arial"/>
          <w:i/>
          <w:iCs/>
          <w:vertAlign w:val="superscript"/>
        </w:rPr>
        <w:t>th</w:t>
      </w:r>
      <w:r>
        <w:rPr>
          <w:rFonts w:ascii="Arial" w:hAnsi="Arial" w:cs="Arial"/>
          <w:i/>
          <w:iCs/>
        </w:rPr>
        <w:t xml:space="preserve"> </w:t>
      </w:r>
      <w:r w:rsidRPr="00996BB6">
        <w:rPr>
          <w:rFonts w:ascii="Arial" w:hAnsi="Arial" w:cs="Arial"/>
          <w:i/>
          <w:iCs/>
        </w:rPr>
        <w:t>percentile predicted values, and middle shaded areas represent the</w:t>
      </w:r>
      <w:r>
        <w:rPr>
          <w:rFonts w:ascii="Arial" w:hAnsi="Arial" w:cs="Arial"/>
          <w:i/>
          <w:iCs/>
        </w:rPr>
        <w:t xml:space="preserve"> </w:t>
      </w:r>
      <w:r w:rsidRPr="00996BB6">
        <w:rPr>
          <w:rFonts w:ascii="Arial" w:hAnsi="Arial" w:cs="Arial"/>
          <w:i/>
          <w:iCs/>
        </w:rPr>
        <w:t>90% confidence interval spread of predicted values.</w:t>
      </w:r>
    </w:p>
    <w:bookmarkEnd w:id="0"/>
    <w:p w:rsidR="00E85F5A" w:rsidRDefault="00E85F5A" w:rsidP="001A278E">
      <w:pPr>
        <w:jc w:val="center"/>
        <w:rPr>
          <w:i/>
          <w:iCs/>
        </w:rPr>
      </w:pPr>
    </w:p>
    <w:p w:rsidR="00996BB6" w:rsidRDefault="00E85F5A" w:rsidP="001A278E">
      <w:pPr>
        <w:jc w:val="center"/>
        <w:rPr>
          <w:i/>
          <w:iCs/>
        </w:rPr>
      </w:pPr>
      <w:r>
        <w:rPr>
          <w:noProof/>
        </w:rPr>
        <w:lastRenderedPageBreak/>
        <w:drawing>
          <wp:inline distT="0" distB="0" distL="0" distR="0" wp14:anchorId="62AAB90D" wp14:editId="227B7336">
            <wp:extent cx="5735244" cy="3688080"/>
            <wp:effectExtent l="0" t="0" r="0" b="7620"/>
            <wp:docPr id="19601391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139151" name=""/>
                    <pic:cNvPicPr/>
                  </pic:nvPicPr>
                  <pic:blipFill>
                    <a:blip r:embed="rId14"/>
                    <a:stretch>
                      <a:fillRect/>
                    </a:stretch>
                  </pic:blipFill>
                  <pic:spPr>
                    <a:xfrm>
                      <a:off x="0" y="0"/>
                      <a:ext cx="5739311" cy="3690696"/>
                    </a:xfrm>
                    <a:prstGeom prst="rect">
                      <a:avLst/>
                    </a:prstGeom>
                  </pic:spPr>
                </pic:pic>
              </a:graphicData>
            </a:graphic>
          </wp:inline>
        </w:drawing>
      </w:r>
    </w:p>
    <w:p w:rsidR="00E85F5A" w:rsidRPr="00996BB6" w:rsidRDefault="00E85F5A" w:rsidP="00E85F5A">
      <w:pPr>
        <w:jc w:val="center"/>
        <w:rPr>
          <w:rFonts w:ascii="Arial" w:hAnsi="Arial" w:cs="Arial"/>
          <w:i/>
          <w:iCs/>
        </w:rPr>
      </w:pPr>
      <w:r w:rsidRPr="00996BB6">
        <w:rPr>
          <w:rFonts w:ascii="Arial" w:hAnsi="Arial" w:cs="Arial"/>
          <w:i/>
          <w:iCs/>
        </w:rPr>
        <w:t>Figure S</w:t>
      </w:r>
      <w:r w:rsidR="0022528A">
        <w:rPr>
          <w:rFonts w:ascii="Arial" w:hAnsi="Arial" w:cs="Arial"/>
          <w:i/>
          <w:iCs/>
        </w:rPr>
        <w:t>6</w:t>
      </w:r>
      <w:r w:rsidRPr="00996BB6">
        <w:rPr>
          <w:rFonts w:ascii="Arial" w:hAnsi="Arial" w:cs="Arial"/>
          <w:i/>
          <w:iCs/>
        </w:rPr>
        <w:t xml:space="preserve">. </w:t>
      </w:r>
      <w:r>
        <w:rPr>
          <w:rFonts w:ascii="Arial" w:hAnsi="Arial" w:cs="Arial"/>
          <w:i/>
          <w:iCs/>
        </w:rPr>
        <w:t xml:space="preserve">Reference model. </w:t>
      </w:r>
      <w:r w:rsidRPr="00996BB6">
        <w:rPr>
          <w:rFonts w:ascii="Arial" w:hAnsi="Arial" w:cs="Arial"/>
          <w:i/>
          <w:iCs/>
        </w:rPr>
        <w:t>Prediction-corrected visual predictive check</w:t>
      </w:r>
      <w:r>
        <w:rPr>
          <w:rFonts w:ascii="Arial" w:hAnsi="Arial" w:cs="Arial"/>
          <w:i/>
          <w:iCs/>
        </w:rPr>
        <w:t>s stratified by dose and median split of age</w:t>
      </w:r>
      <w:r w:rsidRPr="00996BB6">
        <w:rPr>
          <w:rFonts w:ascii="Arial" w:hAnsi="Arial" w:cs="Arial"/>
          <w:i/>
          <w:iCs/>
        </w:rPr>
        <w:t xml:space="preserve"> of </w:t>
      </w:r>
      <w:r>
        <w:rPr>
          <w:rFonts w:ascii="Arial" w:hAnsi="Arial" w:cs="Arial"/>
          <w:i/>
          <w:iCs/>
        </w:rPr>
        <w:t xml:space="preserve">the </w:t>
      </w:r>
      <w:r w:rsidRPr="00996BB6">
        <w:rPr>
          <w:rFonts w:ascii="Arial" w:hAnsi="Arial" w:cs="Arial"/>
          <w:i/>
          <w:iCs/>
        </w:rPr>
        <w:t xml:space="preserve">longitudinal HAMD-17 total score versus time </w:t>
      </w:r>
      <w:r>
        <w:rPr>
          <w:rFonts w:ascii="Arial" w:hAnsi="Arial" w:cs="Arial"/>
          <w:i/>
          <w:iCs/>
        </w:rPr>
        <w:t xml:space="preserve">computed </w:t>
      </w:r>
      <w:r w:rsidRPr="00996BB6">
        <w:rPr>
          <w:rFonts w:ascii="Arial" w:hAnsi="Arial" w:cs="Arial"/>
          <w:i/>
          <w:iCs/>
        </w:rPr>
        <w:t xml:space="preserve">using the final ‘Propensity’ and ‘Reference’ </w:t>
      </w:r>
      <w:r>
        <w:rPr>
          <w:rFonts w:ascii="Arial" w:hAnsi="Arial" w:cs="Arial"/>
          <w:i/>
          <w:iCs/>
        </w:rPr>
        <w:t xml:space="preserve">model outcomes. </w:t>
      </w:r>
      <w:r w:rsidRPr="00996BB6">
        <w:rPr>
          <w:rFonts w:ascii="Arial" w:hAnsi="Arial" w:cs="Arial"/>
          <w:i/>
          <w:iCs/>
        </w:rPr>
        <w:t>Points are observed HAMD-17 score</w:t>
      </w:r>
      <w:r>
        <w:rPr>
          <w:rFonts w:ascii="Arial" w:hAnsi="Arial" w:cs="Arial"/>
          <w:i/>
          <w:iCs/>
        </w:rPr>
        <w:t>s</w:t>
      </w:r>
      <w:r w:rsidRPr="00996BB6">
        <w:rPr>
          <w:rFonts w:ascii="Arial" w:hAnsi="Arial" w:cs="Arial"/>
          <w:i/>
          <w:iCs/>
        </w:rPr>
        <w:t xml:space="preserve">, solid </w:t>
      </w:r>
      <w:r>
        <w:rPr>
          <w:rFonts w:ascii="Arial" w:hAnsi="Arial" w:cs="Arial"/>
          <w:i/>
          <w:iCs/>
        </w:rPr>
        <w:t xml:space="preserve">red </w:t>
      </w:r>
      <w:r w:rsidRPr="00996BB6">
        <w:rPr>
          <w:rFonts w:ascii="Arial" w:hAnsi="Arial" w:cs="Arial"/>
          <w:i/>
          <w:iCs/>
        </w:rPr>
        <w:t>line</w:t>
      </w:r>
      <w:r>
        <w:rPr>
          <w:rFonts w:ascii="Arial" w:hAnsi="Arial" w:cs="Arial"/>
          <w:i/>
          <w:iCs/>
        </w:rPr>
        <w:t>s</w:t>
      </w:r>
      <w:r w:rsidRPr="00996BB6">
        <w:rPr>
          <w:rFonts w:ascii="Arial" w:hAnsi="Arial" w:cs="Arial"/>
          <w:i/>
          <w:iCs/>
        </w:rPr>
        <w:t xml:space="preserve"> represents the median</w:t>
      </w:r>
      <w:r>
        <w:rPr>
          <w:rFonts w:ascii="Arial" w:hAnsi="Arial" w:cs="Arial"/>
          <w:i/>
          <w:iCs/>
        </w:rPr>
        <w:t xml:space="preserve"> </w:t>
      </w:r>
      <w:r w:rsidRPr="00996BB6">
        <w:rPr>
          <w:rFonts w:ascii="Arial" w:hAnsi="Arial" w:cs="Arial"/>
          <w:i/>
          <w:iCs/>
        </w:rPr>
        <w:t>observed value</w:t>
      </w:r>
      <w:r>
        <w:rPr>
          <w:rFonts w:ascii="Arial" w:hAnsi="Arial" w:cs="Arial"/>
          <w:i/>
          <w:iCs/>
        </w:rPr>
        <w:t>s</w:t>
      </w:r>
      <w:r w:rsidRPr="00996BB6">
        <w:rPr>
          <w:rFonts w:ascii="Arial" w:hAnsi="Arial" w:cs="Arial"/>
          <w:i/>
          <w:iCs/>
        </w:rPr>
        <w:t>, and dashed lines represent 5</w:t>
      </w:r>
      <w:r w:rsidRPr="00CB5602">
        <w:rPr>
          <w:rFonts w:ascii="Arial" w:hAnsi="Arial" w:cs="Arial"/>
          <w:i/>
          <w:iCs/>
          <w:vertAlign w:val="superscript"/>
        </w:rPr>
        <w:t>th</w:t>
      </w:r>
      <w:r w:rsidRPr="00996BB6">
        <w:rPr>
          <w:rFonts w:ascii="Arial" w:hAnsi="Arial" w:cs="Arial"/>
          <w:i/>
          <w:iCs/>
        </w:rPr>
        <w:t xml:space="preserve"> percentiles and 95</w:t>
      </w:r>
      <w:r w:rsidRPr="00996BB6">
        <w:rPr>
          <w:rFonts w:ascii="Arial" w:hAnsi="Arial" w:cs="Arial"/>
          <w:i/>
          <w:iCs/>
          <w:vertAlign w:val="superscript"/>
        </w:rPr>
        <w:t>th</w:t>
      </w:r>
      <w:r>
        <w:rPr>
          <w:rFonts w:ascii="Arial" w:hAnsi="Arial" w:cs="Arial"/>
          <w:i/>
          <w:iCs/>
        </w:rPr>
        <w:t xml:space="preserve"> </w:t>
      </w:r>
      <w:r w:rsidRPr="00996BB6">
        <w:rPr>
          <w:rFonts w:ascii="Arial" w:hAnsi="Arial" w:cs="Arial"/>
          <w:i/>
          <w:iCs/>
        </w:rPr>
        <w:t>percentiles of the observed values. The upper and lower shaded areas</w:t>
      </w:r>
      <w:r>
        <w:rPr>
          <w:rFonts w:ascii="Arial" w:hAnsi="Arial" w:cs="Arial"/>
          <w:i/>
          <w:iCs/>
        </w:rPr>
        <w:t xml:space="preserve"> </w:t>
      </w:r>
      <w:r w:rsidRPr="00996BB6">
        <w:rPr>
          <w:rFonts w:ascii="Arial" w:hAnsi="Arial" w:cs="Arial"/>
          <w:i/>
          <w:iCs/>
        </w:rPr>
        <w:t>represent the 9</w:t>
      </w:r>
      <w:r>
        <w:rPr>
          <w:rFonts w:ascii="Arial" w:hAnsi="Arial" w:cs="Arial"/>
          <w:i/>
          <w:iCs/>
        </w:rPr>
        <w:t>0</w:t>
      </w:r>
      <w:r w:rsidRPr="00996BB6">
        <w:rPr>
          <w:rFonts w:ascii="Arial" w:hAnsi="Arial" w:cs="Arial"/>
          <w:i/>
          <w:iCs/>
        </w:rPr>
        <w:t>% confidence interval  spread of the 5</w:t>
      </w:r>
      <w:r w:rsidRPr="00996BB6">
        <w:rPr>
          <w:rFonts w:ascii="Arial" w:hAnsi="Arial" w:cs="Arial"/>
          <w:i/>
          <w:iCs/>
          <w:vertAlign w:val="superscript"/>
        </w:rPr>
        <w:t>th</w:t>
      </w:r>
      <w:r w:rsidRPr="00996BB6">
        <w:rPr>
          <w:rFonts w:ascii="Arial" w:hAnsi="Arial" w:cs="Arial"/>
          <w:i/>
          <w:iCs/>
        </w:rPr>
        <w:t>–95</w:t>
      </w:r>
      <w:r w:rsidRPr="00996BB6">
        <w:rPr>
          <w:rFonts w:ascii="Arial" w:hAnsi="Arial" w:cs="Arial"/>
          <w:i/>
          <w:iCs/>
          <w:vertAlign w:val="superscript"/>
        </w:rPr>
        <w:t>th</w:t>
      </w:r>
      <w:r>
        <w:rPr>
          <w:rFonts w:ascii="Arial" w:hAnsi="Arial" w:cs="Arial"/>
          <w:i/>
          <w:iCs/>
        </w:rPr>
        <w:t xml:space="preserve"> </w:t>
      </w:r>
      <w:r w:rsidRPr="00996BB6">
        <w:rPr>
          <w:rFonts w:ascii="Arial" w:hAnsi="Arial" w:cs="Arial"/>
          <w:i/>
          <w:iCs/>
        </w:rPr>
        <w:t>percentile predicted values, and middle shaded areas represent the</w:t>
      </w:r>
      <w:r>
        <w:rPr>
          <w:rFonts w:ascii="Arial" w:hAnsi="Arial" w:cs="Arial"/>
          <w:i/>
          <w:iCs/>
        </w:rPr>
        <w:t xml:space="preserve"> </w:t>
      </w:r>
      <w:r w:rsidRPr="00996BB6">
        <w:rPr>
          <w:rFonts w:ascii="Arial" w:hAnsi="Arial" w:cs="Arial"/>
          <w:i/>
          <w:iCs/>
        </w:rPr>
        <w:t>90% confidence interval spread of predicted values.</w:t>
      </w:r>
    </w:p>
    <w:p w:rsidR="00E85F5A" w:rsidRPr="001A278E" w:rsidRDefault="00E85F5A" w:rsidP="001A278E">
      <w:pPr>
        <w:jc w:val="center"/>
        <w:rPr>
          <w:i/>
          <w:iCs/>
        </w:rPr>
      </w:pPr>
    </w:p>
    <w:sectPr w:rsidR="00E85F5A" w:rsidRPr="001A278E">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9E0E3E" w:rsidRDefault="009E0E3E" w:rsidP="001A278E">
      <w:pPr>
        <w:spacing w:after="0" w:line="240" w:lineRule="auto"/>
      </w:pPr>
      <w:r>
        <w:separator/>
      </w:r>
    </w:p>
  </w:endnote>
  <w:endnote w:type="continuationSeparator" w:id="0">
    <w:p w:rsidR="009E0E3E" w:rsidRDefault="009E0E3E" w:rsidP="001A27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7111409"/>
      <w:docPartObj>
        <w:docPartGallery w:val="Page Numbers (Bottom of Page)"/>
        <w:docPartUnique/>
      </w:docPartObj>
    </w:sdtPr>
    <w:sdtEndPr>
      <w:rPr>
        <w:noProof/>
      </w:rPr>
    </w:sdtEndPr>
    <w:sdtContent>
      <w:p w:rsidR="001A278E" w:rsidRDefault="001A278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1A278E" w:rsidRDefault="001A27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9E0E3E" w:rsidRDefault="009E0E3E" w:rsidP="001A278E">
      <w:pPr>
        <w:spacing w:after="0" w:line="240" w:lineRule="auto"/>
      </w:pPr>
      <w:r>
        <w:separator/>
      </w:r>
    </w:p>
  </w:footnote>
  <w:footnote w:type="continuationSeparator" w:id="0">
    <w:p w:rsidR="009E0E3E" w:rsidRDefault="009E0E3E" w:rsidP="001A27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67A0C56"/>
    <w:multiLevelType w:val="multilevel"/>
    <w:tmpl w:val="C8C6F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CC6C00"/>
    <w:multiLevelType w:val="multilevel"/>
    <w:tmpl w:val="0C6E1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18872471">
    <w:abstractNumId w:val="1"/>
  </w:num>
  <w:num w:numId="2" w16cid:durableId="21340128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6E3"/>
    <w:rsid w:val="0000481A"/>
    <w:rsid w:val="000C099D"/>
    <w:rsid w:val="00102312"/>
    <w:rsid w:val="001A278E"/>
    <w:rsid w:val="001D5B07"/>
    <w:rsid w:val="001F5886"/>
    <w:rsid w:val="0022528A"/>
    <w:rsid w:val="002E6ED9"/>
    <w:rsid w:val="00363E71"/>
    <w:rsid w:val="003F15B8"/>
    <w:rsid w:val="008218C8"/>
    <w:rsid w:val="008B73D6"/>
    <w:rsid w:val="008D16E3"/>
    <w:rsid w:val="00936482"/>
    <w:rsid w:val="00936F44"/>
    <w:rsid w:val="009849FA"/>
    <w:rsid w:val="00992F21"/>
    <w:rsid w:val="00996BB6"/>
    <w:rsid w:val="009E0E3E"/>
    <w:rsid w:val="00A02663"/>
    <w:rsid w:val="00A85F6D"/>
    <w:rsid w:val="00AB7040"/>
    <w:rsid w:val="00CB5602"/>
    <w:rsid w:val="00D75266"/>
    <w:rsid w:val="00E469D6"/>
    <w:rsid w:val="00E85F5A"/>
    <w:rsid w:val="00EB7846"/>
    <w:rsid w:val="00FC2B25"/>
    <w:rsid w:val="00FC60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4452B"/>
  <w15:chartTrackingRefBased/>
  <w15:docId w15:val="{F709A432-EC59-44CB-BE45-B6E60B0AF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27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278E"/>
  </w:style>
  <w:style w:type="paragraph" w:styleId="Footer">
    <w:name w:val="footer"/>
    <w:basedOn w:val="Normal"/>
    <w:link w:val="FooterChar"/>
    <w:uiPriority w:val="99"/>
    <w:unhideWhenUsed/>
    <w:rsid w:val="001A27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278E"/>
  </w:style>
  <w:style w:type="paragraph" w:styleId="NormalWeb">
    <w:name w:val="Normal (Web)"/>
    <w:basedOn w:val="Normal"/>
    <w:uiPriority w:val="99"/>
    <w:unhideWhenUsed/>
    <w:rsid w:val="00996BB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TextTi12">
    <w:name w:val="Text:Ti12"/>
    <w:basedOn w:val="Normal"/>
    <w:link w:val="TextTi12Char"/>
    <w:rsid w:val="009849FA"/>
    <w:pPr>
      <w:spacing w:after="170" w:line="280" w:lineRule="atLeast"/>
      <w:jc w:val="both"/>
    </w:pPr>
    <w:rPr>
      <w:rFonts w:ascii="Times New Roman" w:eastAsia="Times New Roman" w:hAnsi="Times New Roman" w:cs="Times New Roman"/>
      <w:kern w:val="0"/>
      <w:sz w:val="24"/>
      <w:szCs w:val="20"/>
      <w14:ligatures w14:val="none"/>
    </w:rPr>
  </w:style>
  <w:style w:type="character" w:customStyle="1" w:styleId="TextTi12Char">
    <w:name w:val="Text:Ti12 Char"/>
    <w:link w:val="TextTi12"/>
    <w:rsid w:val="009849FA"/>
    <w:rPr>
      <w:rFonts w:ascii="Times New Roman" w:eastAsia="Times New Roman" w:hAnsi="Times New Roman" w:cs="Times New Roman"/>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268966">
      <w:bodyDiv w:val="1"/>
      <w:marLeft w:val="0"/>
      <w:marRight w:val="0"/>
      <w:marTop w:val="0"/>
      <w:marBottom w:val="0"/>
      <w:divBdr>
        <w:top w:val="none" w:sz="0" w:space="0" w:color="auto"/>
        <w:left w:val="none" w:sz="0" w:space="0" w:color="auto"/>
        <w:bottom w:val="none" w:sz="0" w:space="0" w:color="auto"/>
        <w:right w:val="none" w:sz="0" w:space="0" w:color="auto"/>
      </w:divBdr>
    </w:div>
    <w:div w:id="831719731">
      <w:bodyDiv w:val="1"/>
      <w:marLeft w:val="0"/>
      <w:marRight w:val="0"/>
      <w:marTop w:val="0"/>
      <w:marBottom w:val="0"/>
      <w:divBdr>
        <w:top w:val="none" w:sz="0" w:space="0" w:color="auto"/>
        <w:left w:val="none" w:sz="0" w:space="0" w:color="auto"/>
        <w:bottom w:val="none" w:sz="0" w:space="0" w:color="auto"/>
        <w:right w:val="none" w:sz="0" w:space="0" w:color="auto"/>
      </w:divBdr>
    </w:div>
    <w:div w:id="1893885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mailto:roberto.gomeni@pharmacometrica.com" TargetMode="Externa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521</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gomeni</dc:creator>
  <cp:keywords/>
  <dc:description/>
  <cp:lastModifiedBy>roberto gomeni</cp:lastModifiedBy>
  <cp:revision>5</cp:revision>
  <dcterms:created xsi:type="dcterms:W3CDTF">2024-07-31T12:28:00Z</dcterms:created>
  <dcterms:modified xsi:type="dcterms:W3CDTF">2024-07-31T12:41:00Z</dcterms:modified>
</cp:coreProperties>
</file>