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D24C6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Online Data Supplement to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“Clinical characteristics of high-altitude interstitial lung disease: a two-center, retrospective, observational study”</w:t>
      </w:r>
    </w:p>
    <w:p w14:paraId="094FDEC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ascii="Times New Roman" w:hAnsi="Times New Roman" w:cs="Times New Roman"/>
          <w:sz w:val="24"/>
          <w:vertAlign w:val="superscript"/>
        </w:rPr>
      </w:pPr>
      <w:r>
        <w:rPr>
          <w:rFonts w:ascii="Times New Roman" w:hAnsi="Times New Roman" w:cs="Times New Roman"/>
          <w:sz w:val="24"/>
        </w:rPr>
        <w:t>Liang Zhou</w:t>
      </w:r>
      <w:r>
        <w:rPr>
          <w:rFonts w:ascii="Times New Roman" w:hAnsi="Times New Roman" w:cs="Times New Roman"/>
          <w:sz w:val="24"/>
          <w:vertAlign w:val="superscript"/>
        </w:rPr>
        <w:t>1,2</w:t>
      </w:r>
      <w:r>
        <w:rPr>
          <w:rFonts w:hint="eastAsia" w:ascii="Times New Roman" w:hAnsi="Times New Roman" w:cs="Times New Roman"/>
          <w:sz w:val="24"/>
          <w:vertAlign w:val="superscript"/>
          <w:lang w:val="en-US" w:eastAsia="zh-CN"/>
        </w:rPr>
        <w:t>,3</w:t>
      </w:r>
      <w:r>
        <w:rPr>
          <w:rFonts w:ascii="Times New Roman" w:hAnsi="Times New Roman" w:cs="Times New Roman"/>
          <w:sz w:val="24"/>
          <w:vertAlign w:val="superscript"/>
        </w:rPr>
        <w:t>*</w:t>
      </w:r>
      <w:r>
        <w:rPr>
          <w:rFonts w:ascii="Times New Roman" w:hAnsi="Times New Roman" w:cs="Times New Roman"/>
          <w:sz w:val="24"/>
        </w:rPr>
        <w:t>, Min Zhu</w:t>
      </w:r>
      <w:r>
        <w:rPr>
          <w:rFonts w:ascii="Times New Roman" w:hAnsi="Times New Roman" w:cs="Times New Roman"/>
          <w:sz w:val="24"/>
          <w:vertAlign w:val="superscript"/>
        </w:rPr>
        <w:t>1,2</w:t>
      </w:r>
      <w:r>
        <w:rPr>
          <w:rFonts w:hint="eastAsia" w:ascii="Times New Roman" w:hAnsi="Times New Roman" w:cs="Times New Roman"/>
          <w:sz w:val="24"/>
          <w:vertAlign w:val="superscript"/>
          <w:lang w:val="en-US" w:eastAsia="zh-CN"/>
        </w:rPr>
        <w:t>,3</w:t>
      </w:r>
      <w:r>
        <w:rPr>
          <w:rFonts w:ascii="Times New Roman" w:hAnsi="Times New Roman" w:cs="Times New Roman"/>
          <w:sz w:val="24"/>
          <w:vertAlign w:val="superscript"/>
        </w:rPr>
        <w:t>*</w:t>
      </w:r>
      <w:r>
        <w:rPr>
          <w:rFonts w:ascii="Times New Roman" w:hAnsi="Times New Roman" w:cs="Times New Roman"/>
          <w:sz w:val="24"/>
        </w:rPr>
        <w:t xml:space="preserve">, </w:t>
      </w:r>
      <w:r>
        <w:rPr>
          <w:rFonts w:hint="eastAsia" w:ascii="Times New Roman" w:hAnsi="Times New Roman" w:cs="Times New Roman"/>
          <w:sz w:val="24"/>
          <w:lang w:val="en-US" w:eastAsia="zh-CN"/>
        </w:rPr>
        <w:t>Yujun Wang</w:t>
      </w:r>
      <w:r>
        <w:rPr>
          <w:rFonts w:ascii="Times New Roman" w:hAnsi="Times New Roman" w:cs="Times New Roman"/>
          <w:sz w:val="24"/>
          <w:vertAlign w:val="superscript"/>
        </w:rPr>
        <w:t>1,</w:t>
      </w:r>
      <w:r>
        <w:rPr>
          <w:rFonts w:hint="eastAsia" w:ascii="Times New Roman" w:hAnsi="Times New Roman" w:cs="Times New Roman"/>
          <w:sz w:val="24"/>
          <w:vertAlign w:val="superscript"/>
        </w:rPr>
        <w:t>2</w:t>
      </w:r>
      <w:r>
        <w:rPr>
          <w:rFonts w:hint="eastAsia" w:ascii="Times New Roman" w:hAnsi="Times New Roman" w:cs="Times New Roman"/>
          <w:sz w:val="24"/>
          <w:vertAlign w:val="superscript"/>
          <w:lang w:val="en-US" w:eastAsia="zh-CN"/>
        </w:rPr>
        <w:t>,3</w:t>
      </w:r>
      <w:r>
        <w:rPr>
          <w:rFonts w:hint="eastAsia" w:ascii="Times New Roman" w:hAnsi="Times New Roman" w:cs="Times New Roman"/>
          <w:sz w:val="24"/>
          <w:lang w:val="en-US" w:eastAsia="zh-CN"/>
        </w:rPr>
        <w:t>, Ling Chen</w:t>
      </w:r>
      <w:r>
        <w:rPr>
          <w:rFonts w:ascii="Times New Roman" w:hAnsi="Times New Roman" w:cs="Times New Roman"/>
          <w:sz w:val="24"/>
          <w:vertAlign w:val="superscript"/>
        </w:rPr>
        <w:t>1,</w:t>
      </w:r>
      <w:r>
        <w:rPr>
          <w:rFonts w:hint="eastAsia" w:ascii="Times New Roman" w:hAnsi="Times New Roman" w:cs="Times New Roman"/>
          <w:sz w:val="24"/>
          <w:vertAlign w:val="superscript"/>
        </w:rPr>
        <w:t>2</w:t>
      </w:r>
      <w:r>
        <w:rPr>
          <w:rFonts w:hint="eastAsia" w:ascii="Times New Roman" w:hAnsi="Times New Roman" w:cs="Times New Roman"/>
          <w:sz w:val="24"/>
          <w:vertAlign w:val="superscript"/>
          <w:lang w:val="en-US" w:eastAsia="zh-CN"/>
        </w:rPr>
        <w:t>,3</w:t>
      </w:r>
      <w:r>
        <w:rPr>
          <w:rFonts w:ascii="Times New Roman" w:hAnsi="Times New Roman" w:cs="Times New Roman"/>
          <w:sz w:val="24"/>
        </w:rPr>
        <w:t xml:space="preserve">, </w:t>
      </w:r>
      <w:r>
        <w:rPr>
          <w:rFonts w:hint="eastAsia" w:ascii="Times New Roman" w:hAnsi="Times New Roman" w:cs="Times New Roman"/>
          <w:sz w:val="24"/>
          <w:lang w:val="en-US" w:eastAsia="zh-CN"/>
        </w:rPr>
        <w:t>Linrui Xu</w:t>
      </w:r>
      <w:r>
        <w:rPr>
          <w:rFonts w:ascii="Times New Roman" w:hAnsi="Times New Roman" w:cs="Times New Roman"/>
          <w:sz w:val="24"/>
          <w:vertAlign w:val="superscript"/>
        </w:rPr>
        <w:t>1,</w:t>
      </w:r>
      <w:r>
        <w:rPr>
          <w:rFonts w:hint="eastAsia" w:ascii="Times New Roman" w:hAnsi="Times New Roman" w:cs="Times New Roman"/>
          <w:sz w:val="24"/>
          <w:vertAlign w:val="superscript"/>
        </w:rPr>
        <w:t>2</w:t>
      </w:r>
      <w:r>
        <w:rPr>
          <w:rFonts w:hint="eastAsia" w:ascii="Times New Roman" w:hAnsi="Times New Roman" w:cs="Times New Roman"/>
          <w:sz w:val="24"/>
          <w:vertAlign w:val="superscript"/>
          <w:lang w:val="en-US" w:eastAsia="zh-CN"/>
        </w:rPr>
        <w:t>,3</w:t>
      </w:r>
      <w:r>
        <w:rPr>
          <w:rFonts w:ascii="Times New Roman" w:hAnsi="Times New Roman" w:cs="Times New Roman"/>
          <w:sz w:val="24"/>
        </w:rPr>
        <w:t xml:space="preserve">, </w:t>
      </w:r>
      <w:r>
        <w:rPr>
          <w:rFonts w:hint="eastAsia" w:ascii="Times New Roman" w:hAnsi="Times New Roman" w:cs="Times New Roman"/>
          <w:sz w:val="24"/>
          <w:lang w:val="en-US" w:eastAsia="zh-CN"/>
        </w:rPr>
        <w:t>Jia Liu</w:t>
      </w:r>
      <w:r>
        <w:rPr>
          <w:rFonts w:ascii="Times New Roman" w:hAnsi="Times New Roman" w:cs="Times New Roman"/>
          <w:sz w:val="24"/>
          <w:vertAlign w:val="superscript"/>
        </w:rPr>
        <w:t>1</w:t>
      </w:r>
      <w:r>
        <w:rPr>
          <w:rFonts w:hint="eastAsia" w:ascii="Times New Roman" w:hAnsi="Times New Roman" w:cs="Times New Roman"/>
          <w:sz w:val="24"/>
          <w:lang w:val="en-US" w:eastAsia="zh-CN"/>
        </w:rPr>
        <w:t>,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hint="eastAsia" w:ascii="Times New Roman" w:hAnsi="Times New Roman" w:cs="Times New Roman"/>
          <w:sz w:val="24"/>
          <w:lang w:val="en-US" w:eastAsia="zh-CN"/>
        </w:rPr>
        <w:t>Lei Chen</w:t>
      </w:r>
      <w:r>
        <w:rPr>
          <w:rFonts w:ascii="Times New Roman" w:hAnsi="Times New Roman" w:cs="Times New Roman"/>
          <w:sz w:val="24"/>
          <w:vertAlign w:val="superscript"/>
        </w:rPr>
        <w:t>1,</w:t>
      </w:r>
      <w:r>
        <w:rPr>
          <w:rFonts w:hint="eastAsia" w:ascii="Times New Roman" w:hAnsi="Times New Roman" w:cs="Times New Roman"/>
          <w:sz w:val="24"/>
          <w:vertAlign w:val="superscript"/>
        </w:rPr>
        <w:t>2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, </w:t>
      </w:r>
      <w:r>
        <w:rPr>
          <w:rFonts w:hint="eastAsia" w:ascii="Times New Roman" w:hAnsi="Times New Roman" w:cs="Times New Roman"/>
          <w:sz w:val="24"/>
        </w:rPr>
        <w:t>Yajun Tuo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vertAlign w:val="superscript"/>
          <w:lang w:val="en-US" w:eastAsia="zh-CN"/>
        </w:rPr>
        <w:t>4</w:t>
      </w:r>
      <w:r>
        <w:rPr>
          <w:rFonts w:hint="eastAsia" w:ascii="Times New Roman" w:hAnsi="Times New Roman" w:cs="Times New Roman"/>
          <w:sz w:val="24"/>
          <w:lang w:val="en-US" w:eastAsia="zh-CN"/>
        </w:rPr>
        <w:t>, Qucuo Meilang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vertAlign w:val="superscript"/>
          <w:lang w:val="en-US" w:eastAsia="zh-CN"/>
        </w:rPr>
        <w:t>5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, </w:t>
      </w:r>
      <w:r>
        <w:rPr>
          <w:rFonts w:ascii="Times New Roman" w:hAnsi="Times New Roman" w:cs="Times New Roman"/>
          <w:sz w:val="24"/>
        </w:rPr>
        <w:t>Fengming Luo</w:t>
      </w:r>
      <w:r>
        <w:rPr>
          <w:rFonts w:ascii="Times New Roman" w:hAnsi="Times New Roman" w:cs="Times New Roman"/>
          <w:sz w:val="24"/>
          <w:vertAlign w:val="superscript"/>
        </w:rPr>
        <w:t>1,</w:t>
      </w:r>
      <w:r>
        <w:rPr>
          <w:rFonts w:hint="eastAsia" w:ascii="Times New Roman" w:hAnsi="Times New Roman" w:cs="Times New Roman"/>
          <w:sz w:val="24"/>
          <w:vertAlign w:val="superscript"/>
        </w:rPr>
        <w:t>2</w:t>
      </w:r>
      <w:r>
        <w:rPr>
          <w:rFonts w:hint="eastAsia" w:ascii="Times New Roman" w:hAnsi="Times New Roman" w:cs="Times New Roman"/>
          <w:sz w:val="24"/>
          <w:vertAlign w:val="superscript"/>
          <w:lang w:val="en-US" w:eastAsia="zh-CN"/>
        </w:rPr>
        <w:t>,3</w:t>
      </w:r>
      <w:r>
        <w:rPr>
          <w:rFonts w:ascii="Times New Roman" w:hAnsi="Times New Roman" w:cs="Times New Roman"/>
          <w:sz w:val="24"/>
          <w:vertAlign w:val="superscript"/>
        </w:rPr>
        <w:t>†</w:t>
      </w:r>
    </w:p>
    <w:p w14:paraId="001BF2F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ascii="Times New Roman" w:hAnsi="Times New Roman" w:cs="Times New Roman"/>
          <w:sz w:val="24"/>
          <w:vertAlign w:val="superscript"/>
        </w:rPr>
      </w:pPr>
      <w:bookmarkStart w:id="1" w:name="_GoBack"/>
      <w:bookmarkEnd w:id="1"/>
    </w:p>
    <w:p w14:paraId="15D680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vertAlign w:val="superscript"/>
          <w:lang w:val="en-US" w:eastAsia="zh-CN"/>
        </w:rPr>
        <w:t>*</w:t>
      </w:r>
      <w:r>
        <w:rPr>
          <w:rFonts w:hint="default" w:ascii="Times New Roman" w:hAnsi="Times New Roman" w:cs="Times New Roman"/>
          <w:sz w:val="24"/>
          <w:szCs w:val="24"/>
        </w:rPr>
        <w:t>Equally contributed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.</w:t>
      </w:r>
    </w:p>
    <w:p w14:paraId="66287A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vertAlign w:val="superscript"/>
          <w:lang w:val="en-US" w:eastAsia="zh-CN"/>
        </w:rPr>
        <w:t>†</w:t>
      </w:r>
      <w:r>
        <w:rPr>
          <w:rFonts w:hint="default" w:ascii="Times New Roman" w:hAnsi="Times New Roman" w:cs="Times New Roman"/>
          <w:sz w:val="24"/>
          <w:szCs w:val="24"/>
        </w:rPr>
        <w:t>Corresponding author</w:t>
      </w:r>
    </w:p>
    <w:p w14:paraId="51F65A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35187C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ONLINE DATA SUPPLEMENT</w:t>
      </w:r>
    </w:p>
    <w:p w14:paraId="143718E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4"/>
          <w:szCs w:val="24"/>
        </w:rPr>
        <w:sectPr>
          <w:footerReference r:id="rId3" w:type="default"/>
          <w:pgSz w:w="11906" w:h="16838"/>
          <w:pgMar w:top="1417" w:right="1134" w:bottom="1417" w:left="1134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lnNumType w:countBy="1"/>
          <w:cols w:space="0" w:num="1"/>
          <w:rtlGutter w:val="0"/>
          <w:docGrid w:type="lines" w:linePitch="312" w:charSpace="0"/>
        </w:sectPr>
      </w:pPr>
    </w:p>
    <w:p w14:paraId="1F14BF4D"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auto"/>
        <w:textAlignment w:val="auto"/>
        <w:outlineLvl w:val="0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24"/>
          <w:rFonts w:hint="default" w:ascii="Times New Roman" w:hAnsi="Times New Roman" w:eastAsia="宋体" w:cs="Times New Roman"/>
          <w:b/>
          <w:kern w:val="2"/>
          <w:sz w:val="24"/>
          <w:szCs w:val="24"/>
          <w:lang w:val="en-US" w:eastAsia="zh-CN" w:bidi="ar-SA"/>
        </w:rPr>
        <w:t>Table E</w:t>
      </w:r>
      <w:r>
        <w:rPr>
          <w:rStyle w:val="24"/>
          <w:rFonts w:hint="eastAsia" w:ascii="Times New Roman" w:hAnsi="Times New Roman" w:eastAsia="宋体" w:cs="Times New Roman"/>
          <w:b/>
          <w:kern w:val="2"/>
          <w:sz w:val="24"/>
          <w:szCs w:val="24"/>
          <w:lang w:val="en-US" w:eastAsia="zh-CN" w:bidi="ar-SA"/>
        </w:rPr>
        <w:t>1</w:t>
      </w:r>
      <w:r>
        <w:rPr>
          <w:rStyle w:val="24"/>
          <w:rFonts w:hint="default" w:ascii="Times New Roman" w:hAnsi="Times New Roman" w:eastAsia="宋体" w:cs="Times New Roman"/>
          <w:b w:val="0"/>
          <w:bCs/>
          <w:kern w:val="2"/>
          <w:sz w:val="24"/>
          <w:szCs w:val="24"/>
          <w:lang w:val="en-US" w:eastAsia="zh-CN" w:bidi="ar-SA"/>
        </w:rPr>
        <w:t>.</w:t>
      </w:r>
      <w:r>
        <w:rPr>
          <w:rStyle w:val="24"/>
          <w:rFonts w:hint="eastAsia" w:ascii="Times New Roman" w:hAnsi="Times New Roman" w:eastAsia="宋体" w:cs="Times New Roman"/>
          <w:b w:val="0"/>
          <w:bCs/>
          <w:kern w:val="2"/>
          <w:sz w:val="24"/>
          <w:szCs w:val="24"/>
          <w:lang w:val="en-US" w:eastAsia="zh-CN" w:bidi="ar-SA"/>
        </w:rPr>
        <w:t xml:space="preserve"> </w:t>
      </w:r>
      <w:r>
        <w:rPr>
          <w:rStyle w:val="24"/>
          <w:rFonts w:hint="default" w:ascii="Times New Roman" w:hAnsi="Times New Roman" w:eastAsia="宋体" w:cs="Times New Roman"/>
          <w:b w:val="0"/>
          <w:bCs/>
          <w:kern w:val="2"/>
          <w:sz w:val="24"/>
          <w:szCs w:val="24"/>
          <w:lang w:val="en-US" w:eastAsia="zh-CN" w:bidi="ar-SA"/>
        </w:rPr>
        <w:t>Correlation Results between Altitude Groups (LA/HA) and Variables in IPF patients.</w:t>
      </w:r>
    </w:p>
    <w:tbl>
      <w:tblPr>
        <w:tblStyle w:val="12"/>
        <w:tblW w:w="1217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6"/>
        <w:gridCol w:w="2293"/>
        <w:gridCol w:w="2098"/>
        <w:gridCol w:w="2911"/>
        <w:gridCol w:w="3090"/>
      </w:tblGrid>
      <w:tr w14:paraId="7342CF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1786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1CEB7DF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Values</w:t>
            </w:r>
          </w:p>
        </w:tc>
        <w:tc>
          <w:tcPr>
            <w:tcW w:w="2293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52BCDA4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Chest pain</w:t>
            </w:r>
          </w:p>
        </w:tc>
        <w:tc>
          <w:tcPr>
            <w:tcW w:w="2098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4BFE6FF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ILD-GAP score</w:t>
            </w:r>
          </w:p>
        </w:tc>
        <w:tc>
          <w:tcPr>
            <w:tcW w:w="2911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79F8A1F9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Prolonged Hospital Stay</w:t>
            </w:r>
          </w:p>
        </w:tc>
        <w:tc>
          <w:tcPr>
            <w:tcW w:w="3090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6AE0BA4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P/F ratio, mmHg</w:t>
            </w:r>
          </w:p>
        </w:tc>
      </w:tr>
      <w:tr w14:paraId="011525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FF76C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rho（ρ）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4F353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8EA1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D5888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633F4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-0.48</w:t>
            </w:r>
          </w:p>
        </w:tc>
      </w:tr>
      <w:tr w14:paraId="424729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2323DA0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p-value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57D55B3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0.053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14B64CE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58DF8B1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1E09F20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&lt;0.001</w:t>
            </w:r>
          </w:p>
        </w:tc>
      </w:tr>
      <w:tr w14:paraId="6648CF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21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FC92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Spearman's rank correlation analysis was used; correlation coefficient rho (ρ) ranges [-1,1]; p&lt;0.05 was considered statistically significant. </w:t>
            </w:r>
          </w:p>
          <w:p w14:paraId="051493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Abbreviations: ILD-GAP = Gender-Age-Physiology scoring system for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interstitial lung disease; P/F ratio = PO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subscript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/FIO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subscript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ratio (arterial partial pressure of oxygen/fraction of inspired oxygen ratio).</w:t>
            </w:r>
          </w:p>
        </w:tc>
      </w:tr>
    </w:tbl>
    <w:p w14:paraId="127A07B5"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auto"/>
        <w:textAlignment w:val="auto"/>
        <w:outlineLvl w:val="0"/>
        <w:rPr>
          <w:rStyle w:val="24"/>
          <w:rFonts w:hint="default" w:ascii="Times New Roman" w:hAnsi="Times New Roman" w:eastAsia="宋体" w:cs="Times New Roman"/>
          <w:b/>
          <w:kern w:val="2"/>
          <w:sz w:val="24"/>
          <w:szCs w:val="24"/>
          <w:lang w:val="en-US" w:eastAsia="zh-CN" w:bidi="ar-SA"/>
        </w:rPr>
      </w:pPr>
    </w:p>
    <w:p w14:paraId="059FC1E8"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auto"/>
        <w:textAlignment w:val="auto"/>
        <w:outlineLvl w:val="0"/>
        <w:rPr>
          <w:rStyle w:val="24"/>
          <w:rFonts w:hint="default" w:ascii="Times New Roman" w:hAnsi="Times New Roman" w:eastAsia="宋体" w:cs="Times New Roman"/>
          <w:b/>
          <w:kern w:val="2"/>
          <w:sz w:val="24"/>
          <w:szCs w:val="24"/>
          <w:lang w:val="en-US" w:eastAsia="zh-CN" w:bidi="ar-SA"/>
        </w:rPr>
      </w:pPr>
      <w:r>
        <w:rPr>
          <w:rStyle w:val="24"/>
          <w:rFonts w:hint="default" w:ascii="Times New Roman" w:hAnsi="Times New Roman" w:eastAsia="宋体" w:cs="Times New Roman"/>
          <w:b/>
          <w:kern w:val="2"/>
          <w:sz w:val="24"/>
          <w:szCs w:val="24"/>
          <w:lang w:val="en-US" w:eastAsia="zh-CN" w:bidi="ar-SA"/>
        </w:rPr>
        <w:t>Table E</w:t>
      </w:r>
      <w:r>
        <w:rPr>
          <w:rStyle w:val="24"/>
          <w:rFonts w:hint="eastAsia" w:ascii="Times New Roman" w:hAnsi="Times New Roman" w:eastAsia="宋体" w:cs="Times New Roman"/>
          <w:b/>
          <w:kern w:val="2"/>
          <w:sz w:val="24"/>
          <w:szCs w:val="24"/>
          <w:lang w:val="en-US" w:eastAsia="zh-CN" w:bidi="ar-SA"/>
        </w:rPr>
        <w:t>2</w:t>
      </w:r>
      <w:r>
        <w:rPr>
          <w:rStyle w:val="24"/>
          <w:rFonts w:hint="default" w:ascii="Times New Roman" w:hAnsi="Times New Roman" w:eastAsia="宋体" w:cs="Times New Roman"/>
          <w:b/>
          <w:kern w:val="2"/>
          <w:sz w:val="24"/>
          <w:szCs w:val="24"/>
          <w:lang w:val="en-US" w:eastAsia="zh-CN" w:bidi="ar-SA"/>
        </w:rPr>
        <w:t xml:space="preserve">. </w:t>
      </w:r>
      <w:r>
        <w:rPr>
          <w:rStyle w:val="24"/>
          <w:rFonts w:hint="default" w:ascii="Times New Roman" w:hAnsi="Times New Roman" w:eastAsia="宋体" w:cs="Times New Roman"/>
          <w:b w:val="0"/>
          <w:bCs/>
          <w:kern w:val="2"/>
          <w:sz w:val="24"/>
          <w:szCs w:val="24"/>
          <w:lang w:val="en-US" w:eastAsia="zh-CN" w:bidi="ar-SA"/>
        </w:rPr>
        <w:t>Correlation Results between Altitude Groups (LA/HA) and Variables in CTD-ILD Patients.</w:t>
      </w:r>
    </w:p>
    <w:tbl>
      <w:tblPr>
        <w:tblStyle w:val="12"/>
        <w:tblW w:w="14127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7"/>
        <w:gridCol w:w="1417"/>
        <w:gridCol w:w="1417"/>
        <w:gridCol w:w="1417"/>
        <w:gridCol w:w="1417"/>
        <w:gridCol w:w="1417"/>
        <w:gridCol w:w="1417"/>
        <w:gridCol w:w="1190"/>
        <w:gridCol w:w="1189"/>
        <w:gridCol w:w="1948"/>
        <w:gridCol w:w="191"/>
      </w:tblGrid>
      <w:tr w14:paraId="543A07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1" w:type="dxa"/>
          <w:trHeight w:val="780" w:hRule="atLeast"/>
        </w:trPr>
        <w:tc>
          <w:tcPr>
            <w:tcW w:w="1107" w:type="dxa"/>
            <w:tcBorders>
              <w:top w:val="single" w:color="auto" w:sz="12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54AE905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Values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1C236BA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Ethic Group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1EF41BA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MCV,  fL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35F0FFB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RBC, *10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superscript"/>
                <w:lang w:val="en-US" w:eastAsia="zh-CN"/>
              </w:rPr>
              <w:t>12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/L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792E718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MCHC, g/L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1C81D0E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HGB, g/L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2543312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HCT, %</w:t>
            </w:r>
          </w:p>
        </w:tc>
        <w:tc>
          <w:tcPr>
            <w:tcW w:w="1190" w:type="dxa"/>
            <w:tcBorders>
              <w:top w:val="single" w:color="auto" w:sz="12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36643F2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P/F ratio, mmHg</w:t>
            </w:r>
          </w:p>
        </w:tc>
        <w:tc>
          <w:tcPr>
            <w:tcW w:w="1189" w:type="dxa"/>
            <w:tcBorders>
              <w:top w:val="single" w:color="auto" w:sz="12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25879B69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ILD-GAP</w:t>
            </w:r>
          </w:p>
        </w:tc>
        <w:tc>
          <w:tcPr>
            <w:tcW w:w="1948" w:type="dxa"/>
            <w:tcBorders>
              <w:top w:val="single" w:color="auto" w:sz="12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726F866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Prolonged Hospital Stay</w:t>
            </w:r>
          </w:p>
        </w:tc>
      </w:tr>
      <w:tr w14:paraId="5A9CD6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1" w:type="dxa"/>
          <w:trHeight w:val="396" w:hRule="atLeast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ECBE9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rho（ρ）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81C01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0.61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DBB4D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-0.54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DB4EB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0.45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2F372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0.35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F706D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0.39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35664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0.33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D4D30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-0.51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D7BC8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0.68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96CC4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0.33</w:t>
            </w:r>
          </w:p>
        </w:tc>
      </w:tr>
      <w:tr w14:paraId="1446D7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1" w:type="dxa"/>
          <w:trHeight w:val="373" w:hRule="atLeast"/>
        </w:trPr>
        <w:tc>
          <w:tcPr>
            <w:tcW w:w="110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1F448F19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p-value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041ECB7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&lt;0.001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22B4765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&lt;0.001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733A1F0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&lt;0.001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3772F5A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0.003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1EEF1B2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&lt;0.001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4C71C4F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0.004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530EFB4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&lt;0.001</w:t>
            </w:r>
          </w:p>
        </w:tc>
        <w:tc>
          <w:tcPr>
            <w:tcW w:w="1189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7C32259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&lt;0.001</w:t>
            </w:r>
          </w:p>
        </w:tc>
        <w:tc>
          <w:tcPr>
            <w:tcW w:w="194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5E013E3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0.004</w:t>
            </w:r>
          </w:p>
        </w:tc>
      </w:tr>
      <w:tr w14:paraId="3E94D3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6" w:hRule="atLeast"/>
        </w:trPr>
        <w:tc>
          <w:tcPr>
            <w:tcW w:w="1412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0A2F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Spearman's rank correlation analysis was used; correlation coefficient rho (ρ) ranges [-1,1]; p&lt;0.05 was considered statistically significant. </w:t>
            </w:r>
          </w:p>
          <w:p w14:paraId="2C97B4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Abbreviations: MCV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=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Mean Corpuscular Volume; RBC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=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Red Blood Cell; MCHC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=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Mean Corpuscular Hemoglobin Concentration; HGB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=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Hemoglobin; HCT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=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Hematocrit; P/F ratio = PO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subscript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/FIO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subscript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ratio (arterial partial pressure of oxygen/fraction of inspired oxygen ratio); FVC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=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Forced Vital Capacity.</w:t>
            </w:r>
          </w:p>
        </w:tc>
      </w:tr>
    </w:tbl>
    <w:p w14:paraId="0B832B9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Style w:val="24"/>
          <w:rFonts w:hint="default" w:ascii="Times New Roman" w:hAnsi="Times New Roman" w:eastAsia="宋体" w:cs="Times New Roman"/>
          <w:b w:val="0"/>
          <w:bCs/>
          <w:kern w:val="2"/>
          <w:sz w:val="24"/>
          <w:szCs w:val="24"/>
          <w:lang w:val="en-US" w:eastAsia="zh-CN" w:bidi="ar-SA"/>
        </w:rPr>
      </w:pPr>
    </w:p>
    <w:p w14:paraId="76DF593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24"/>
          <w:rFonts w:hint="default" w:ascii="Times New Roman" w:hAnsi="Times New Roman" w:eastAsia="宋体" w:cs="Times New Roman"/>
          <w:b/>
          <w:kern w:val="2"/>
          <w:sz w:val="24"/>
          <w:szCs w:val="24"/>
          <w:lang w:val="en-US" w:eastAsia="zh-CN" w:bidi="ar-SA"/>
        </w:rPr>
        <w:t>Table E</w:t>
      </w:r>
      <w:r>
        <w:rPr>
          <w:rStyle w:val="24"/>
          <w:rFonts w:hint="eastAsia" w:ascii="Times New Roman" w:hAnsi="Times New Roman" w:eastAsia="宋体" w:cs="Times New Roman"/>
          <w:b/>
          <w:kern w:val="2"/>
          <w:sz w:val="24"/>
          <w:szCs w:val="24"/>
          <w:lang w:val="en-US" w:eastAsia="zh-CN" w:bidi="ar-SA"/>
        </w:rPr>
        <w:t>3</w:t>
      </w:r>
      <w:r>
        <w:rPr>
          <w:rStyle w:val="24"/>
          <w:rFonts w:hint="default" w:ascii="Times New Roman" w:hAnsi="Times New Roman" w:eastAsia="宋体" w:cs="Times New Roman"/>
          <w:b/>
          <w:kern w:val="2"/>
          <w:sz w:val="24"/>
          <w:szCs w:val="24"/>
          <w:lang w:val="en-US" w:eastAsia="zh-CN" w:bidi="ar-SA"/>
        </w:rPr>
        <w:t xml:space="preserve">. </w:t>
      </w:r>
      <w:r>
        <w:rPr>
          <w:rStyle w:val="24"/>
          <w:rFonts w:hint="default" w:ascii="Times New Roman" w:hAnsi="Times New Roman" w:eastAsia="宋体" w:cs="Times New Roman"/>
          <w:b w:val="0"/>
          <w:bCs/>
          <w:kern w:val="2"/>
          <w:sz w:val="24"/>
          <w:szCs w:val="24"/>
          <w:lang w:val="en-US" w:eastAsia="zh-CN" w:bidi="ar-SA"/>
        </w:rPr>
        <w:t>Univariate and multivariate analysis of influencing factors associated with prolonged hospital stay in IPF patients.</w:t>
      </w:r>
    </w:p>
    <w:tbl>
      <w:tblPr>
        <w:tblStyle w:val="12"/>
        <w:tblW w:w="1213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9"/>
        <w:gridCol w:w="1697"/>
        <w:gridCol w:w="1697"/>
        <w:gridCol w:w="1666"/>
        <w:gridCol w:w="1699"/>
        <w:gridCol w:w="1699"/>
        <w:gridCol w:w="1721"/>
      </w:tblGrid>
      <w:tr w14:paraId="4D5E1A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1959" w:type="dxa"/>
            <w:tcBorders>
              <w:top w:val="single" w:color="auto" w:sz="12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4A9E098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0" w:type="dxa"/>
            <w:gridSpan w:val="3"/>
            <w:tcBorders>
              <w:top w:val="single" w:color="auto" w:sz="12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76AF27A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Univariable</w:t>
            </w:r>
          </w:p>
        </w:tc>
        <w:tc>
          <w:tcPr>
            <w:tcW w:w="5119" w:type="dxa"/>
            <w:gridSpan w:val="3"/>
            <w:tcBorders>
              <w:top w:val="single" w:color="auto" w:sz="12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57B9B31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Multivariable</w:t>
            </w:r>
          </w:p>
        </w:tc>
      </w:tr>
      <w:tr w14:paraId="20229D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959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 w14:paraId="24FB4A0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Characteristic</w:t>
            </w:r>
          </w:p>
        </w:tc>
        <w:tc>
          <w:tcPr>
            <w:tcW w:w="1697" w:type="dxa"/>
            <w:tcBorders>
              <w:top w:val="single" w:color="000000" w:sz="8" w:space="0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 w14:paraId="1FD77DE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OR</w:t>
            </w:r>
          </w:p>
        </w:tc>
        <w:tc>
          <w:tcPr>
            <w:tcW w:w="1697" w:type="dxa"/>
            <w:tcBorders>
              <w:top w:val="single" w:color="000000" w:sz="8" w:space="0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 w14:paraId="47B2B32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95% CI</w:t>
            </w:r>
          </w:p>
        </w:tc>
        <w:tc>
          <w:tcPr>
            <w:tcW w:w="1666" w:type="dxa"/>
            <w:tcBorders>
              <w:top w:val="single" w:color="000000" w:sz="8" w:space="0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 w14:paraId="58398D4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p-value</w:t>
            </w:r>
          </w:p>
        </w:tc>
        <w:tc>
          <w:tcPr>
            <w:tcW w:w="1699" w:type="dxa"/>
            <w:tcBorders>
              <w:top w:val="single" w:color="000000" w:sz="8" w:space="0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 w14:paraId="074A6A4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OR</w:t>
            </w:r>
          </w:p>
        </w:tc>
        <w:tc>
          <w:tcPr>
            <w:tcW w:w="1699" w:type="dxa"/>
            <w:tcBorders>
              <w:top w:val="single" w:color="000000" w:sz="8" w:space="0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 w14:paraId="1D7E1D7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95% CI</w:t>
            </w:r>
          </w:p>
        </w:tc>
        <w:tc>
          <w:tcPr>
            <w:tcW w:w="1721" w:type="dxa"/>
            <w:tcBorders>
              <w:top w:val="single" w:color="000000" w:sz="8" w:space="0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 w14:paraId="62F27D2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p-value</w:t>
            </w:r>
          </w:p>
        </w:tc>
      </w:tr>
      <w:tr w14:paraId="06C3FA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1959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82DE65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Altitude group</w:t>
            </w:r>
          </w:p>
        </w:tc>
        <w:tc>
          <w:tcPr>
            <w:tcW w:w="1697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834C04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11CA4B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0412F3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CF4EF7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6A3A14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822FD4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CB9D7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404952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LA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0C9777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Reference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45FE2A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Reference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48ED6B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399A0D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Reference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DD63E0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Reference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2A0E66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9F567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2D710D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HA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0D5BBE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8.17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5EE89E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1.84, 45.34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77ACF3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0.009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B0DA49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5.84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C878D2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1.05, 39.22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523640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0.049</w:t>
            </w:r>
          </w:p>
        </w:tc>
      </w:tr>
      <w:tr w14:paraId="31FD4E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758F2D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P/F ratio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480582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0.53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03F377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0.24, 1.05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AA6EA9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0.093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99BA3B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—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CBACB3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—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D00478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06BF9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D511F5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ILD-GAP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E8F735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1.38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BDD66A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0.73, 2.71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1EE449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0.329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45D509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—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15999A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—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A2A61B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7A23B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A64C9C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Ethic group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7EB974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190B6A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BAC7E7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0220B7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727D37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0C486F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311C7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803FAE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Han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745493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Reference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1BF3A9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Reference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EE3585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BE48D4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Reference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059DAC9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Reference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823E64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11C0E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7DE9C4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Tibetan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02E2C7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5.75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F9E2769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1.57, 23.76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B92186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0.011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CE6F69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4.9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AB2A29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1.13, 24.58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2233C3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0.039</w:t>
            </w:r>
          </w:p>
        </w:tc>
      </w:tr>
      <w:tr w14:paraId="6BA1FB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2DE40D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Cormobidity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1AB292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064DA1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7BC830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48887C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F6A47D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20D0A4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2C41D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4B2324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NO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41FE48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Reference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71D180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Reference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041E0C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398849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Reference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CDFABC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Reference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F58781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AABD1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1EC590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YES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D76D62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0.16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A6F6F4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0.03, 0.74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8013F2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0.023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0DE9DA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0.21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B1B07F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0.03, 1.32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BC1907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0.101</w:t>
            </w:r>
          </w:p>
        </w:tc>
      </w:tr>
      <w:tr w14:paraId="09C26E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5DFB12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Chest pain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6FBE34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B22FCD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33CE34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7F449E9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C9228F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D72449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7307B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E78230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NO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D0CAF1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Reference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C53FDF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Reference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7C3D78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0EF492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Reference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B9DD8A9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Reference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11A0C3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FDE09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1959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vAlign w:val="top"/>
          </w:tcPr>
          <w:p w14:paraId="194699D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YES</w:t>
            </w:r>
          </w:p>
        </w:tc>
        <w:tc>
          <w:tcPr>
            <w:tcW w:w="169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vAlign w:val="top"/>
          </w:tcPr>
          <w:p w14:paraId="238FC42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1.89</w:t>
            </w:r>
          </w:p>
        </w:tc>
        <w:tc>
          <w:tcPr>
            <w:tcW w:w="169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vAlign w:val="top"/>
          </w:tcPr>
          <w:p w14:paraId="2B2E9ED9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0.40, 8.54</w:t>
            </w:r>
          </w:p>
        </w:tc>
        <w:tc>
          <w:tcPr>
            <w:tcW w:w="166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vAlign w:val="top"/>
          </w:tcPr>
          <w:p w14:paraId="0F74E72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0.403</w:t>
            </w:r>
          </w:p>
        </w:tc>
        <w:tc>
          <w:tcPr>
            <w:tcW w:w="1699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vAlign w:val="top"/>
          </w:tcPr>
          <w:p w14:paraId="44E045A9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—</w:t>
            </w:r>
          </w:p>
        </w:tc>
        <w:tc>
          <w:tcPr>
            <w:tcW w:w="1699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vAlign w:val="top"/>
          </w:tcPr>
          <w:p w14:paraId="761DA3F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—</w:t>
            </w:r>
          </w:p>
        </w:tc>
        <w:tc>
          <w:tcPr>
            <w:tcW w:w="172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5CCBD5D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</w:tbl>
    <w:p w14:paraId="0F5A482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4"/>
          <w:szCs w:val="24"/>
        </w:rPr>
        <w:sectPr>
          <w:pgSz w:w="16838" w:h="11906" w:orient="landscape"/>
          <w:pgMar w:top="1134" w:right="1417" w:bottom="1134" w:left="141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lnNumType w:countBy="1"/>
          <w:cols w:space="0" w:num="1"/>
          <w:rtlGutter w:val="0"/>
          <w:docGrid w:type="lines" w:linePitch="321" w:charSpace="0"/>
        </w:sectPr>
      </w:pPr>
    </w:p>
    <w:p w14:paraId="23AE7AD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Style w:val="24"/>
          <w:rFonts w:hint="default" w:ascii="Times New Roman" w:hAnsi="Times New Roman" w:eastAsia="宋体" w:cs="Times New Roman"/>
          <w:b w:val="0"/>
          <w:bCs/>
          <w:kern w:val="2"/>
          <w:sz w:val="24"/>
          <w:szCs w:val="24"/>
          <w:lang w:val="en-US" w:eastAsia="zh-CN" w:bidi="ar-SA"/>
        </w:rPr>
      </w:pPr>
      <w:bookmarkStart w:id="0" w:name="_Toc4266"/>
      <w:r>
        <w:rPr>
          <w:rStyle w:val="24"/>
          <w:rFonts w:hint="default" w:ascii="Times New Roman" w:hAnsi="Times New Roman" w:eastAsia="宋体" w:cs="Times New Roman"/>
          <w:b/>
          <w:kern w:val="2"/>
          <w:sz w:val="24"/>
          <w:szCs w:val="24"/>
          <w:lang w:val="en-US" w:eastAsia="zh-CN" w:bidi="ar-SA"/>
        </w:rPr>
        <w:t>Table E</w:t>
      </w:r>
      <w:r>
        <w:rPr>
          <w:rStyle w:val="24"/>
          <w:rFonts w:hint="eastAsia" w:ascii="Times New Roman" w:hAnsi="Times New Roman" w:eastAsia="宋体" w:cs="Times New Roman"/>
          <w:b/>
          <w:kern w:val="2"/>
          <w:sz w:val="24"/>
          <w:szCs w:val="24"/>
          <w:lang w:val="en-US" w:eastAsia="zh-CN" w:bidi="ar-SA"/>
        </w:rPr>
        <w:t>4</w:t>
      </w:r>
      <w:r>
        <w:rPr>
          <w:rStyle w:val="24"/>
          <w:rFonts w:hint="default" w:ascii="Times New Roman" w:hAnsi="Times New Roman" w:eastAsia="宋体" w:cs="Times New Roman"/>
          <w:b/>
          <w:kern w:val="2"/>
          <w:sz w:val="24"/>
          <w:szCs w:val="24"/>
          <w:lang w:val="en-US" w:eastAsia="zh-CN" w:bidi="ar-SA"/>
        </w:rPr>
        <w:t xml:space="preserve">. </w:t>
      </w:r>
      <w:r>
        <w:rPr>
          <w:rStyle w:val="24"/>
          <w:rFonts w:hint="default" w:ascii="Times New Roman" w:hAnsi="Times New Roman" w:eastAsia="宋体" w:cs="Times New Roman"/>
          <w:b w:val="0"/>
          <w:bCs/>
          <w:kern w:val="2"/>
          <w:sz w:val="24"/>
          <w:szCs w:val="24"/>
          <w:lang w:val="en-US" w:eastAsia="zh-CN" w:bidi="ar-SA"/>
        </w:rPr>
        <w:t>Univariate and multivariate analysis of influencing factors associated with prolonged hospital stay in CTD-ILD.</w:t>
      </w:r>
      <w:bookmarkEnd w:id="0"/>
    </w:p>
    <w:tbl>
      <w:tblPr>
        <w:tblStyle w:val="12"/>
        <w:tblW w:w="12079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3"/>
        <w:gridCol w:w="1627"/>
        <w:gridCol w:w="1627"/>
        <w:gridCol w:w="1582"/>
        <w:gridCol w:w="45"/>
        <w:gridCol w:w="1627"/>
        <w:gridCol w:w="1627"/>
        <w:gridCol w:w="1627"/>
        <w:gridCol w:w="64"/>
      </w:tblGrid>
      <w:tr w14:paraId="2DFFC7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2253" w:type="dxa"/>
            <w:tcBorders>
              <w:top w:val="single" w:color="auto" w:sz="12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3F7062F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6" w:type="dxa"/>
            <w:gridSpan w:val="3"/>
            <w:tcBorders>
              <w:top w:val="single" w:color="auto" w:sz="12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573E00C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Univariable</w:t>
            </w:r>
          </w:p>
        </w:tc>
        <w:tc>
          <w:tcPr>
            <w:tcW w:w="4990" w:type="dxa"/>
            <w:gridSpan w:val="5"/>
            <w:tcBorders>
              <w:top w:val="single" w:color="auto" w:sz="12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248C92A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Multivariable</w:t>
            </w:r>
          </w:p>
        </w:tc>
      </w:tr>
      <w:tr w14:paraId="1CFB14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4" w:type="dxa"/>
          <w:trHeight w:val="423" w:hRule="atLeast"/>
        </w:trPr>
        <w:tc>
          <w:tcPr>
            <w:tcW w:w="225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 w14:paraId="01BD605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Characteristic</w:t>
            </w:r>
          </w:p>
        </w:tc>
        <w:tc>
          <w:tcPr>
            <w:tcW w:w="1627" w:type="dxa"/>
            <w:tcBorders>
              <w:top w:val="single" w:color="000000" w:sz="8" w:space="0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 w14:paraId="6E42E62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OR</w:t>
            </w:r>
          </w:p>
        </w:tc>
        <w:tc>
          <w:tcPr>
            <w:tcW w:w="1627" w:type="dxa"/>
            <w:tcBorders>
              <w:top w:val="single" w:color="000000" w:sz="8" w:space="0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 w14:paraId="4DFEAF3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95% CI</w:t>
            </w:r>
          </w:p>
        </w:tc>
        <w:tc>
          <w:tcPr>
            <w:tcW w:w="1627" w:type="dxa"/>
            <w:gridSpan w:val="2"/>
            <w:tcBorders>
              <w:top w:val="single" w:color="000000" w:sz="8" w:space="0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 w14:paraId="0933A28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p-value</w:t>
            </w:r>
          </w:p>
        </w:tc>
        <w:tc>
          <w:tcPr>
            <w:tcW w:w="1627" w:type="dxa"/>
            <w:tcBorders>
              <w:top w:val="single" w:color="000000" w:sz="8" w:space="0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 w14:paraId="4A7A555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OR</w:t>
            </w:r>
          </w:p>
        </w:tc>
        <w:tc>
          <w:tcPr>
            <w:tcW w:w="1627" w:type="dxa"/>
            <w:tcBorders>
              <w:top w:val="single" w:color="000000" w:sz="8" w:space="0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 w14:paraId="0D7511B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95% CI</w:t>
            </w:r>
          </w:p>
        </w:tc>
        <w:tc>
          <w:tcPr>
            <w:tcW w:w="1627" w:type="dxa"/>
            <w:tcBorders>
              <w:top w:val="single" w:color="000000" w:sz="8" w:space="0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 w14:paraId="15B079F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p-value</w:t>
            </w:r>
          </w:p>
        </w:tc>
      </w:tr>
      <w:tr w14:paraId="73AE00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4" w:type="dxa"/>
          <w:trHeight w:val="433" w:hRule="atLeast"/>
        </w:trPr>
        <w:tc>
          <w:tcPr>
            <w:tcW w:w="2253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6532CD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Altitude group</w:t>
            </w:r>
          </w:p>
        </w:tc>
        <w:tc>
          <w:tcPr>
            <w:tcW w:w="1627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C7A879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D796F4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  <w:gridSpan w:val="2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08743D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73D914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6DAB34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9E9C24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DFA55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4" w:type="dxa"/>
          <w:trHeight w:val="403" w:hRule="atLeast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FEE9A5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LA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B9AD21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Reference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24AAD6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Reference</w:t>
            </w:r>
          </w:p>
        </w:tc>
        <w:tc>
          <w:tcPr>
            <w:tcW w:w="16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611966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1A0763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Reference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2C4409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Reference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45DC29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26332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4" w:type="dxa"/>
          <w:trHeight w:val="403" w:hRule="atLeast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ADF4A7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HA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B5515C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1.31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932D8B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0.50, 3.54</w:t>
            </w:r>
          </w:p>
        </w:tc>
        <w:tc>
          <w:tcPr>
            <w:tcW w:w="16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4BDE1F9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0.59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4FEEF7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6.57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F373D5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1.46, 36.65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87FA5A9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0.021</w:t>
            </w:r>
          </w:p>
        </w:tc>
      </w:tr>
      <w:tr w14:paraId="742FAF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4" w:type="dxa"/>
          <w:trHeight w:val="403" w:hRule="atLeast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3DD58D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P/F ratio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4A63D99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0.77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60E9319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0.46, 1.23</w:t>
            </w:r>
          </w:p>
        </w:tc>
        <w:tc>
          <w:tcPr>
            <w:tcW w:w="16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A48F60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0.278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C33EF4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0.38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039F73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0.16, 0.79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A08C2E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0.015</w:t>
            </w:r>
          </w:p>
        </w:tc>
      </w:tr>
      <w:tr w14:paraId="2BB428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4" w:type="dxa"/>
          <w:trHeight w:val="403" w:hRule="atLeast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EC8D90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ILD-GAP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06B5FC9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1.19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D033AB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0.74, 1.95</w:t>
            </w:r>
          </w:p>
        </w:tc>
        <w:tc>
          <w:tcPr>
            <w:tcW w:w="16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9EBB91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0.475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9A9E6D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—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F01653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—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E504CE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59C63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4" w:type="dxa"/>
          <w:trHeight w:val="403" w:hRule="atLeast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45E135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Ethic group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945958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3A26BE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738991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8AE6D8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391936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1B8A79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7F41B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4" w:type="dxa"/>
          <w:trHeight w:val="403" w:hRule="atLeast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A61871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Han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34340F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Reference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5B913E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Reference</w:t>
            </w:r>
          </w:p>
        </w:tc>
        <w:tc>
          <w:tcPr>
            <w:tcW w:w="16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BFD04B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99C832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Reference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713D95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Reference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AE8ADC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9A8BB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4" w:type="dxa"/>
          <w:trHeight w:val="403" w:hRule="atLeast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A1A966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Tibetan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08589E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0.8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0950B0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0.28, 2.30</w:t>
            </w:r>
          </w:p>
        </w:tc>
        <w:tc>
          <w:tcPr>
            <w:tcW w:w="16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E7DF2F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0.677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90DFA2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—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198CEE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—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3DD1A7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57C05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4" w:type="dxa"/>
          <w:trHeight w:val="403" w:hRule="atLeast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779641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Cormobidity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65C83A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243FF7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BD794A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455362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B3543F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C2E01B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4B5BA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4" w:type="dxa"/>
          <w:trHeight w:val="403" w:hRule="atLeast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65A9CF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NO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BA97A5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Reference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060C10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Reference</w:t>
            </w:r>
          </w:p>
        </w:tc>
        <w:tc>
          <w:tcPr>
            <w:tcW w:w="16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9F5BA1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B1F28B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Reference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72381B9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Reference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250DE1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3D573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4" w:type="dxa"/>
          <w:trHeight w:val="652" w:hRule="atLeast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6B6D77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YES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1222A0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4.7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D07FA3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0.75, 91.45</w:t>
            </w:r>
          </w:p>
        </w:tc>
        <w:tc>
          <w:tcPr>
            <w:tcW w:w="16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47A70C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0.162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ED6E22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7.66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04322E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1.06, 163.83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EABDA3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0.085</w:t>
            </w:r>
          </w:p>
        </w:tc>
      </w:tr>
      <w:tr w14:paraId="75223D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4" w:type="dxa"/>
          <w:trHeight w:val="403" w:hRule="atLeast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6B486E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Dyspnea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810437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F04D21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D550F4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C5035B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018A65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2931D7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14995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4" w:type="dxa"/>
          <w:trHeight w:val="403" w:hRule="atLeast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4A466E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NO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5B7CD8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Reference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869C56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Reference</w:t>
            </w:r>
          </w:p>
        </w:tc>
        <w:tc>
          <w:tcPr>
            <w:tcW w:w="16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4796199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C78E36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Reference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1CB108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Reference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D632BE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8FB50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4" w:type="dxa"/>
          <w:trHeight w:val="433" w:hRule="atLeast"/>
        </w:trPr>
        <w:tc>
          <w:tcPr>
            <w:tcW w:w="225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vAlign w:val="top"/>
          </w:tcPr>
          <w:p w14:paraId="4DF2169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YES</w:t>
            </w:r>
          </w:p>
        </w:tc>
        <w:tc>
          <w:tcPr>
            <w:tcW w:w="162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vAlign w:val="top"/>
          </w:tcPr>
          <w:p w14:paraId="42AA514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2.19</w:t>
            </w:r>
          </w:p>
        </w:tc>
        <w:tc>
          <w:tcPr>
            <w:tcW w:w="162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vAlign w:val="top"/>
          </w:tcPr>
          <w:p w14:paraId="20A10A6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0.77, 6.36</w:t>
            </w:r>
          </w:p>
        </w:tc>
        <w:tc>
          <w:tcPr>
            <w:tcW w:w="1627" w:type="dxa"/>
            <w:gridSpan w:val="2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vAlign w:val="top"/>
          </w:tcPr>
          <w:p w14:paraId="06CBD48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0.142</w:t>
            </w:r>
          </w:p>
        </w:tc>
        <w:tc>
          <w:tcPr>
            <w:tcW w:w="162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vAlign w:val="top"/>
          </w:tcPr>
          <w:p w14:paraId="64EE0CA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3.85</w:t>
            </w:r>
          </w:p>
        </w:tc>
        <w:tc>
          <w:tcPr>
            <w:tcW w:w="162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vAlign w:val="top"/>
          </w:tcPr>
          <w:p w14:paraId="763A250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1.18, 14.00</w:t>
            </w:r>
          </w:p>
        </w:tc>
        <w:tc>
          <w:tcPr>
            <w:tcW w:w="162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vAlign w:val="top"/>
          </w:tcPr>
          <w:p w14:paraId="571F675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0.03</w:t>
            </w:r>
          </w:p>
        </w:tc>
      </w:tr>
    </w:tbl>
    <w:p w14:paraId="3234FFBF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Style w:val="24"/>
          <w:rFonts w:hint="default" w:ascii="Times New Roman" w:hAnsi="Times New Roman" w:eastAsia="宋体" w:cs="Times New Roman"/>
          <w:b w:val="0"/>
          <w:bCs/>
          <w:kern w:val="2"/>
          <w:sz w:val="24"/>
          <w:szCs w:val="24"/>
          <w:lang w:val="en-US" w:eastAsia="zh-CN" w:bidi="ar-SA"/>
        </w:rPr>
      </w:pPr>
    </w:p>
    <w:sectPr>
      <w:pgSz w:w="16838" w:h="11906" w:orient="landscape"/>
      <w:pgMar w:top="1134" w:right="1417" w:bottom="1134" w:left="141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lnNumType w:countBy="1"/>
      <w:cols w:space="0" w:num="1"/>
      <w:rtlGutter w:val="0"/>
      <w:docGrid w:type="lines" w:linePitch="32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22DDD7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2BE5C2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72BE5C2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6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Y5YWEyM2RjYzJjNWI3YzhjMTExNDFhN2FlOGM3ZjEifQ=="/>
  </w:docVars>
  <w:rsids>
    <w:rsidRoot w:val="17501B68"/>
    <w:rsid w:val="007E21BA"/>
    <w:rsid w:val="00C528D4"/>
    <w:rsid w:val="02F760CE"/>
    <w:rsid w:val="030238E4"/>
    <w:rsid w:val="03323B24"/>
    <w:rsid w:val="03724869"/>
    <w:rsid w:val="04616234"/>
    <w:rsid w:val="055E7805"/>
    <w:rsid w:val="05883ED0"/>
    <w:rsid w:val="08F01251"/>
    <w:rsid w:val="09E71B0D"/>
    <w:rsid w:val="0A785AB4"/>
    <w:rsid w:val="0BB2718C"/>
    <w:rsid w:val="0C4E7B4A"/>
    <w:rsid w:val="0CE52F6E"/>
    <w:rsid w:val="0D0E115E"/>
    <w:rsid w:val="0DF26CD2"/>
    <w:rsid w:val="0E2C53BA"/>
    <w:rsid w:val="0E380909"/>
    <w:rsid w:val="0FA4224E"/>
    <w:rsid w:val="0FC14BAE"/>
    <w:rsid w:val="101730E4"/>
    <w:rsid w:val="10B753FB"/>
    <w:rsid w:val="10FB1B92"/>
    <w:rsid w:val="112C42A9"/>
    <w:rsid w:val="113C4C28"/>
    <w:rsid w:val="117D4B05"/>
    <w:rsid w:val="13217F63"/>
    <w:rsid w:val="14063E1A"/>
    <w:rsid w:val="14DC10D9"/>
    <w:rsid w:val="14EF1875"/>
    <w:rsid w:val="15D62A35"/>
    <w:rsid w:val="17136773"/>
    <w:rsid w:val="17501B68"/>
    <w:rsid w:val="17535117"/>
    <w:rsid w:val="187C5B16"/>
    <w:rsid w:val="1C3F1559"/>
    <w:rsid w:val="1C9D301D"/>
    <w:rsid w:val="1CCC06EE"/>
    <w:rsid w:val="1E93458C"/>
    <w:rsid w:val="1E9E60BA"/>
    <w:rsid w:val="1ECF6C42"/>
    <w:rsid w:val="1FF02946"/>
    <w:rsid w:val="219D510D"/>
    <w:rsid w:val="21D20555"/>
    <w:rsid w:val="22A243CB"/>
    <w:rsid w:val="22B56F98"/>
    <w:rsid w:val="23865A9B"/>
    <w:rsid w:val="24107A5A"/>
    <w:rsid w:val="254C4AC2"/>
    <w:rsid w:val="256244D3"/>
    <w:rsid w:val="265300FE"/>
    <w:rsid w:val="265F1106"/>
    <w:rsid w:val="26AE3392"/>
    <w:rsid w:val="27EC7DA2"/>
    <w:rsid w:val="287D0CF2"/>
    <w:rsid w:val="28B40790"/>
    <w:rsid w:val="29AE042A"/>
    <w:rsid w:val="29D617CB"/>
    <w:rsid w:val="2A9F7442"/>
    <w:rsid w:val="2AA35184"/>
    <w:rsid w:val="2B663B9E"/>
    <w:rsid w:val="2BD93E16"/>
    <w:rsid w:val="2C8C7B28"/>
    <w:rsid w:val="2E4C7BBA"/>
    <w:rsid w:val="2F527179"/>
    <w:rsid w:val="2F9C1B3A"/>
    <w:rsid w:val="2FA63290"/>
    <w:rsid w:val="2FFD5337"/>
    <w:rsid w:val="304038DE"/>
    <w:rsid w:val="311B77D4"/>
    <w:rsid w:val="31861927"/>
    <w:rsid w:val="31E75537"/>
    <w:rsid w:val="3212713D"/>
    <w:rsid w:val="32163E9C"/>
    <w:rsid w:val="32546D64"/>
    <w:rsid w:val="325D030E"/>
    <w:rsid w:val="34724719"/>
    <w:rsid w:val="35646BA9"/>
    <w:rsid w:val="37304B09"/>
    <w:rsid w:val="37DA4857"/>
    <w:rsid w:val="38662A40"/>
    <w:rsid w:val="386C12AB"/>
    <w:rsid w:val="38A2238C"/>
    <w:rsid w:val="39B60304"/>
    <w:rsid w:val="39F608AF"/>
    <w:rsid w:val="3B271B38"/>
    <w:rsid w:val="3B611560"/>
    <w:rsid w:val="3C125CC6"/>
    <w:rsid w:val="3D5E4F3B"/>
    <w:rsid w:val="3EBD6E70"/>
    <w:rsid w:val="3FD117C2"/>
    <w:rsid w:val="404A6F49"/>
    <w:rsid w:val="40D21EC7"/>
    <w:rsid w:val="40E4327F"/>
    <w:rsid w:val="412070D7"/>
    <w:rsid w:val="41532D95"/>
    <w:rsid w:val="426923B8"/>
    <w:rsid w:val="427C658F"/>
    <w:rsid w:val="428259CC"/>
    <w:rsid w:val="42854564"/>
    <w:rsid w:val="43980BD5"/>
    <w:rsid w:val="43AC4C52"/>
    <w:rsid w:val="43B170F9"/>
    <w:rsid w:val="441B1DD7"/>
    <w:rsid w:val="445F1CC4"/>
    <w:rsid w:val="45E47C9D"/>
    <w:rsid w:val="47300296"/>
    <w:rsid w:val="477F4F86"/>
    <w:rsid w:val="48E64762"/>
    <w:rsid w:val="49B174E6"/>
    <w:rsid w:val="49ED06BA"/>
    <w:rsid w:val="49F17862"/>
    <w:rsid w:val="4A5B6AE5"/>
    <w:rsid w:val="4AFC2E3C"/>
    <w:rsid w:val="4B0610EB"/>
    <w:rsid w:val="4C126CDE"/>
    <w:rsid w:val="4C592749"/>
    <w:rsid w:val="4CC1029C"/>
    <w:rsid w:val="4EF97262"/>
    <w:rsid w:val="4F672375"/>
    <w:rsid w:val="508C18F4"/>
    <w:rsid w:val="50FF3888"/>
    <w:rsid w:val="52097713"/>
    <w:rsid w:val="53095C1D"/>
    <w:rsid w:val="53164136"/>
    <w:rsid w:val="53A25729"/>
    <w:rsid w:val="54534C76"/>
    <w:rsid w:val="54697623"/>
    <w:rsid w:val="5588094F"/>
    <w:rsid w:val="55A90FF1"/>
    <w:rsid w:val="55B43305"/>
    <w:rsid w:val="55C20305"/>
    <w:rsid w:val="56B96CB5"/>
    <w:rsid w:val="56CD0D0F"/>
    <w:rsid w:val="573963A5"/>
    <w:rsid w:val="57BD6FD6"/>
    <w:rsid w:val="58773629"/>
    <w:rsid w:val="58B50EDB"/>
    <w:rsid w:val="5A1613D7"/>
    <w:rsid w:val="5AF716B9"/>
    <w:rsid w:val="5B9D612A"/>
    <w:rsid w:val="5CD72CFD"/>
    <w:rsid w:val="5DF43025"/>
    <w:rsid w:val="5E656659"/>
    <w:rsid w:val="5E9F3550"/>
    <w:rsid w:val="5ED23A11"/>
    <w:rsid w:val="5FED586D"/>
    <w:rsid w:val="608C5797"/>
    <w:rsid w:val="6119414A"/>
    <w:rsid w:val="61C15914"/>
    <w:rsid w:val="621B128B"/>
    <w:rsid w:val="6287090C"/>
    <w:rsid w:val="6303092A"/>
    <w:rsid w:val="64566BA9"/>
    <w:rsid w:val="6556522F"/>
    <w:rsid w:val="65B03CD6"/>
    <w:rsid w:val="668B029F"/>
    <w:rsid w:val="66D0441F"/>
    <w:rsid w:val="67D85766"/>
    <w:rsid w:val="6A751B1E"/>
    <w:rsid w:val="6BE07766"/>
    <w:rsid w:val="6C1F5711"/>
    <w:rsid w:val="6D2B458A"/>
    <w:rsid w:val="6DC7083B"/>
    <w:rsid w:val="6E13026B"/>
    <w:rsid w:val="6E905781"/>
    <w:rsid w:val="6E9879FD"/>
    <w:rsid w:val="6EB07EDD"/>
    <w:rsid w:val="701E3F32"/>
    <w:rsid w:val="705C23FA"/>
    <w:rsid w:val="71A102A5"/>
    <w:rsid w:val="71B0505E"/>
    <w:rsid w:val="71EC266E"/>
    <w:rsid w:val="71FC00A9"/>
    <w:rsid w:val="728A58AF"/>
    <w:rsid w:val="732127B7"/>
    <w:rsid w:val="73DE5EB2"/>
    <w:rsid w:val="73F04D4C"/>
    <w:rsid w:val="73F275CC"/>
    <w:rsid w:val="750E6C6B"/>
    <w:rsid w:val="75E970D6"/>
    <w:rsid w:val="76171F8B"/>
    <w:rsid w:val="7693567A"/>
    <w:rsid w:val="7734348A"/>
    <w:rsid w:val="78570929"/>
    <w:rsid w:val="78E421BD"/>
    <w:rsid w:val="79F96618"/>
    <w:rsid w:val="7B260FED"/>
    <w:rsid w:val="7D5F1BED"/>
    <w:rsid w:val="7E0B0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2"/>
    <w:basedOn w:val="1"/>
    <w:next w:val="1"/>
    <w:autoRedefine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link w:val="24"/>
    <w:autoRedefine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autoRedefine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4">
    <w:name w:val="Default Paragraph Font"/>
    <w:autoRedefine/>
    <w:semiHidden/>
    <w:qFormat/>
    <w:uiPriority w:val="0"/>
  </w:style>
  <w:style w:type="table" w:default="1" w:styleId="1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toc 3"/>
    <w:basedOn w:val="1"/>
    <w:next w:val="1"/>
    <w:autoRedefine/>
    <w:qFormat/>
    <w:uiPriority w:val="0"/>
    <w:pPr>
      <w:ind w:left="840" w:leftChars="400"/>
    </w:pPr>
  </w:style>
  <w:style w:type="paragraph" w:styleId="7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toc 2"/>
    <w:basedOn w:val="1"/>
    <w:next w:val="1"/>
    <w:autoRedefine/>
    <w:qFormat/>
    <w:uiPriority w:val="0"/>
    <w:pPr>
      <w:ind w:left="420" w:leftChars="200"/>
    </w:pPr>
  </w:style>
  <w:style w:type="paragraph" w:styleId="10">
    <w:name w:val="HTML Preformatted"/>
    <w:basedOn w:val="1"/>
    <w:autoRedefine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1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3">
    <w:name w:val="Table Grid"/>
    <w:basedOn w:val="12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5">
    <w:name w:val="font31"/>
    <w:basedOn w:val="14"/>
    <w:autoRedefine/>
    <w:qFormat/>
    <w:uiPriority w:val="0"/>
    <w:rPr>
      <w:rFonts w:hint="default" w:ascii="Times New Roman" w:hAnsi="Times New Roman" w:cs="Times New Roman"/>
      <w:b/>
      <w:bCs/>
      <w:color w:val="000000"/>
      <w:sz w:val="22"/>
      <w:szCs w:val="22"/>
      <w:u w:val="none"/>
      <w:vertAlign w:val="superscript"/>
    </w:rPr>
  </w:style>
  <w:style w:type="character" w:customStyle="1" w:styleId="16">
    <w:name w:val="font21"/>
    <w:basedOn w:val="14"/>
    <w:autoRedefine/>
    <w:qFormat/>
    <w:uiPriority w:val="0"/>
    <w:rPr>
      <w:rFonts w:hint="default" w:ascii="Times New Roman" w:hAnsi="Times New Roman" w:cs="Times New Roman"/>
      <w:b/>
      <w:bCs/>
      <w:color w:val="000000"/>
      <w:sz w:val="22"/>
      <w:szCs w:val="22"/>
      <w:u w:val="none"/>
    </w:rPr>
  </w:style>
  <w:style w:type="character" w:customStyle="1" w:styleId="17">
    <w:name w:val="font11"/>
    <w:basedOn w:val="14"/>
    <w:autoRedefine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8">
    <w:name w:val="font41"/>
    <w:basedOn w:val="14"/>
    <w:autoRedefine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  <w:vertAlign w:val="superscript"/>
    </w:rPr>
  </w:style>
  <w:style w:type="character" w:customStyle="1" w:styleId="19">
    <w:name w:val="font51"/>
    <w:basedOn w:val="14"/>
    <w:autoRedefine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  <w:vertAlign w:val="superscript"/>
    </w:rPr>
  </w:style>
  <w:style w:type="paragraph" w:customStyle="1" w:styleId="20">
    <w:name w:val="WPSOffice手动目录 2"/>
    <w:autoRedefine/>
    <w:qFormat/>
    <w:uiPriority w:val="0"/>
    <w:pPr>
      <w:ind w:leftChars="20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21">
    <w:name w:val="WPSOffice手动目录 1"/>
    <w:autoRedefine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22">
    <w:name w:val="WPSOffice手动目录 3"/>
    <w:autoRedefine/>
    <w:qFormat/>
    <w:uiPriority w:val="0"/>
    <w:pPr>
      <w:ind w:leftChars="400"/>
    </w:pPr>
    <w:rPr>
      <w:rFonts w:ascii="Times New Roman" w:hAnsi="Times New Roman" w:eastAsia="宋体" w:cs="Times New Roman"/>
      <w:sz w:val="20"/>
      <w:szCs w:val="20"/>
    </w:rPr>
  </w:style>
  <w:style w:type="character" w:customStyle="1" w:styleId="23">
    <w:name w:val="fontstyle01"/>
    <w:basedOn w:val="14"/>
    <w:autoRedefine/>
    <w:qFormat/>
    <w:uiPriority w:val="0"/>
    <w:rPr>
      <w:rFonts w:hint="default" w:ascii="Times New Roman" w:hAnsi="Times New Roman" w:cs="Times New Roman"/>
      <w:b/>
      <w:bCs/>
      <w:color w:val="000000"/>
      <w:sz w:val="24"/>
      <w:szCs w:val="24"/>
    </w:rPr>
  </w:style>
  <w:style w:type="character" w:customStyle="1" w:styleId="24">
    <w:name w:val="标题 3 Char"/>
    <w:link w:val="4"/>
    <w:autoRedefine/>
    <w:qFormat/>
    <w:uiPriority w:val="0"/>
    <w:rPr>
      <w:b/>
      <w:sz w:val="32"/>
    </w:rPr>
  </w:style>
  <w:style w:type="character" w:customStyle="1" w:styleId="25">
    <w:name w:val="font61"/>
    <w:basedOn w:val="14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444</Words>
  <Characters>2610</Characters>
  <Lines>0</Lines>
  <Paragraphs>0</Paragraphs>
  <TotalTime>0</TotalTime>
  <ScaleCrop>false</ScaleCrop>
  <LinksUpToDate>false</LinksUpToDate>
  <CharactersWithSpaces>2848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2024-01-22T08:12:00Z</dcterms:created>
  <dc:creator>zhouliang</dc:creator>
  <cp:lastModifiedBy>zhouliang</cp:lastModifiedBy>
  <dcterms:modified xsi:type="dcterms:W3CDTF">2024-07-31T12:44:58Z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CC3C6797140B4958B4F0DB23928D0FF0_11</vt:lpwstr>
  </property>
</Properties>
</file>