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33D81F72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053B1855" w14:textId="2FF30A5C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 w:eastAsia="en-US"/>
        </w:rPr>
        <w:drawing>
          <wp:inline distT="0" distB="0" distL="0" distR="0" wp14:anchorId="32B5D529" wp14:editId="6DFA21E4">
            <wp:extent cx="5734050" cy="4057650"/>
            <wp:effectExtent l="0" t="0" r="0" b="0"/>
            <wp:docPr id="1327685648" name="Picture 11" descr="Diagram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图片 7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12608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5DBCE0BD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Figure 1 Determination of soft-threshold power of the TCGA cohort and </w:t>
      </w:r>
      <w:bookmarkStart w:id="0" w:name="_Hlk98509652"/>
      <w:r>
        <w:rPr>
          <w:rFonts w:ascii="Times New Roman" w:hAnsi="Times New Roman"/>
          <w:b/>
          <w:bCs/>
          <w:sz w:val="24"/>
          <w:szCs w:val="24"/>
        </w:rPr>
        <w:t>GSE29174</w:t>
      </w:r>
      <w:bookmarkEnd w:id="0"/>
      <w:r>
        <w:rPr>
          <w:rFonts w:ascii="Times New Roman" w:hAnsi="Times New Roman"/>
          <w:b/>
          <w:bCs/>
          <w:sz w:val="24"/>
          <w:szCs w:val="24"/>
        </w:rPr>
        <w:t xml:space="preserve"> cohort</w:t>
      </w:r>
    </w:p>
    <w:p w14:paraId="320698B7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(Korbecki,  #18)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The scale-free fit index and mean connectivity of WGCNA of TCGA BRCA cohort.</w:t>
      </w:r>
    </w:p>
    <w:p w14:paraId="421D6718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(C-D) The scale-free fit index and mean connectivity of WGCNA of the GSE29174 cohort.</w:t>
      </w:r>
    </w:p>
    <w:p w14:paraId="7D08C98C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55290B26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229DA46C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14B98121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2B9B83D0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081C9E94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4CFC4957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05966394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7576D77D" w14:textId="123B609D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KaiTi" w:hAnsi="Times New Roman"/>
          <w:noProof/>
          <w:color w:val="FF0000"/>
          <w:kern w:val="0"/>
          <w:sz w:val="24"/>
          <w:szCs w:val="24"/>
          <w:lang w:val="en-US" w:eastAsia="en-US"/>
        </w:rPr>
        <w:drawing>
          <wp:inline distT="0" distB="0" distL="0" distR="0" wp14:anchorId="04BF4B35" wp14:editId="1CBCCE19">
            <wp:extent cx="5724525" cy="4038600"/>
            <wp:effectExtent l="0" t="0" r="9525" b="0"/>
            <wp:docPr id="1233590742" name="Picture 10" descr="A picture containing diagram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图片 8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5D57C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B4BF8A7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Supplementary Figure 2 </w:t>
      </w:r>
      <w:r>
        <w:rPr>
          <w:rFonts w:ascii="Times New Roman" w:eastAsia="DengXian" w:hAnsi="Times New Roman"/>
          <w:b/>
          <w:bCs/>
          <w:sz w:val="24"/>
          <w:szCs w:val="24"/>
        </w:rPr>
        <w:t>In</w:t>
      </w:r>
      <w:r>
        <w:rPr>
          <w:rFonts w:ascii="Times New Roman" w:hAnsi="Times New Roman"/>
          <w:b/>
          <w:bCs/>
          <w:sz w:val="24"/>
          <w:szCs w:val="24"/>
        </w:rPr>
        <w:t>fer copy number variation of all epithelial cells</w:t>
      </w:r>
    </w:p>
    <w:p w14:paraId="7C8EC2DB" w14:textId="77777777" w:rsidR="00F27EAD" w:rsidRDefault="00F27EAD" w:rsidP="00F27EAD">
      <w:pPr>
        <w:pStyle w:val="1"/>
        <w:spacing w:line="24pt" w:lineRule="auto"/>
        <w:rPr>
          <w:rFonts w:ascii="Times New Roman" w:eastAsia="DengXi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(A) The UMAP plot shows the raw cell clusters of 26 breast cancer patients.</w:t>
      </w:r>
    </w:p>
    <w:p w14:paraId="0BD64180" w14:textId="77777777" w:rsidR="00F27EAD" w:rsidRDefault="00F27EAD" w:rsidP="00F27EAD">
      <w:pPr>
        <w:pStyle w:val="1"/>
        <w:spacing w:line="24pt" w:lineRule="auto"/>
        <w:rPr>
          <w:rFonts w:ascii="Times New Roman" w:eastAsia="DengXi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(B) InferCNV heatmaps of all epithelial cells grouped by cell clusters.</w:t>
      </w:r>
    </w:p>
    <w:p w14:paraId="359B7B61" w14:textId="77777777" w:rsidR="00F27EAD" w:rsidRDefault="00F27EAD" w:rsidP="00F27EAD">
      <w:pPr>
        <w:pStyle w:val="1"/>
        <w:spacing w:line="24pt" w:lineRule="auto"/>
        <w:rPr>
          <w:rFonts w:ascii="Times New Roman" w:eastAsia="DengXi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(C) CNV of all epithelial cells shown by UMAP plot.</w:t>
      </w:r>
    </w:p>
    <w:p w14:paraId="28D914B4" w14:textId="3B907DB0" w:rsidR="00F27EAD" w:rsidRDefault="00F27EAD" w:rsidP="00F27EAD">
      <w:pPr>
        <w:pStyle w:val="1"/>
        <w:spacing w:line="24pt" w:lineRule="auto"/>
        <w:jc w:val="center"/>
        <w:rPr>
          <w:rFonts w:ascii="Times New Roman" w:eastAsia="DengXian" w:hAnsi="Times New Roman"/>
          <w:sz w:val="24"/>
          <w:szCs w:val="24"/>
        </w:rPr>
      </w:pPr>
      <w:r>
        <w:rPr>
          <w:noProof/>
          <w:sz w:val="24"/>
          <w:lang w:val="en-US" w:eastAsia="en-US"/>
        </w:rPr>
        <w:lastRenderedPageBreak/>
        <w:drawing>
          <wp:inline distT="0" distB="0" distL="0" distR="0" wp14:anchorId="39B4E468" wp14:editId="23738574">
            <wp:extent cx="5267325" cy="7515225"/>
            <wp:effectExtent l="0" t="0" r="9525" b="9525"/>
            <wp:docPr id="1552716732" name="Picture 9" descr="supplementary-10_画板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图片 9" descr="supplementary-10_画板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.943%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BF66A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3 </w:t>
      </w:r>
      <w:r>
        <w:rPr>
          <w:rFonts w:ascii="Times New Roman" w:hAnsi="Times New Roman"/>
          <w:b/>
          <w:bCs/>
          <w:sz w:val="24"/>
          <w:szCs w:val="24"/>
        </w:rPr>
        <w:t xml:space="preserve">Detailed results of correlation between key genes and immune cells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Scatter plots showed the strongest positive or negatively correlated genes among the key genes </w:t>
      </w:r>
      <w:r>
        <w:rPr>
          <w:rFonts w:ascii="Times New Roman" w:hAnsi="Times New Roman"/>
          <w:sz w:val="24"/>
          <w:szCs w:val="24"/>
        </w:rPr>
        <w:lastRenderedPageBreak/>
        <w:t xml:space="preserve">associated with </w:t>
      </w:r>
      <w:r>
        <w:rPr>
          <w:rFonts w:ascii="Times New Roman" w:hAnsi="Times New Roman"/>
          <w:i/>
          <w:iCs/>
          <w:sz w:val="24"/>
          <w:szCs w:val="24"/>
        </w:rPr>
        <w:t>IFNG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CD8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T cells, </w:t>
      </w:r>
      <w:r>
        <w:rPr>
          <w:rFonts w:ascii="Times New Roman" w:hAnsi="Times New Roman"/>
          <w:i/>
          <w:iCs/>
          <w:sz w:val="24"/>
          <w:szCs w:val="24"/>
        </w:rPr>
        <w:t>LAG3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CD8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T cells, </w:t>
      </w:r>
      <w:r>
        <w:rPr>
          <w:rFonts w:ascii="Times New Roman" w:hAnsi="Times New Roman"/>
          <w:i/>
          <w:iCs/>
          <w:sz w:val="24"/>
          <w:szCs w:val="24"/>
        </w:rPr>
        <w:t>ZFP36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>CD8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T cells, and </w:t>
      </w:r>
      <w:r>
        <w:rPr>
          <w:rFonts w:ascii="Times New Roman" w:hAnsi="Times New Roman"/>
          <w:i/>
          <w:iCs/>
          <w:sz w:val="24"/>
          <w:szCs w:val="24"/>
        </w:rPr>
        <w:t>CXCL13</w:t>
      </w:r>
      <w:r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follicular helper T cells.</w:t>
      </w:r>
    </w:p>
    <w:p w14:paraId="1F28FCC1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02752D17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644F8EF0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5B2B873F" w14:textId="7963C846" w:rsidR="00F27EAD" w:rsidRDefault="00F27EAD" w:rsidP="00F27EAD">
      <w:pPr>
        <w:pStyle w:val="1"/>
        <w:spacing w:line="24pt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4"/>
          <w:lang w:val="en-US" w:eastAsia="en-US"/>
        </w:rPr>
        <w:lastRenderedPageBreak/>
        <w:drawing>
          <wp:inline distT="0" distB="0" distL="0" distR="0" wp14:anchorId="6BAB2D70" wp14:editId="65C72216">
            <wp:extent cx="5017770" cy="8229600"/>
            <wp:effectExtent l="0" t="0" r="0" b="0"/>
            <wp:docPr id="388603068" name="Picture 8" descr="Supplemantary-Figure10_2_画板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图片 10" descr="Supplemantary-Figure10_2_画板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.987%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0689C" w14:textId="77777777" w:rsidR="00F27EAD" w:rsidRDefault="00F27EAD" w:rsidP="00F27EAD">
      <w:pPr>
        <w:spacing w:line="18pt" w:lineRule="auto"/>
        <w:jc w:val="both"/>
        <w:rPr>
          <w:rFonts w:ascii="KaiTi" w:eastAsia="KaiTi" w:hAnsi="KaiTi" w:cs="KaiT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4 </w:t>
      </w:r>
      <w:r>
        <w:rPr>
          <w:rFonts w:ascii="Times New Roman" w:hAnsi="Times New Roman"/>
          <w:b/>
          <w:bCs/>
          <w:sz w:val="24"/>
          <w:szCs w:val="24"/>
        </w:rPr>
        <w:t xml:space="preserve">Detailed results of correlation between key genes and immune cells                                                                                                                                           </w:t>
      </w:r>
      <w:r>
        <w:rPr>
          <w:rFonts w:ascii="Times New Roman" w:eastAsia="KaiTi" w:hAnsi="Times New Roman"/>
          <w:sz w:val="24"/>
          <w:szCs w:val="24"/>
        </w:rPr>
        <w:t xml:space="preserve">Scatter plots showed the strongest positive or negative correlation among the key genes associated with </w:t>
      </w:r>
      <w:r>
        <w:rPr>
          <w:rFonts w:ascii="Times New Roman" w:eastAsia="KaiTi" w:hAnsi="Times New Roman"/>
          <w:i/>
          <w:iCs/>
          <w:sz w:val="24"/>
          <w:szCs w:val="24"/>
        </w:rPr>
        <w:t>FCGR3A</w:t>
      </w:r>
      <w:r>
        <w:rPr>
          <w:rFonts w:ascii="Times New Roman" w:eastAsia="KaiTi" w:hAnsi="Times New Roman"/>
          <w:sz w:val="24"/>
          <w:szCs w:val="24"/>
          <w:vertAlign w:val="superscript"/>
        </w:rPr>
        <w:t xml:space="preserve">+ </w:t>
      </w:r>
      <w:r>
        <w:rPr>
          <w:rFonts w:ascii="Times New Roman" w:eastAsia="KaiTi" w:hAnsi="Times New Roman"/>
          <w:sz w:val="24"/>
          <w:szCs w:val="24"/>
        </w:rPr>
        <w:t xml:space="preserve">NKT cells, </w:t>
      </w:r>
      <w:r>
        <w:rPr>
          <w:rFonts w:ascii="Times New Roman" w:eastAsia="KaiTi" w:hAnsi="Times New Roman"/>
          <w:i/>
          <w:iCs/>
          <w:sz w:val="24"/>
          <w:szCs w:val="24"/>
        </w:rPr>
        <w:t>AREG</w:t>
      </w:r>
      <w:r>
        <w:rPr>
          <w:rFonts w:ascii="Times New Roman" w:eastAsia="KaiTi" w:hAnsi="Times New Roman"/>
          <w:sz w:val="24"/>
          <w:szCs w:val="24"/>
          <w:vertAlign w:val="superscript"/>
        </w:rPr>
        <w:t xml:space="preserve">+ </w:t>
      </w:r>
      <w:r>
        <w:rPr>
          <w:rFonts w:ascii="Times New Roman" w:eastAsia="KaiTi" w:hAnsi="Times New Roman"/>
          <w:sz w:val="24"/>
          <w:szCs w:val="24"/>
        </w:rPr>
        <w:t xml:space="preserve">NK cells, dendritic cells, </w:t>
      </w:r>
      <w:r>
        <w:rPr>
          <w:rFonts w:ascii="Times New Roman" w:eastAsia="KaiTi" w:hAnsi="Times New Roman"/>
          <w:i/>
          <w:iCs/>
          <w:sz w:val="24"/>
          <w:szCs w:val="24"/>
        </w:rPr>
        <w:t>MKI67</w:t>
      </w:r>
      <w:r>
        <w:rPr>
          <w:rFonts w:ascii="Times New Roman" w:eastAsia="KaiTi" w:hAnsi="Times New Roman"/>
          <w:sz w:val="24"/>
          <w:szCs w:val="24"/>
          <w:vertAlign w:val="superscript"/>
        </w:rPr>
        <w:t>+</w:t>
      </w:r>
      <w:r>
        <w:rPr>
          <w:rFonts w:ascii="Times New Roman" w:eastAsia="KaiTi" w:hAnsi="Times New Roman"/>
          <w:sz w:val="24"/>
          <w:szCs w:val="24"/>
        </w:rPr>
        <w:t xml:space="preserve"> circulating CD8</w:t>
      </w:r>
      <w:r>
        <w:rPr>
          <w:rFonts w:ascii="Times New Roman" w:eastAsia="KaiTi" w:hAnsi="Times New Roman"/>
          <w:sz w:val="24"/>
          <w:szCs w:val="24"/>
          <w:vertAlign w:val="superscript"/>
        </w:rPr>
        <w:t>+</w:t>
      </w:r>
      <w:r>
        <w:rPr>
          <w:rFonts w:ascii="Times New Roman" w:eastAsia="KaiTi" w:hAnsi="Times New Roman"/>
          <w:sz w:val="24"/>
          <w:szCs w:val="24"/>
        </w:rPr>
        <w:t xml:space="preserve"> T cells, and </w:t>
      </w:r>
      <w:r>
        <w:rPr>
          <w:rFonts w:ascii="Times New Roman" w:eastAsia="KaiTi" w:hAnsi="Times New Roman"/>
          <w:i/>
          <w:iCs/>
          <w:sz w:val="24"/>
          <w:szCs w:val="24"/>
        </w:rPr>
        <w:t>MKI67</w:t>
      </w:r>
      <w:r>
        <w:rPr>
          <w:rFonts w:ascii="Times New Roman" w:eastAsia="KaiTi" w:hAnsi="Times New Roman"/>
          <w:sz w:val="24"/>
          <w:szCs w:val="24"/>
          <w:vertAlign w:val="superscript"/>
        </w:rPr>
        <w:t>+</w:t>
      </w:r>
      <w:r>
        <w:rPr>
          <w:rFonts w:ascii="Times New Roman" w:eastAsia="KaiTi" w:hAnsi="Times New Roman"/>
          <w:sz w:val="24"/>
          <w:szCs w:val="24"/>
        </w:rPr>
        <w:t xml:space="preserve"> T cells</w:t>
      </w:r>
    </w:p>
    <w:p w14:paraId="34E9F1A7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0DE86A5D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28452B55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009C228A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00E5C6A1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0A01AE56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7D89DFC8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2D5AF89C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16004A46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242E0B7D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157B8CC2" w14:textId="77777777" w:rsidR="00F27EAD" w:rsidRDefault="00F27EAD" w:rsidP="00F27EAD">
      <w:pPr>
        <w:spacing w:line="18pt" w:lineRule="auto"/>
        <w:jc w:val="both"/>
        <w:rPr>
          <w:rFonts w:ascii="Times New Roman" w:hAnsi="Times New Roman"/>
          <w:sz w:val="24"/>
          <w:szCs w:val="24"/>
        </w:rPr>
      </w:pPr>
    </w:p>
    <w:p w14:paraId="3FD3B9DB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388DD60F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3459CC93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7409F60C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3D31119C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1E7D7334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DB94A16" w14:textId="4D78987B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noProof/>
          <w:sz w:val="24"/>
          <w:szCs w:val="24"/>
          <w:lang w:val="en-US" w:eastAsia="en-US"/>
        </w:rPr>
        <w:drawing>
          <wp:inline distT="0" distB="0" distL="0" distR="0" wp14:anchorId="20FB22B7" wp14:editId="0729B310">
            <wp:extent cx="5734050" cy="4048125"/>
            <wp:effectExtent l="0" t="0" r="0" b="9525"/>
            <wp:docPr id="374987039" name="Picture 7" descr="A diagram of a network&#10;&#10;Description automatically generated with medium confidence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374987039" name="Picture 7" descr="A diagram of a networ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C10AC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Figure 5 Whole regulation network of hub genes</w:t>
      </w:r>
    </w:p>
    <w:p w14:paraId="5EF878CA" w14:textId="77777777" w:rsidR="00F27EAD" w:rsidRDefault="00F27EAD" w:rsidP="00F27EAD">
      <w:pPr>
        <w:pStyle w:val="1"/>
        <w:spacing w:line="24pt" w:lineRule="auto"/>
        <w:rPr>
          <w:rStyle w:val="16"/>
          <w:rFonts w:ascii="Times New Roman" w:eastAsia="Microsoft YaHei" w:hAnsi="Times New Roman"/>
          <w:b w:val="0"/>
          <w:bCs/>
          <w:color w:val="111111"/>
          <w:sz w:val="24"/>
          <w:szCs w:val="24"/>
          <w:shd w:val="clear" w:color="auto" w:fill="FFFFFF"/>
        </w:rPr>
      </w:pPr>
      <w:r>
        <w:rPr>
          <w:rStyle w:val="16"/>
          <w:rFonts w:ascii="Times New Roman" w:eastAsia="Microsoft YaHei" w:hAnsi="Times New Roman"/>
          <w:b w:val="0"/>
          <w:bCs/>
          <w:color w:val="111111"/>
          <w:sz w:val="24"/>
          <w:szCs w:val="24"/>
          <w:shd w:val="clear" w:color="auto" w:fill="FFFFFF"/>
        </w:rPr>
        <w:t>Integrating 2504 Chip-seq datasets to construct a gene regulation network, the hub genes were annotated into twelve clusters based on their major function, and the larger circle of regulatory genes represent more genes were regulated.</w:t>
      </w:r>
    </w:p>
    <w:p w14:paraId="7D3EC335" w14:textId="77777777" w:rsidR="00F27EAD" w:rsidRDefault="00F27EAD" w:rsidP="00F27EAD">
      <w:pPr>
        <w:pStyle w:val="1"/>
        <w:spacing w:line="24pt" w:lineRule="auto"/>
        <w:rPr>
          <w:rStyle w:val="16"/>
          <w:rFonts w:ascii="Times New Roman" w:eastAsia="Microsoft YaHei" w:hAnsi="Times New Roman"/>
          <w:b w:val="0"/>
          <w:color w:val="111111"/>
          <w:sz w:val="24"/>
          <w:szCs w:val="24"/>
          <w:shd w:val="clear" w:color="auto" w:fill="FFFFFF"/>
        </w:rPr>
      </w:pPr>
    </w:p>
    <w:p w14:paraId="6BD3C2AF" w14:textId="77777777" w:rsidR="00F27EAD" w:rsidRDefault="00F27EAD" w:rsidP="00F27EAD">
      <w:pPr>
        <w:pStyle w:val="1"/>
        <w:spacing w:line="24pt" w:lineRule="auto"/>
        <w:rPr>
          <w:rStyle w:val="16"/>
          <w:rFonts w:ascii="Times New Roman" w:eastAsia="Microsoft YaHei" w:hAnsi="Times New Roman"/>
          <w:b w:val="0"/>
          <w:color w:val="111111"/>
          <w:sz w:val="24"/>
          <w:szCs w:val="24"/>
          <w:shd w:val="clear" w:color="auto" w:fill="FFFFFF"/>
        </w:rPr>
      </w:pPr>
    </w:p>
    <w:p w14:paraId="35E0AC49" w14:textId="245EC9F9" w:rsidR="00F27EAD" w:rsidRDefault="00F27EAD" w:rsidP="00F27EAD">
      <w:pPr>
        <w:pStyle w:val="1"/>
        <w:spacing w:line="24pt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D6F983A" wp14:editId="0E95D025">
            <wp:extent cx="5734050" cy="3781425"/>
            <wp:effectExtent l="0" t="0" r="0" b="9525"/>
            <wp:docPr id="2052048939" name="Picture 6" descr="A picture containing graphical user interface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图片 12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E37FA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Figure 6 Spatial transcriptomics (ST) of BRCA and mapping of cell types</w:t>
      </w:r>
    </w:p>
    <w:p w14:paraId="78F621EC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(A-D) The ST slide of patients, region clustering of patients, standardized expression levels of </w:t>
      </w:r>
      <w:r>
        <w:rPr>
          <w:rFonts w:ascii="Times New Roman" w:hAnsi="Times New Roman"/>
          <w:i/>
          <w:iCs/>
          <w:sz w:val="24"/>
          <w:szCs w:val="24"/>
        </w:rPr>
        <w:t>SQLE</w:t>
      </w:r>
      <w:r>
        <w:rPr>
          <w:rFonts w:ascii="Times New Roman" w:hAnsi="Times New Roman"/>
          <w:sz w:val="24"/>
          <w:szCs w:val="24"/>
        </w:rPr>
        <w:t xml:space="preserve"> in BRCA patients ST, and annotated BRCA patient’s tumor cryosection on the ST slide. </w:t>
      </w:r>
    </w:p>
    <w:p w14:paraId="15804C1B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75F4548A" w14:textId="398DCD00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D2FC96E" wp14:editId="6FCF84E2">
            <wp:extent cx="5734050" cy="4048125"/>
            <wp:effectExtent l="0" t="0" r="0" b="9525"/>
            <wp:docPr id="1853833813" name="Picture 5" descr="A circular network with many dots&#10;&#10;Description automatically generated with medium confidence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853833813" name="Picture 5" descr="A circular network with many d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C1CD5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Supplementary Figure 7 The TF regulation of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SQLE</w:t>
      </w:r>
    </w:p>
    <w:p w14:paraId="1DCAE408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transcription factors that possibly regulate the expression of </w:t>
      </w:r>
      <w:r>
        <w:rPr>
          <w:rFonts w:ascii="Times New Roman" w:hAnsi="Times New Roman"/>
          <w:i/>
          <w:iCs/>
          <w:sz w:val="24"/>
          <w:szCs w:val="24"/>
        </w:rPr>
        <w:t>SQLE</w:t>
      </w:r>
      <w:r>
        <w:rPr>
          <w:rFonts w:ascii="Times New Roman" w:hAnsi="Times New Roman"/>
          <w:sz w:val="24"/>
          <w:szCs w:val="24"/>
        </w:rPr>
        <w:t>, the more width of the line, the stronger the regulation strength.</w:t>
      </w:r>
    </w:p>
    <w:p w14:paraId="0B9AD9C8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4EA17D16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24488E02" w14:textId="2FEE0CA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D4F4B11" wp14:editId="170D2EF7">
            <wp:extent cx="5734050" cy="8105775"/>
            <wp:effectExtent l="0" t="0" r="0" b="9525"/>
            <wp:docPr id="1998570569" name="Picture 4" descr="A collection of black and white graphs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998570569" name="Picture 4" descr="A collection of black and white graph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CB47A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Figure 8 </w:t>
      </w:r>
      <w:r>
        <w:rPr>
          <w:rFonts w:ascii="Times New Roman" w:eastAsia="DengXi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he prediction of ADMET properties (part 1)</w:t>
      </w:r>
    </w:p>
    <w:p w14:paraId="61246650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ADMET properties of </w:t>
      </w:r>
      <w:r>
        <w:rPr>
          <w:rFonts w:ascii="Times New Roman" w:eastAsia="SimSun" w:hAnsi="Times New Roman" w:hint="eastAsia"/>
          <w:sz w:val="24"/>
          <w:szCs w:val="24"/>
        </w:rPr>
        <w:t xml:space="preserve">leading compounds </w:t>
      </w:r>
      <w:r>
        <w:rPr>
          <w:rFonts w:ascii="Times New Roman" w:hAnsi="Times New Roman"/>
          <w:sz w:val="24"/>
          <w:szCs w:val="24"/>
        </w:rPr>
        <w:t>were predicted by ADMETlab2.0. The explanation and full name of each property can be referenced in the “Explanation” part of the ADMETlab2.0 website (https://admetmesh.scbdd.com/explanation/index).</w:t>
      </w:r>
    </w:p>
    <w:p w14:paraId="4C75FB88" w14:textId="77777777" w:rsidR="00F27EAD" w:rsidRDefault="00F27EAD" w:rsidP="00F27EAD">
      <w:pPr>
        <w:pStyle w:val="1"/>
        <w:spacing w:line="24pt" w:lineRule="auto"/>
        <w:rPr>
          <w:rFonts w:ascii="Times New Roman" w:eastAsia="DengXian" w:hAnsi="Times New Roman"/>
          <w:sz w:val="24"/>
          <w:szCs w:val="24"/>
        </w:rPr>
      </w:pPr>
    </w:p>
    <w:p w14:paraId="653F5C88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4ACDBC3A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51BAC959" w14:textId="095CE162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5FF974D" wp14:editId="6D59548A">
            <wp:extent cx="5724525" cy="8105775"/>
            <wp:effectExtent l="0" t="0" r="9525" b="9525"/>
            <wp:docPr id="1026727036" name="Picture 3" descr="A collection of black and white graphs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026727036" name="Picture 3" descr="A collection of black and white graph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B31BA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Figure 9 </w:t>
      </w:r>
      <w:r>
        <w:rPr>
          <w:rFonts w:ascii="Times New Roman" w:eastAsia="DengXi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he prediction of ADMET properties (Part 2)</w:t>
      </w:r>
    </w:p>
    <w:p w14:paraId="5F3F709B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ADMET properties of </w:t>
      </w:r>
      <w:r>
        <w:rPr>
          <w:rFonts w:ascii="Times New Roman" w:eastAsia="SimSun" w:hAnsi="Times New Roman" w:hint="eastAsia"/>
          <w:sz w:val="24"/>
          <w:szCs w:val="24"/>
        </w:rPr>
        <w:t xml:space="preserve">leading compounds </w:t>
      </w:r>
      <w:r>
        <w:rPr>
          <w:rFonts w:ascii="Times New Roman" w:hAnsi="Times New Roman"/>
          <w:sz w:val="24"/>
          <w:szCs w:val="24"/>
        </w:rPr>
        <w:t>were predicted by ADMETlab2.0. The explanation and full name of each property can be referenced in the “Explanation” part of the ADMETlab2.0 website (https://admetmesh.scbdd.com/explanation/index).</w:t>
      </w:r>
    </w:p>
    <w:p w14:paraId="1FCFC174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003D3C23" w14:textId="2CC23D8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95C53CA" wp14:editId="47CF0E03">
            <wp:extent cx="5724525" cy="8105775"/>
            <wp:effectExtent l="0" t="0" r="9525" b="9525"/>
            <wp:docPr id="1751587434" name="Picture 2" descr="A collage of different types of graphs&#10;&#10;Description automatically generated with medium confidence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751587434" name="Picture 2" descr="A collage of different types of graph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8B8A5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Supplementary Figure 10 </w:t>
      </w:r>
      <w:r>
        <w:rPr>
          <w:rFonts w:ascii="Times New Roman" w:eastAsia="DengXi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he prediction of ADMET properties (part 3)</w:t>
      </w:r>
    </w:p>
    <w:p w14:paraId="4310790B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ADMET properties of </w:t>
      </w:r>
      <w:r>
        <w:rPr>
          <w:rFonts w:ascii="Times New Roman" w:eastAsia="SimSun" w:hAnsi="Times New Roman" w:hint="eastAsia"/>
          <w:sz w:val="24"/>
          <w:szCs w:val="24"/>
        </w:rPr>
        <w:t xml:space="preserve">leading compounds </w:t>
      </w:r>
      <w:r>
        <w:rPr>
          <w:rFonts w:ascii="Times New Roman" w:hAnsi="Times New Roman"/>
          <w:sz w:val="24"/>
          <w:szCs w:val="24"/>
        </w:rPr>
        <w:t>were predicted by ADMETlab2.0. The explanation and full name of each property can be referenced in the “Explanation” part of the ADMETlab2.0 website</w:t>
      </w:r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hyperlink r:id="rId14" w:history="1">
        <w:r>
          <w:rPr>
            <w:rStyle w:val="Hyperlink"/>
            <w:rFonts w:ascii="Times New Roman" w:hAnsi="Times New Roman"/>
            <w:color w:val="000000"/>
            <w:sz w:val="24"/>
            <w:szCs w:val="24"/>
          </w:rPr>
          <w:t>https://admetmesh.scbdd.com/explanation/index</w:t>
        </w:r>
      </w:hyperlink>
      <w:r>
        <w:rPr>
          <w:rFonts w:ascii="Times New Roman" w:hAnsi="Times New Roman"/>
          <w:sz w:val="24"/>
          <w:szCs w:val="24"/>
        </w:rPr>
        <w:t xml:space="preserve">). </w:t>
      </w:r>
      <w:bookmarkStart w:id="1" w:name="_Hlk98614307"/>
      <w:r>
        <w:rPr>
          <w:rFonts w:ascii="Times New Roman" w:hAnsi="Times New Roman"/>
          <w:sz w:val="24"/>
          <w:szCs w:val="24"/>
        </w:rPr>
        <w:t>The barplot of hERG, LogP, LogD, LC50, and LC50DM were circled with yellow boxes.</w:t>
      </w:r>
      <w:bookmarkEnd w:id="1"/>
    </w:p>
    <w:p w14:paraId="6A0080D2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</w:p>
    <w:p w14:paraId="305AF2B9" w14:textId="77777777" w:rsidR="00F27EAD" w:rsidRDefault="00F27EAD" w:rsidP="00F27EAD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E7568" w14:textId="77777777" w:rsidR="00F27EAD" w:rsidRDefault="00F27EAD" w:rsidP="00F27EAD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AD439" w14:textId="77777777" w:rsidR="00F27EAD" w:rsidRDefault="00F27EAD" w:rsidP="00F27EAD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C6673" w14:textId="77777777" w:rsidR="00F27EAD" w:rsidRDefault="00F27EAD" w:rsidP="00F27EAD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31827" w14:textId="77777777" w:rsidR="00F27EAD" w:rsidRDefault="00F27EAD" w:rsidP="00F27EAD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F269DC" w14:textId="77777777" w:rsidR="00F27EAD" w:rsidRDefault="00F27EAD" w:rsidP="00F27EAD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D3E0A8" w14:textId="77777777" w:rsidR="00F27EAD" w:rsidRDefault="00F27EAD" w:rsidP="00F27EAD">
      <w:pPr>
        <w:spacing w:line="24pt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E6EAA" w14:textId="0735A44B" w:rsidR="00F27EAD" w:rsidRDefault="00F27EAD" w:rsidP="00F27EAD">
      <w:pPr>
        <w:pStyle w:val="1"/>
        <w:spacing w:line="24pt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6075F1A" wp14:editId="6EA4EAC2">
            <wp:extent cx="5734050" cy="4381500"/>
            <wp:effectExtent l="0" t="0" r="0" b="0"/>
            <wp:docPr id="1710597342" name="Picture 1" descr="A group of black and white bars&#10;&#10;Description automatically generated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1710597342" name="Picture 1" descr="A group of black and white ba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4"/>
          <w:szCs w:val="24"/>
        </w:rPr>
        <w:t xml:space="preserve">Supplementary Figure 11 </w:t>
      </w:r>
      <w:r>
        <w:rPr>
          <w:rFonts w:ascii="Times New Roman" w:eastAsia="DengXian" w:hAnsi="Times New Roman"/>
          <w:b/>
          <w:bCs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he prediction of ADMET properties (part 4)</w:t>
      </w:r>
    </w:p>
    <w:p w14:paraId="6AC83D3B" w14:textId="77777777" w:rsidR="00F27EAD" w:rsidRDefault="00F27EAD" w:rsidP="00F27EAD">
      <w:pPr>
        <w:pStyle w:val="1"/>
        <w:spacing w:line="24pt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ADMET properties of </w:t>
      </w:r>
      <w:r>
        <w:rPr>
          <w:rFonts w:ascii="Times New Roman" w:eastAsia="SimSun" w:hAnsi="Times New Roman" w:hint="eastAsia"/>
          <w:sz w:val="24"/>
          <w:szCs w:val="24"/>
        </w:rPr>
        <w:t xml:space="preserve">leading compounds </w:t>
      </w:r>
      <w:r>
        <w:rPr>
          <w:rFonts w:ascii="Times New Roman" w:hAnsi="Times New Roman"/>
          <w:sz w:val="24"/>
          <w:szCs w:val="24"/>
        </w:rPr>
        <w:t xml:space="preserve">were predicted by ADMETlab2.0. The explanation and full name of each property can be referenced in the “Explanation” part of the ADMETlab2.0 website </w:t>
      </w:r>
      <w:r>
        <w:rPr>
          <w:rFonts w:ascii="Times New Roman" w:hAnsi="Times New Roman"/>
          <w:color w:val="000000"/>
          <w:sz w:val="24"/>
          <w:szCs w:val="24"/>
        </w:rPr>
        <w:t>(</w:t>
      </w:r>
      <w:hyperlink r:id="rId16" w:history="1">
        <w:r>
          <w:rPr>
            <w:rStyle w:val="Hyperlink"/>
            <w:rFonts w:ascii="Times New Roman" w:hAnsi="Times New Roman"/>
            <w:color w:val="000000"/>
            <w:sz w:val="24"/>
            <w:szCs w:val="24"/>
          </w:rPr>
          <w:t>https://admetmesh.scbdd.com/explanation/index</w:t>
        </w:r>
      </w:hyperlink>
      <w:r>
        <w:rPr>
          <w:rFonts w:ascii="Times New Roman" w:hAnsi="Times New Roman"/>
          <w:sz w:val="24"/>
          <w:szCs w:val="24"/>
        </w:rPr>
        <w:t xml:space="preserve">). The barplot of SR-p53 was circled with a yellow box. </w:t>
      </w:r>
    </w:p>
    <w:p w14:paraId="7E9C3C0B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KaiTi">
    <w:charset w:characterSet="GBK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AD"/>
    <w:rsid w:val="002A5090"/>
    <w:rsid w:val="003F36CB"/>
    <w:rsid w:val="008C374B"/>
    <w:rsid w:val="00954821"/>
    <w:rsid w:val="00AF416B"/>
    <w:rsid w:val="00E459B1"/>
    <w:rsid w:val="00E910FB"/>
    <w:rsid w:val="00F27EAD"/>
    <w:rsid w:val="00F667FE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EAFEF9"/>
  <w15:chartTrackingRefBased/>
  <w15:docId w15:val="{075B8467-929D-4AEB-AAAA-BFC88CEA4AB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EAD"/>
    <w:rPr>
      <w:rFonts w:ascii="Calibri" w:eastAsia="DengXian" w:hAnsi="Calibri" w:cs="Arial"/>
      <w:kern w:val="0"/>
      <w:lang w:val="en-GB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EAD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EAD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EAD"/>
    <w:pPr>
      <w:keepNext/>
      <w:keepLines/>
      <w:spacing w:before="8pt" w:after="4p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EAD"/>
    <w:pPr>
      <w:keepNext/>
      <w:keepLines/>
      <w:spacing w:before="4pt" w:after="2p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EAD"/>
    <w:pPr>
      <w:keepNext/>
      <w:keepLines/>
      <w:spacing w:before="4pt" w:after="2p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EAD"/>
    <w:pPr>
      <w:keepNext/>
      <w:keepLines/>
      <w:spacing w:before="2pt" w:after="0p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EAD"/>
    <w:pPr>
      <w:keepNext/>
      <w:keepLines/>
      <w:spacing w:before="2pt" w:after="0p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EAD"/>
    <w:pPr>
      <w:keepNext/>
      <w:keepLines/>
      <w:spacing w:after="0p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EAD"/>
    <w:pPr>
      <w:keepNext/>
      <w:keepLines/>
      <w:spacing w:after="0p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EAD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7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E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7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EAD"/>
    <w:pPr>
      <w:spacing w:before="8pt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7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EAD"/>
    <w:pPr>
      <w:ind w:start="36pt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7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E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qFormat/>
    <w:rsid w:val="00F27EAD"/>
    <w:rPr>
      <w:color w:val="0000FF"/>
      <w:u w:val="single"/>
    </w:rPr>
  </w:style>
  <w:style w:type="character" w:customStyle="1" w:styleId="16">
    <w:name w:val="16"/>
    <w:qFormat/>
    <w:rsid w:val="00F27EAD"/>
    <w:rPr>
      <w:rFonts w:ascii="Calibri" w:hAnsi="Calibri" w:cs="Calibri" w:hint="default"/>
      <w:b/>
    </w:rPr>
  </w:style>
  <w:style w:type="character" w:customStyle="1" w:styleId="1Char">
    <w:name w:val="正文1 Char"/>
    <w:link w:val="1"/>
    <w:qFormat/>
    <w:rsid w:val="00F27EAD"/>
    <w:rPr>
      <w:rFonts w:eastAsia="Times New Roman" w:cs="Times New Roman"/>
      <w:sz w:val="21"/>
      <w:szCs w:val="21"/>
    </w:rPr>
  </w:style>
  <w:style w:type="paragraph" w:customStyle="1" w:styleId="1">
    <w:name w:val="正文1"/>
    <w:link w:val="1Char"/>
    <w:qFormat/>
    <w:rsid w:val="00F27EAD"/>
    <w:pPr>
      <w:widowControl w:val="0"/>
      <w:spacing w:after="0pt" w:line="12pt" w:lineRule="auto"/>
      <w:jc w:val="both"/>
    </w:pPr>
    <w:rPr>
      <w:rFonts w:eastAsia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5.png"/><Relationship Id="rId13" Type="http://purl.oclc.org/ooxml/officeDocument/relationships/image" Target="media/image10.png"/><Relationship Id="rId18" Type="http://purl.oclc.org/ooxml/officeDocument/relationships/theme" Target="theme/theme1.xml"/><Relationship Id="rId3" Type="http://purl.oclc.org/ooxml/officeDocument/relationships/webSettings" Target="webSettings.xml"/><Relationship Id="rId7" Type="http://purl.oclc.org/ooxml/officeDocument/relationships/image" Target="media/image4.png"/><Relationship Id="rId12" Type="http://purl.oclc.org/ooxml/officeDocument/relationships/image" Target="media/image9.png"/><Relationship Id="rId17" Type="http://purl.oclc.org/ooxml/officeDocument/relationships/fontTable" Target="fontTable.xml"/><Relationship Id="rId2" Type="http://purl.oclc.org/ooxml/officeDocument/relationships/settings" Target="settings.xml"/><Relationship Id="rId16" Type="http://purl.oclc.org/ooxml/officeDocument/relationships/hyperlink" Target="https://admetmesh.scbdd.com/explanation/index" TargetMode="External"/><Relationship Id="rId1" Type="http://purl.oclc.org/ooxml/officeDocument/relationships/styles" Target="styles.xml"/><Relationship Id="rId6" Type="http://purl.oclc.org/ooxml/officeDocument/relationships/image" Target="media/image3.png"/><Relationship Id="rId11" Type="http://purl.oclc.org/ooxml/officeDocument/relationships/image" Target="media/image8.png"/><Relationship Id="rId5" Type="http://purl.oclc.org/ooxml/officeDocument/relationships/image" Target="media/image2.png"/><Relationship Id="rId15" Type="http://purl.oclc.org/ooxml/officeDocument/relationships/image" Target="media/image11.png"/><Relationship Id="rId10" Type="http://purl.oclc.org/ooxml/officeDocument/relationships/image" Target="media/image7.png"/><Relationship Id="rId4" Type="http://purl.oclc.org/ooxml/officeDocument/relationships/image" Target="media/image1.png"/><Relationship Id="rId9" Type="http://purl.oclc.org/ooxml/officeDocument/relationships/image" Target="media/image6.png"/><Relationship Id="rId14" Type="http://purl.oclc.org/ooxml/officeDocument/relationships/hyperlink" Target="https://admetmesh.scbdd.com/explanation/index" TargetMode="Externa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16</Pages>
  <Words>565</Words>
  <Characters>3224</Characters>
  <Application>Microsoft Office Word</Application>
  <DocSecurity>0</DocSecurity>
  <Lines>26</Lines>
  <Paragraphs>7</Paragraphs>
  <ScaleCrop>false</ScaleCrop>
  <Company>Springer Nature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2024-08-29T04:42:00Z</dcterms:created>
  <dcterms:modified xsi:type="dcterms:W3CDTF">2024-08-29T04:43:00Z</dcterms:modified>
</cp:coreProperties>
</file>