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5DCAF9" w14:textId="77707A3E" w:rsidR="005D6BC9" w:rsidRPr="00352C44" w:rsidRDefault="00352C44" w:rsidP="00352C44">
      <w:pPr>
        <w:jc w:val="center"/>
        <w:rPr>
          <w:rFonts w:ascii="Times New Roman" w:hAnsi="Times New Roman" w:cs="Times New Roman"/>
          <w:b/>
          <w:bCs/>
          <w:sz w:val="28"/>
          <w:szCs w:val="28"/>
        </w:rPr>
      </w:pPr>
      <w:r w:rsidRPr="00352C44">
        <w:rPr>
          <w:rFonts w:ascii="Times New Roman" w:hAnsi="Times New Roman" w:cs="Times New Roman"/>
          <w:b/>
          <w:bCs/>
          <w:sz w:val="28"/>
          <w:szCs w:val="28"/>
        </w:rPr>
        <w:t>Supplementary material</w:t>
      </w:r>
    </w:p>
    <w:p w14:paraId="2594AC46" w14:textId="77777777" w:rsidR="00352C44" w:rsidRDefault="00352C44">
      <w:pPr>
        <w:rPr>
          <w:rFonts w:ascii="Times New Roman" w:hAnsi="Times New Roman" w:cs="Times New Roman"/>
        </w:rPr>
      </w:pPr>
    </w:p>
    <w:p w14:paraId="41BE6D41" w14:textId="77777777" w:rsidR="00352C44" w:rsidRDefault="00352C44">
      <w:pPr>
        <w:rPr>
          <w:rFonts w:ascii="Times New Roman" w:hAnsi="Times New Roman" w:cs="Times New Roman"/>
        </w:rPr>
      </w:pPr>
    </w:p>
    <w:p w14:paraId="55046073" w14:textId="206D2538" w:rsidR="00352C44" w:rsidRPr="00352C44" w:rsidRDefault="00352C44">
      <w:pPr>
        <w:rPr>
          <w:rFonts w:ascii="Times New Roman" w:hAnsi="Times New Roman" w:cs="Times New Roman"/>
        </w:rPr>
      </w:pPr>
      <w:r w:rsidRPr="00352C44">
        <w:rPr>
          <w:rFonts w:ascii="Times New Roman" w:eastAsia="黑体" w:hAnsi="Times New Roman" w:cs="Times New Roman"/>
          <w:szCs w:val="21"/>
        </w:rPr>
        <w:t xml:space="preserve">Table </w:t>
      </w:r>
      <w:r>
        <w:rPr>
          <w:rFonts w:ascii="Times New Roman" w:eastAsia="黑体" w:hAnsi="Times New Roman" w:cs="Times New Roman" w:hint="eastAsia"/>
          <w:szCs w:val="21"/>
        </w:rPr>
        <w:t>S1</w:t>
      </w:r>
      <w:r w:rsidR="00D60C80">
        <w:rPr>
          <w:rFonts w:ascii="Times New Roman" w:eastAsia="黑体" w:hAnsi="Times New Roman" w:cs="Times New Roman" w:hint="eastAsia"/>
          <w:szCs w:val="21"/>
        </w:rPr>
        <w:t>.</w:t>
      </w:r>
      <w:r w:rsidRPr="00352C44">
        <w:rPr>
          <w:rFonts w:ascii="Times New Roman" w:eastAsia="黑体" w:hAnsi="Times New Roman" w:cs="Times New Roman"/>
          <w:szCs w:val="21"/>
        </w:rPr>
        <w:t xml:space="preserve"> </w:t>
      </w:r>
      <w:r w:rsidR="00D60C80">
        <w:rPr>
          <w:rFonts w:ascii="Times New Roman" w:eastAsia="黑体" w:hAnsi="Times New Roman" w:cs="Times New Roman" w:hint="eastAsia"/>
          <w:szCs w:val="21"/>
        </w:rPr>
        <w:t>F</w:t>
      </w:r>
      <w:r w:rsidR="00D60C80" w:rsidRPr="00D60C80">
        <w:rPr>
          <w:rFonts w:ascii="Times New Roman" w:eastAsia="黑体" w:hAnsi="Times New Roman" w:cs="Times New Roman"/>
          <w:szCs w:val="21"/>
        </w:rPr>
        <w:t>luorescence in situ hybridization</w:t>
      </w:r>
      <w:r w:rsidR="00D60C80" w:rsidRPr="00D60C80">
        <w:rPr>
          <w:rFonts w:ascii="Times New Roman" w:eastAsia="黑体" w:hAnsi="Times New Roman" w:cs="Times New Roman" w:hint="eastAsia"/>
          <w:szCs w:val="21"/>
        </w:rPr>
        <w:t xml:space="preserve"> </w:t>
      </w:r>
      <w:r w:rsidR="00D60C80">
        <w:rPr>
          <w:rFonts w:ascii="Times New Roman" w:eastAsia="黑体" w:hAnsi="Times New Roman" w:cs="Times New Roman" w:hint="eastAsia"/>
          <w:szCs w:val="21"/>
        </w:rPr>
        <w:t xml:space="preserve">probes used for </w:t>
      </w:r>
      <w:r w:rsidRPr="00352C44">
        <w:rPr>
          <w:rFonts w:ascii="Times New Roman" w:eastAsia="黑体" w:hAnsi="Times New Roman" w:cs="Times New Roman"/>
          <w:szCs w:val="21"/>
        </w:rPr>
        <w:t>LCMV</w:t>
      </w:r>
      <w:r w:rsidR="00D60C80">
        <w:rPr>
          <w:rFonts w:ascii="Times New Roman" w:eastAsia="黑体" w:hAnsi="Times New Roman" w:cs="Times New Roman" w:hint="eastAsia"/>
          <w:szCs w:val="21"/>
        </w:rPr>
        <w:t xml:space="preserve"> detection</w:t>
      </w:r>
    </w:p>
    <w:tbl>
      <w:tblPr>
        <w:tblW w:w="6600" w:type="dxa"/>
        <w:tblLook w:val="04A0" w:firstRow="1" w:lastRow="0" w:firstColumn="1" w:lastColumn="0" w:noHBand="0" w:noVBand="1"/>
      </w:tblPr>
      <w:tblGrid>
        <w:gridCol w:w="2080"/>
        <w:gridCol w:w="4520"/>
      </w:tblGrid>
      <w:tr w:rsidR="00352C44" w:rsidRPr="00352C44" w14:paraId="6E064DB4" w14:textId="77777777" w:rsidTr="00352C44">
        <w:trPr>
          <w:trHeight w:val="280"/>
        </w:trPr>
        <w:tc>
          <w:tcPr>
            <w:tcW w:w="2080" w:type="dxa"/>
            <w:tcBorders>
              <w:top w:val="single" w:sz="12" w:space="0" w:color="auto"/>
              <w:left w:val="nil"/>
              <w:bottom w:val="single" w:sz="6" w:space="0" w:color="auto"/>
              <w:right w:val="nil"/>
            </w:tcBorders>
            <w:shd w:val="clear" w:color="auto" w:fill="auto"/>
            <w:vAlign w:val="center"/>
          </w:tcPr>
          <w:p w14:paraId="13B1E009" w14:textId="4807A345" w:rsidR="00352C44" w:rsidRPr="00352C44" w:rsidRDefault="008568B9" w:rsidP="00E04DD7">
            <w:pPr>
              <w:jc w:val="center"/>
              <w:rPr>
                <w:rFonts w:ascii="Times New Roman" w:hAnsi="Times New Roman" w:cs="Times New Roman"/>
                <w:color w:val="000000"/>
                <w:kern w:val="0"/>
                <w:sz w:val="18"/>
                <w:szCs w:val="18"/>
              </w:rPr>
            </w:pPr>
            <w:r w:rsidRPr="008568B9">
              <w:rPr>
                <w:rFonts w:ascii="Times New Roman" w:hAnsi="Times New Roman" w:cs="Times New Roman"/>
                <w:color w:val="000000"/>
                <w:kern w:val="0"/>
                <w:sz w:val="18"/>
                <w:szCs w:val="18"/>
              </w:rPr>
              <w:t xml:space="preserve">Primer </w:t>
            </w:r>
            <w:r>
              <w:rPr>
                <w:rFonts w:ascii="Times New Roman" w:hAnsi="Times New Roman" w:cs="Times New Roman" w:hint="eastAsia"/>
                <w:color w:val="000000"/>
                <w:kern w:val="0"/>
                <w:sz w:val="18"/>
                <w:szCs w:val="18"/>
              </w:rPr>
              <w:t>n</w:t>
            </w:r>
            <w:r w:rsidRPr="008568B9">
              <w:rPr>
                <w:rFonts w:ascii="Times New Roman" w:hAnsi="Times New Roman" w:cs="Times New Roman"/>
                <w:color w:val="000000"/>
                <w:kern w:val="0"/>
                <w:sz w:val="18"/>
                <w:szCs w:val="18"/>
              </w:rPr>
              <w:t>ame</w:t>
            </w:r>
          </w:p>
        </w:tc>
        <w:tc>
          <w:tcPr>
            <w:tcW w:w="4520" w:type="dxa"/>
            <w:tcBorders>
              <w:top w:val="single" w:sz="12" w:space="0" w:color="auto"/>
              <w:left w:val="nil"/>
              <w:bottom w:val="single" w:sz="6" w:space="0" w:color="auto"/>
              <w:right w:val="nil"/>
            </w:tcBorders>
            <w:shd w:val="clear" w:color="auto" w:fill="auto"/>
            <w:vAlign w:val="center"/>
          </w:tcPr>
          <w:p w14:paraId="29EC6C5F" w14:textId="6328ECBD" w:rsidR="00352C44" w:rsidRPr="00352C44" w:rsidRDefault="008568B9" w:rsidP="00E04DD7">
            <w:pPr>
              <w:jc w:val="center"/>
              <w:rPr>
                <w:rFonts w:ascii="Times New Roman" w:hAnsi="Times New Roman" w:cs="Times New Roman"/>
                <w:color w:val="000000"/>
                <w:kern w:val="0"/>
                <w:sz w:val="18"/>
                <w:szCs w:val="18"/>
              </w:rPr>
            </w:pPr>
            <w:r w:rsidRPr="008568B9">
              <w:rPr>
                <w:rFonts w:ascii="Times New Roman" w:hAnsi="Times New Roman" w:cs="Times New Roman"/>
                <w:color w:val="000000"/>
                <w:kern w:val="0"/>
                <w:sz w:val="18"/>
                <w:szCs w:val="18"/>
              </w:rPr>
              <w:t xml:space="preserve">Primer </w:t>
            </w:r>
            <w:r>
              <w:rPr>
                <w:rFonts w:ascii="Times New Roman" w:hAnsi="Times New Roman" w:cs="Times New Roman" w:hint="eastAsia"/>
                <w:color w:val="000000"/>
                <w:kern w:val="0"/>
                <w:sz w:val="18"/>
                <w:szCs w:val="18"/>
              </w:rPr>
              <w:t>s</w:t>
            </w:r>
            <w:r w:rsidRPr="008568B9">
              <w:rPr>
                <w:rFonts w:ascii="Times New Roman" w:hAnsi="Times New Roman" w:cs="Times New Roman"/>
                <w:color w:val="000000"/>
                <w:kern w:val="0"/>
                <w:sz w:val="18"/>
                <w:szCs w:val="18"/>
              </w:rPr>
              <w:t>equence</w:t>
            </w:r>
            <w:r>
              <w:rPr>
                <w:rFonts w:ascii="Times New Roman" w:hAnsi="Times New Roman" w:cs="Times New Roman" w:hint="eastAsia"/>
                <w:color w:val="000000"/>
                <w:kern w:val="0"/>
                <w:sz w:val="18"/>
                <w:szCs w:val="18"/>
              </w:rPr>
              <w:t xml:space="preserve"> (</w:t>
            </w:r>
            <w:r w:rsidR="00352C44" w:rsidRPr="00352C44">
              <w:rPr>
                <w:rFonts w:ascii="Times New Roman" w:hAnsi="Times New Roman" w:cs="Times New Roman"/>
                <w:color w:val="000000"/>
                <w:kern w:val="0"/>
                <w:sz w:val="18"/>
                <w:szCs w:val="18"/>
              </w:rPr>
              <w:t>5' -3'</w:t>
            </w:r>
            <w:r>
              <w:rPr>
                <w:rFonts w:ascii="Times New Roman" w:hAnsi="Times New Roman" w:cs="Times New Roman" w:hint="eastAsia"/>
                <w:color w:val="000000"/>
                <w:kern w:val="0"/>
                <w:sz w:val="18"/>
                <w:szCs w:val="18"/>
              </w:rPr>
              <w:t>)</w:t>
            </w:r>
          </w:p>
        </w:tc>
      </w:tr>
      <w:tr w:rsidR="00352C44" w:rsidRPr="00352C44" w14:paraId="3855BACA" w14:textId="77777777" w:rsidTr="00352C44">
        <w:trPr>
          <w:trHeight w:val="280"/>
        </w:trPr>
        <w:tc>
          <w:tcPr>
            <w:tcW w:w="2080" w:type="dxa"/>
            <w:vMerge w:val="restart"/>
            <w:tcBorders>
              <w:top w:val="single" w:sz="6" w:space="0" w:color="auto"/>
              <w:left w:val="nil"/>
              <w:bottom w:val="single" w:sz="12" w:space="0" w:color="auto"/>
              <w:right w:val="nil"/>
            </w:tcBorders>
            <w:shd w:val="clear" w:color="auto" w:fill="auto"/>
            <w:noWrap/>
            <w:vAlign w:val="center"/>
          </w:tcPr>
          <w:p w14:paraId="02DFE064" w14:textId="77777777" w:rsidR="00352C44" w:rsidRPr="00352C44" w:rsidRDefault="00352C44" w:rsidP="00E04DD7">
            <w:pPr>
              <w:jc w:val="center"/>
              <w:rPr>
                <w:rFonts w:ascii="Times New Roman" w:hAnsi="Times New Roman" w:cs="Times New Roman"/>
                <w:color w:val="000000"/>
                <w:kern w:val="0"/>
                <w:sz w:val="18"/>
                <w:szCs w:val="18"/>
              </w:rPr>
            </w:pPr>
            <w:r w:rsidRPr="00352C44">
              <w:rPr>
                <w:rFonts w:ascii="Times New Roman" w:hAnsi="Times New Roman" w:cs="Times New Roman"/>
                <w:color w:val="000000"/>
                <w:kern w:val="0"/>
                <w:sz w:val="18"/>
                <w:szCs w:val="18"/>
              </w:rPr>
              <w:t>LCMV-S mix</w:t>
            </w:r>
          </w:p>
        </w:tc>
        <w:tc>
          <w:tcPr>
            <w:tcW w:w="4520" w:type="dxa"/>
            <w:tcBorders>
              <w:top w:val="single" w:sz="6" w:space="0" w:color="auto"/>
              <w:left w:val="nil"/>
              <w:bottom w:val="nil"/>
              <w:right w:val="nil"/>
            </w:tcBorders>
            <w:shd w:val="clear" w:color="auto" w:fill="auto"/>
            <w:noWrap/>
            <w:vAlign w:val="center"/>
          </w:tcPr>
          <w:p w14:paraId="61B00251" w14:textId="77777777" w:rsidR="00352C44" w:rsidRPr="00352C44" w:rsidRDefault="00352C44" w:rsidP="00E04DD7">
            <w:pPr>
              <w:jc w:val="center"/>
              <w:rPr>
                <w:rFonts w:ascii="Times New Roman" w:hAnsi="Times New Roman" w:cs="Times New Roman"/>
                <w:color w:val="000000"/>
                <w:kern w:val="0"/>
                <w:sz w:val="18"/>
                <w:szCs w:val="18"/>
              </w:rPr>
            </w:pPr>
            <w:r w:rsidRPr="00352C44">
              <w:rPr>
                <w:rFonts w:ascii="Times New Roman" w:hAnsi="Times New Roman" w:cs="Times New Roman"/>
                <w:color w:val="000000"/>
                <w:kern w:val="0"/>
                <w:sz w:val="18"/>
                <w:szCs w:val="18"/>
              </w:rPr>
              <w:t>TTCTGAGCTGTCAAGGTTCCGATG</w:t>
            </w:r>
          </w:p>
        </w:tc>
      </w:tr>
      <w:tr w:rsidR="00352C44" w:rsidRPr="00352C44" w14:paraId="7D86A5E3" w14:textId="77777777" w:rsidTr="00352C44">
        <w:trPr>
          <w:trHeight w:val="280"/>
        </w:trPr>
        <w:tc>
          <w:tcPr>
            <w:tcW w:w="2080" w:type="dxa"/>
            <w:vMerge/>
            <w:tcBorders>
              <w:top w:val="single" w:sz="8" w:space="0" w:color="000000"/>
              <w:left w:val="nil"/>
              <w:bottom w:val="single" w:sz="12" w:space="0" w:color="auto"/>
              <w:right w:val="nil"/>
            </w:tcBorders>
            <w:vAlign w:val="center"/>
          </w:tcPr>
          <w:p w14:paraId="4BEBAE4D" w14:textId="77777777" w:rsidR="00352C44" w:rsidRPr="00352C44" w:rsidRDefault="00352C44" w:rsidP="00E04DD7">
            <w:pPr>
              <w:jc w:val="left"/>
              <w:rPr>
                <w:rFonts w:ascii="Times New Roman" w:hAnsi="Times New Roman" w:cs="Times New Roman"/>
                <w:color w:val="000000"/>
                <w:kern w:val="0"/>
                <w:sz w:val="18"/>
                <w:szCs w:val="18"/>
              </w:rPr>
            </w:pPr>
          </w:p>
        </w:tc>
        <w:tc>
          <w:tcPr>
            <w:tcW w:w="4520" w:type="dxa"/>
            <w:tcBorders>
              <w:top w:val="nil"/>
              <w:left w:val="nil"/>
              <w:bottom w:val="nil"/>
              <w:right w:val="nil"/>
            </w:tcBorders>
            <w:shd w:val="clear" w:color="auto" w:fill="auto"/>
            <w:noWrap/>
            <w:vAlign w:val="center"/>
          </w:tcPr>
          <w:p w14:paraId="2B8A8E6D" w14:textId="77777777" w:rsidR="00352C44" w:rsidRPr="00352C44" w:rsidRDefault="00352C44" w:rsidP="00E04DD7">
            <w:pPr>
              <w:jc w:val="center"/>
              <w:rPr>
                <w:rFonts w:ascii="Times New Roman" w:hAnsi="Times New Roman" w:cs="Times New Roman"/>
                <w:color w:val="000000"/>
                <w:kern w:val="0"/>
                <w:sz w:val="18"/>
                <w:szCs w:val="18"/>
              </w:rPr>
            </w:pPr>
            <w:r w:rsidRPr="00352C44">
              <w:rPr>
                <w:rFonts w:ascii="Times New Roman" w:hAnsi="Times New Roman" w:cs="Times New Roman"/>
                <w:color w:val="000000"/>
                <w:kern w:val="0"/>
                <w:sz w:val="18"/>
                <w:szCs w:val="18"/>
              </w:rPr>
              <w:t>GTCAGTCATAGGTGCTCTTCCACAAG</w:t>
            </w:r>
          </w:p>
        </w:tc>
      </w:tr>
      <w:tr w:rsidR="00352C44" w:rsidRPr="00352C44" w14:paraId="22E1914C" w14:textId="77777777" w:rsidTr="00352C44">
        <w:trPr>
          <w:trHeight w:val="280"/>
        </w:trPr>
        <w:tc>
          <w:tcPr>
            <w:tcW w:w="2080" w:type="dxa"/>
            <w:vMerge/>
            <w:tcBorders>
              <w:top w:val="single" w:sz="8" w:space="0" w:color="000000"/>
              <w:left w:val="nil"/>
              <w:bottom w:val="single" w:sz="12" w:space="0" w:color="auto"/>
              <w:right w:val="nil"/>
            </w:tcBorders>
            <w:vAlign w:val="center"/>
          </w:tcPr>
          <w:p w14:paraId="319701CF" w14:textId="77777777" w:rsidR="00352C44" w:rsidRPr="00352C44" w:rsidRDefault="00352C44" w:rsidP="00E04DD7">
            <w:pPr>
              <w:jc w:val="left"/>
              <w:rPr>
                <w:rFonts w:ascii="Times New Roman" w:hAnsi="Times New Roman" w:cs="Times New Roman"/>
                <w:color w:val="000000"/>
                <w:kern w:val="0"/>
                <w:sz w:val="18"/>
                <w:szCs w:val="18"/>
              </w:rPr>
            </w:pPr>
          </w:p>
        </w:tc>
        <w:tc>
          <w:tcPr>
            <w:tcW w:w="4520" w:type="dxa"/>
            <w:tcBorders>
              <w:top w:val="nil"/>
              <w:left w:val="nil"/>
              <w:bottom w:val="nil"/>
              <w:right w:val="nil"/>
            </w:tcBorders>
            <w:shd w:val="clear" w:color="auto" w:fill="auto"/>
            <w:noWrap/>
            <w:vAlign w:val="center"/>
          </w:tcPr>
          <w:p w14:paraId="092D1DEC" w14:textId="77777777" w:rsidR="00352C44" w:rsidRPr="00352C44" w:rsidRDefault="00352C44" w:rsidP="00E04DD7">
            <w:pPr>
              <w:jc w:val="center"/>
              <w:rPr>
                <w:rFonts w:ascii="Times New Roman" w:hAnsi="Times New Roman" w:cs="Times New Roman"/>
                <w:color w:val="000000"/>
                <w:kern w:val="0"/>
                <w:sz w:val="18"/>
                <w:szCs w:val="18"/>
              </w:rPr>
            </w:pPr>
            <w:r w:rsidRPr="00352C44">
              <w:rPr>
                <w:rFonts w:ascii="Times New Roman" w:hAnsi="Times New Roman" w:cs="Times New Roman"/>
                <w:color w:val="000000"/>
                <w:kern w:val="0"/>
                <w:sz w:val="18"/>
                <w:szCs w:val="18"/>
              </w:rPr>
              <w:t>GACCTTGCTGATCTCTTCAACGCAC</w:t>
            </w:r>
          </w:p>
        </w:tc>
      </w:tr>
      <w:tr w:rsidR="00352C44" w:rsidRPr="00352C44" w14:paraId="5F182686" w14:textId="77777777" w:rsidTr="00352C44">
        <w:trPr>
          <w:trHeight w:val="280"/>
        </w:trPr>
        <w:tc>
          <w:tcPr>
            <w:tcW w:w="2080" w:type="dxa"/>
            <w:vMerge/>
            <w:tcBorders>
              <w:top w:val="single" w:sz="8" w:space="0" w:color="000000"/>
              <w:left w:val="nil"/>
              <w:bottom w:val="single" w:sz="12" w:space="0" w:color="auto"/>
              <w:right w:val="nil"/>
            </w:tcBorders>
            <w:vAlign w:val="center"/>
          </w:tcPr>
          <w:p w14:paraId="428FCAAE" w14:textId="77777777" w:rsidR="00352C44" w:rsidRPr="00352C44" w:rsidRDefault="00352C44" w:rsidP="00E04DD7">
            <w:pPr>
              <w:jc w:val="left"/>
              <w:rPr>
                <w:rFonts w:ascii="Times New Roman" w:hAnsi="Times New Roman" w:cs="Times New Roman"/>
                <w:color w:val="000000"/>
                <w:kern w:val="0"/>
                <w:sz w:val="18"/>
                <w:szCs w:val="18"/>
              </w:rPr>
            </w:pPr>
          </w:p>
        </w:tc>
        <w:tc>
          <w:tcPr>
            <w:tcW w:w="4520" w:type="dxa"/>
            <w:tcBorders>
              <w:top w:val="nil"/>
              <w:left w:val="nil"/>
              <w:right w:val="nil"/>
            </w:tcBorders>
            <w:shd w:val="clear" w:color="auto" w:fill="auto"/>
            <w:noWrap/>
            <w:vAlign w:val="center"/>
          </w:tcPr>
          <w:p w14:paraId="215F4649" w14:textId="77777777" w:rsidR="00352C44" w:rsidRPr="00352C44" w:rsidRDefault="00352C44" w:rsidP="00E04DD7">
            <w:pPr>
              <w:jc w:val="center"/>
              <w:rPr>
                <w:rFonts w:ascii="Times New Roman" w:hAnsi="Times New Roman" w:cs="Times New Roman"/>
                <w:color w:val="000000"/>
                <w:kern w:val="0"/>
                <w:sz w:val="18"/>
                <w:szCs w:val="18"/>
              </w:rPr>
            </w:pPr>
            <w:r w:rsidRPr="00352C44">
              <w:rPr>
                <w:rFonts w:ascii="Times New Roman" w:hAnsi="Times New Roman" w:cs="Times New Roman"/>
                <w:color w:val="000000"/>
                <w:kern w:val="0"/>
                <w:sz w:val="18"/>
                <w:szCs w:val="18"/>
              </w:rPr>
              <w:t>TTCAAGCAAGATTCTAAGTATTCCCAT</w:t>
            </w:r>
          </w:p>
        </w:tc>
      </w:tr>
      <w:tr w:rsidR="00352C44" w:rsidRPr="00352C44" w14:paraId="508FA523" w14:textId="77777777" w:rsidTr="00352C44">
        <w:trPr>
          <w:trHeight w:val="280"/>
        </w:trPr>
        <w:tc>
          <w:tcPr>
            <w:tcW w:w="2080" w:type="dxa"/>
            <w:vMerge/>
            <w:tcBorders>
              <w:top w:val="single" w:sz="8" w:space="0" w:color="000000"/>
              <w:left w:val="nil"/>
              <w:bottom w:val="single" w:sz="12" w:space="0" w:color="auto"/>
              <w:right w:val="nil"/>
            </w:tcBorders>
            <w:vAlign w:val="center"/>
          </w:tcPr>
          <w:p w14:paraId="3C8AD1E0" w14:textId="77777777" w:rsidR="00352C44" w:rsidRPr="00352C44" w:rsidRDefault="00352C44" w:rsidP="00E04DD7">
            <w:pPr>
              <w:jc w:val="left"/>
              <w:rPr>
                <w:rFonts w:ascii="Times New Roman" w:hAnsi="Times New Roman" w:cs="Times New Roman"/>
                <w:color w:val="000000"/>
                <w:kern w:val="0"/>
                <w:sz w:val="18"/>
                <w:szCs w:val="18"/>
              </w:rPr>
            </w:pPr>
          </w:p>
        </w:tc>
        <w:tc>
          <w:tcPr>
            <w:tcW w:w="4520" w:type="dxa"/>
            <w:tcBorders>
              <w:top w:val="nil"/>
              <w:left w:val="nil"/>
              <w:bottom w:val="single" w:sz="12" w:space="0" w:color="auto"/>
              <w:right w:val="nil"/>
            </w:tcBorders>
            <w:shd w:val="clear" w:color="auto" w:fill="auto"/>
            <w:noWrap/>
            <w:vAlign w:val="center"/>
          </w:tcPr>
          <w:p w14:paraId="34A24722" w14:textId="77777777" w:rsidR="00352C44" w:rsidRPr="00352C44" w:rsidRDefault="00352C44" w:rsidP="00E04DD7">
            <w:pPr>
              <w:jc w:val="center"/>
              <w:rPr>
                <w:rFonts w:ascii="Times New Roman" w:hAnsi="Times New Roman" w:cs="Times New Roman"/>
                <w:color w:val="000000"/>
                <w:kern w:val="0"/>
                <w:sz w:val="18"/>
                <w:szCs w:val="18"/>
              </w:rPr>
            </w:pPr>
            <w:r w:rsidRPr="00352C44">
              <w:rPr>
                <w:rFonts w:ascii="Times New Roman" w:hAnsi="Times New Roman" w:cs="Times New Roman"/>
                <w:color w:val="000000"/>
                <w:kern w:val="0"/>
                <w:sz w:val="18"/>
                <w:szCs w:val="18"/>
              </w:rPr>
              <w:t>CAGTTCATACACTTTTACAGAGAACCTAC</w:t>
            </w:r>
          </w:p>
        </w:tc>
      </w:tr>
    </w:tbl>
    <w:p w14:paraId="00EB1E7C" w14:textId="16024F49" w:rsidR="00352C44" w:rsidRPr="00DD301F" w:rsidRDefault="00C32CC1">
      <w:pPr>
        <w:rPr>
          <w:rFonts w:ascii="Times New Roman" w:hAnsi="Times New Roman" w:cs="Times New Roman"/>
          <w:szCs w:val="21"/>
        </w:rPr>
      </w:pPr>
      <w:r w:rsidRPr="00DD301F">
        <w:rPr>
          <w:rFonts w:ascii="Times New Roman" w:hAnsi="Times New Roman" w:cs="Times New Roman" w:hint="eastAsia"/>
          <w:szCs w:val="21"/>
        </w:rPr>
        <w:t xml:space="preserve">The </w:t>
      </w:r>
      <w:proofErr w:type="gramStart"/>
      <w:r w:rsidRPr="00DD301F">
        <w:rPr>
          <w:rFonts w:ascii="Times New Roman" w:hAnsi="Times New Roman" w:cs="Times New Roman" w:hint="eastAsia"/>
          <w:szCs w:val="21"/>
        </w:rPr>
        <w:t>i</w:t>
      </w:r>
      <w:r w:rsidRPr="00DD301F">
        <w:rPr>
          <w:rFonts w:ascii="Times New Roman" w:hAnsi="Times New Roman" w:cs="Times New Roman"/>
          <w:szCs w:val="21"/>
        </w:rPr>
        <w:t>n situ</w:t>
      </w:r>
      <w:proofErr w:type="gramEnd"/>
      <w:r w:rsidRPr="00DD301F">
        <w:rPr>
          <w:rFonts w:ascii="Times New Roman" w:hAnsi="Times New Roman" w:cs="Times New Roman"/>
          <w:szCs w:val="21"/>
        </w:rPr>
        <w:t xml:space="preserve"> hybridization probes were designed based on the segment S of the LCMV using Primer Premier version 5.0.</w:t>
      </w:r>
    </w:p>
    <w:p w14:paraId="3B3A2CB2" w14:textId="628A072A" w:rsidR="00352C44" w:rsidRDefault="00352C44">
      <w:pPr>
        <w:rPr>
          <w:rFonts w:ascii="Times New Roman" w:hAnsi="Times New Roman" w:cs="Times New Roman"/>
        </w:rPr>
      </w:pPr>
    </w:p>
    <w:p w14:paraId="64F154D1" w14:textId="6601209D" w:rsidR="008144D6" w:rsidRDefault="008144D6" w:rsidP="00C15BDE">
      <w:pPr>
        <w:spacing w:line="240" w:lineRule="auto"/>
        <w:rPr>
          <w:rFonts w:ascii="Times New Roman" w:eastAsia="黑体" w:hAnsi="Times New Roman" w:cs="Times New Roman"/>
          <w:szCs w:val="21"/>
        </w:rPr>
      </w:pPr>
      <w:r w:rsidRPr="00352C44">
        <w:rPr>
          <w:rFonts w:ascii="Times New Roman" w:eastAsia="黑体" w:hAnsi="Times New Roman" w:cs="Times New Roman"/>
          <w:szCs w:val="21"/>
        </w:rPr>
        <w:t xml:space="preserve">Table </w:t>
      </w:r>
      <w:r>
        <w:rPr>
          <w:rFonts w:ascii="Times New Roman" w:eastAsia="黑体" w:hAnsi="Times New Roman" w:cs="Times New Roman" w:hint="eastAsia"/>
          <w:szCs w:val="21"/>
        </w:rPr>
        <w:t>S2.</w:t>
      </w:r>
      <w:r w:rsidRPr="00352C44">
        <w:rPr>
          <w:rFonts w:ascii="Times New Roman" w:eastAsia="黑体" w:hAnsi="Times New Roman" w:cs="Times New Roman"/>
          <w:szCs w:val="21"/>
        </w:rPr>
        <w:t xml:space="preserve"> </w:t>
      </w:r>
      <w:r>
        <w:rPr>
          <w:rFonts w:ascii="Times New Roman" w:eastAsia="黑体" w:hAnsi="Times New Roman" w:cs="Times New Roman" w:hint="eastAsia"/>
          <w:szCs w:val="21"/>
        </w:rPr>
        <w:t xml:space="preserve">Score of </w:t>
      </w:r>
      <w:r w:rsidRPr="008144D6">
        <w:rPr>
          <w:rFonts w:ascii="Times New Roman" w:eastAsia="黑体" w:hAnsi="Times New Roman" w:cs="Times New Roman"/>
          <w:szCs w:val="21"/>
        </w:rPr>
        <w:t>pathology observed</w:t>
      </w:r>
      <w:r>
        <w:rPr>
          <w:rFonts w:ascii="Times New Roman" w:eastAsia="黑体" w:hAnsi="Times New Roman" w:cs="Times New Roman" w:hint="eastAsia"/>
          <w:szCs w:val="21"/>
        </w:rPr>
        <w:t xml:space="preserve"> in </w:t>
      </w:r>
      <w:r w:rsidR="002B208F">
        <w:rPr>
          <w:rFonts w:ascii="Times New Roman" w:eastAsia="黑体" w:hAnsi="Times New Roman" w:cs="Times New Roman" w:hint="eastAsia"/>
          <w:szCs w:val="21"/>
        </w:rPr>
        <w:t>tissues of</w:t>
      </w:r>
      <w:r w:rsidR="002B208F" w:rsidRPr="002B208F">
        <w:rPr>
          <w:rFonts w:ascii="Times New Roman" w:eastAsia="黑体" w:hAnsi="Times New Roman" w:cs="Times New Roman"/>
          <w:szCs w:val="21"/>
        </w:rPr>
        <w:t xml:space="preserve"> Lymphocytic choriomeningitis virus (LCMV)-infected and mock-infected mice.</w:t>
      </w:r>
    </w:p>
    <w:tbl>
      <w:tblPr>
        <w:tblW w:w="5000" w:type="pct"/>
        <w:tblLook w:val="04A0" w:firstRow="1" w:lastRow="0" w:firstColumn="1" w:lastColumn="0" w:noHBand="0" w:noVBand="1"/>
      </w:tblPr>
      <w:tblGrid>
        <w:gridCol w:w="2130"/>
        <w:gridCol w:w="2130"/>
        <w:gridCol w:w="2131"/>
        <w:gridCol w:w="2131"/>
      </w:tblGrid>
      <w:tr w:rsidR="002B208F" w:rsidRPr="002B208F" w14:paraId="4E97621A" w14:textId="77777777" w:rsidTr="002B208F">
        <w:trPr>
          <w:trHeight w:val="324"/>
        </w:trPr>
        <w:tc>
          <w:tcPr>
            <w:tcW w:w="1250" w:type="pct"/>
            <w:tcBorders>
              <w:top w:val="single" w:sz="8" w:space="0" w:color="auto"/>
              <w:left w:val="nil"/>
              <w:bottom w:val="single" w:sz="8" w:space="0" w:color="auto"/>
              <w:right w:val="nil"/>
            </w:tcBorders>
            <w:shd w:val="clear" w:color="auto" w:fill="auto"/>
            <w:noWrap/>
            <w:vAlign w:val="center"/>
            <w:hideMark/>
          </w:tcPr>
          <w:p w14:paraId="62A5D1D2"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Tissue</w:t>
            </w:r>
          </w:p>
        </w:tc>
        <w:tc>
          <w:tcPr>
            <w:tcW w:w="1250" w:type="pct"/>
            <w:tcBorders>
              <w:top w:val="single" w:sz="8" w:space="0" w:color="auto"/>
              <w:left w:val="nil"/>
              <w:bottom w:val="single" w:sz="8" w:space="0" w:color="auto"/>
              <w:right w:val="nil"/>
            </w:tcBorders>
            <w:shd w:val="clear" w:color="auto" w:fill="auto"/>
            <w:noWrap/>
            <w:vAlign w:val="center"/>
            <w:hideMark/>
          </w:tcPr>
          <w:p w14:paraId="0E6F461A"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Control</w:t>
            </w:r>
          </w:p>
        </w:tc>
        <w:tc>
          <w:tcPr>
            <w:tcW w:w="1250" w:type="pct"/>
            <w:tcBorders>
              <w:top w:val="single" w:sz="8" w:space="0" w:color="auto"/>
              <w:left w:val="nil"/>
              <w:bottom w:val="single" w:sz="8" w:space="0" w:color="auto"/>
              <w:right w:val="nil"/>
            </w:tcBorders>
            <w:shd w:val="clear" w:color="auto" w:fill="auto"/>
            <w:noWrap/>
            <w:vAlign w:val="center"/>
            <w:hideMark/>
          </w:tcPr>
          <w:p w14:paraId="5DE0FAA2" w14:textId="0280E259"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5 dpi</w:t>
            </w:r>
          </w:p>
        </w:tc>
        <w:tc>
          <w:tcPr>
            <w:tcW w:w="1250" w:type="pct"/>
            <w:tcBorders>
              <w:top w:val="single" w:sz="8" w:space="0" w:color="auto"/>
              <w:left w:val="nil"/>
              <w:bottom w:val="single" w:sz="8" w:space="0" w:color="auto"/>
              <w:right w:val="nil"/>
            </w:tcBorders>
            <w:shd w:val="clear" w:color="auto" w:fill="auto"/>
            <w:noWrap/>
            <w:vAlign w:val="center"/>
            <w:hideMark/>
          </w:tcPr>
          <w:p w14:paraId="1AFBF29E" w14:textId="25782E00"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15 dpi</w:t>
            </w:r>
          </w:p>
        </w:tc>
      </w:tr>
      <w:tr w:rsidR="002B208F" w:rsidRPr="002B208F" w14:paraId="2A7DE262" w14:textId="77777777" w:rsidTr="002B208F">
        <w:trPr>
          <w:trHeight w:val="309"/>
        </w:trPr>
        <w:tc>
          <w:tcPr>
            <w:tcW w:w="1250" w:type="pct"/>
            <w:tcBorders>
              <w:top w:val="nil"/>
              <w:left w:val="nil"/>
              <w:bottom w:val="nil"/>
              <w:right w:val="nil"/>
            </w:tcBorders>
            <w:shd w:val="clear" w:color="auto" w:fill="auto"/>
            <w:noWrap/>
            <w:vAlign w:val="center"/>
            <w:hideMark/>
          </w:tcPr>
          <w:p w14:paraId="209B5CF5"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Spleen</w:t>
            </w:r>
          </w:p>
        </w:tc>
        <w:tc>
          <w:tcPr>
            <w:tcW w:w="1250" w:type="pct"/>
            <w:tcBorders>
              <w:top w:val="nil"/>
              <w:left w:val="nil"/>
              <w:bottom w:val="nil"/>
              <w:right w:val="nil"/>
            </w:tcBorders>
            <w:shd w:val="clear" w:color="auto" w:fill="auto"/>
            <w:noWrap/>
            <w:vAlign w:val="center"/>
            <w:hideMark/>
          </w:tcPr>
          <w:p w14:paraId="0349F0DC"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0</w:t>
            </w:r>
          </w:p>
        </w:tc>
        <w:tc>
          <w:tcPr>
            <w:tcW w:w="1250" w:type="pct"/>
            <w:tcBorders>
              <w:top w:val="nil"/>
              <w:left w:val="nil"/>
              <w:bottom w:val="nil"/>
              <w:right w:val="nil"/>
            </w:tcBorders>
            <w:shd w:val="clear" w:color="auto" w:fill="auto"/>
            <w:noWrap/>
            <w:vAlign w:val="center"/>
            <w:hideMark/>
          </w:tcPr>
          <w:p w14:paraId="46A9D0D5"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4</w:t>
            </w:r>
          </w:p>
        </w:tc>
        <w:tc>
          <w:tcPr>
            <w:tcW w:w="1250" w:type="pct"/>
            <w:tcBorders>
              <w:top w:val="nil"/>
              <w:left w:val="nil"/>
              <w:bottom w:val="nil"/>
              <w:right w:val="nil"/>
            </w:tcBorders>
            <w:shd w:val="clear" w:color="auto" w:fill="auto"/>
            <w:noWrap/>
            <w:vAlign w:val="center"/>
            <w:hideMark/>
          </w:tcPr>
          <w:p w14:paraId="7BBD5BF6"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2</w:t>
            </w:r>
          </w:p>
        </w:tc>
      </w:tr>
      <w:tr w:rsidR="002B208F" w:rsidRPr="002B208F" w14:paraId="1B375C23" w14:textId="77777777" w:rsidTr="002B208F">
        <w:trPr>
          <w:trHeight w:val="276"/>
        </w:trPr>
        <w:tc>
          <w:tcPr>
            <w:tcW w:w="1250" w:type="pct"/>
            <w:tcBorders>
              <w:top w:val="nil"/>
              <w:left w:val="nil"/>
              <w:bottom w:val="nil"/>
              <w:right w:val="nil"/>
            </w:tcBorders>
            <w:shd w:val="clear" w:color="auto" w:fill="auto"/>
            <w:noWrap/>
            <w:vAlign w:val="center"/>
            <w:hideMark/>
          </w:tcPr>
          <w:p w14:paraId="3A628060"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Heart</w:t>
            </w:r>
          </w:p>
        </w:tc>
        <w:tc>
          <w:tcPr>
            <w:tcW w:w="1250" w:type="pct"/>
            <w:tcBorders>
              <w:top w:val="nil"/>
              <w:left w:val="nil"/>
              <w:bottom w:val="nil"/>
              <w:right w:val="nil"/>
            </w:tcBorders>
            <w:shd w:val="clear" w:color="auto" w:fill="auto"/>
            <w:noWrap/>
            <w:vAlign w:val="center"/>
            <w:hideMark/>
          </w:tcPr>
          <w:p w14:paraId="6FE3B43F"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0</w:t>
            </w:r>
          </w:p>
        </w:tc>
        <w:tc>
          <w:tcPr>
            <w:tcW w:w="1250" w:type="pct"/>
            <w:tcBorders>
              <w:top w:val="nil"/>
              <w:left w:val="nil"/>
              <w:bottom w:val="nil"/>
              <w:right w:val="nil"/>
            </w:tcBorders>
            <w:shd w:val="clear" w:color="auto" w:fill="auto"/>
            <w:noWrap/>
            <w:vAlign w:val="center"/>
            <w:hideMark/>
          </w:tcPr>
          <w:p w14:paraId="0D86B8C5"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4</w:t>
            </w:r>
          </w:p>
        </w:tc>
        <w:tc>
          <w:tcPr>
            <w:tcW w:w="1250" w:type="pct"/>
            <w:tcBorders>
              <w:top w:val="nil"/>
              <w:left w:val="nil"/>
              <w:bottom w:val="nil"/>
              <w:right w:val="nil"/>
            </w:tcBorders>
            <w:shd w:val="clear" w:color="auto" w:fill="auto"/>
            <w:noWrap/>
            <w:vAlign w:val="center"/>
            <w:hideMark/>
          </w:tcPr>
          <w:p w14:paraId="046B15FE"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1</w:t>
            </w:r>
          </w:p>
        </w:tc>
      </w:tr>
      <w:tr w:rsidR="002B208F" w:rsidRPr="002B208F" w14:paraId="72340C62" w14:textId="77777777" w:rsidTr="002B208F">
        <w:trPr>
          <w:trHeight w:val="288"/>
        </w:trPr>
        <w:tc>
          <w:tcPr>
            <w:tcW w:w="1250" w:type="pct"/>
            <w:tcBorders>
              <w:top w:val="nil"/>
              <w:left w:val="nil"/>
              <w:bottom w:val="nil"/>
              <w:right w:val="nil"/>
            </w:tcBorders>
            <w:shd w:val="clear" w:color="auto" w:fill="auto"/>
            <w:noWrap/>
            <w:vAlign w:val="center"/>
            <w:hideMark/>
          </w:tcPr>
          <w:p w14:paraId="35D65A4C"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Liver</w:t>
            </w:r>
          </w:p>
        </w:tc>
        <w:tc>
          <w:tcPr>
            <w:tcW w:w="1250" w:type="pct"/>
            <w:tcBorders>
              <w:top w:val="nil"/>
              <w:left w:val="nil"/>
              <w:bottom w:val="nil"/>
              <w:right w:val="nil"/>
            </w:tcBorders>
            <w:shd w:val="clear" w:color="auto" w:fill="auto"/>
            <w:noWrap/>
            <w:vAlign w:val="center"/>
            <w:hideMark/>
          </w:tcPr>
          <w:p w14:paraId="7B52D632"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0</w:t>
            </w:r>
          </w:p>
        </w:tc>
        <w:tc>
          <w:tcPr>
            <w:tcW w:w="1250" w:type="pct"/>
            <w:tcBorders>
              <w:top w:val="nil"/>
              <w:left w:val="nil"/>
              <w:bottom w:val="nil"/>
              <w:right w:val="nil"/>
            </w:tcBorders>
            <w:shd w:val="clear" w:color="auto" w:fill="auto"/>
            <w:noWrap/>
            <w:vAlign w:val="center"/>
            <w:hideMark/>
          </w:tcPr>
          <w:p w14:paraId="33F02C08"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2</w:t>
            </w:r>
          </w:p>
        </w:tc>
        <w:tc>
          <w:tcPr>
            <w:tcW w:w="1250" w:type="pct"/>
            <w:tcBorders>
              <w:top w:val="nil"/>
              <w:left w:val="nil"/>
              <w:bottom w:val="nil"/>
              <w:right w:val="nil"/>
            </w:tcBorders>
            <w:shd w:val="clear" w:color="auto" w:fill="auto"/>
            <w:noWrap/>
            <w:vAlign w:val="center"/>
            <w:hideMark/>
          </w:tcPr>
          <w:p w14:paraId="1FD61017"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1</w:t>
            </w:r>
          </w:p>
        </w:tc>
      </w:tr>
      <w:tr w:rsidR="002B208F" w:rsidRPr="002B208F" w14:paraId="0F4DF23E" w14:textId="77777777" w:rsidTr="002B208F">
        <w:trPr>
          <w:trHeight w:val="324"/>
        </w:trPr>
        <w:tc>
          <w:tcPr>
            <w:tcW w:w="1250" w:type="pct"/>
            <w:tcBorders>
              <w:top w:val="nil"/>
              <w:left w:val="nil"/>
              <w:bottom w:val="nil"/>
              <w:right w:val="nil"/>
            </w:tcBorders>
            <w:shd w:val="clear" w:color="auto" w:fill="auto"/>
            <w:noWrap/>
            <w:vAlign w:val="center"/>
            <w:hideMark/>
          </w:tcPr>
          <w:p w14:paraId="51CBF71F"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Lung</w:t>
            </w:r>
          </w:p>
        </w:tc>
        <w:tc>
          <w:tcPr>
            <w:tcW w:w="1250" w:type="pct"/>
            <w:tcBorders>
              <w:top w:val="nil"/>
              <w:left w:val="nil"/>
              <w:bottom w:val="nil"/>
              <w:right w:val="nil"/>
            </w:tcBorders>
            <w:shd w:val="clear" w:color="auto" w:fill="auto"/>
            <w:noWrap/>
            <w:vAlign w:val="center"/>
            <w:hideMark/>
          </w:tcPr>
          <w:p w14:paraId="18D45348"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0</w:t>
            </w:r>
          </w:p>
        </w:tc>
        <w:tc>
          <w:tcPr>
            <w:tcW w:w="1250" w:type="pct"/>
            <w:tcBorders>
              <w:top w:val="nil"/>
              <w:left w:val="nil"/>
              <w:bottom w:val="nil"/>
              <w:right w:val="nil"/>
            </w:tcBorders>
            <w:shd w:val="clear" w:color="auto" w:fill="auto"/>
            <w:noWrap/>
            <w:vAlign w:val="center"/>
            <w:hideMark/>
          </w:tcPr>
          <w:p w14:paraId="248B9DAA"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4</w:t>
            </w:r>
          </w:p>
        </w:tc>
        <w:tc>
          <w:tcPr>
            <w:tcW w:w="1250" w:type="pct"/>
            <w:tcBorders>
              <w:top w:val="nil"/>
              <w:left w:val="nil"/>
              <w:bottom w:val="nil"/>
              <w:right w:val="nil"/>
            </w:tcBorders>
            <w:shd w:val="clear" w:color="auto" w:fill="auto"/>
            <w:noWrap/>
            <w:vAlign w:val="center"/>
            <w:hideMark/>
          </w:tcPr>
          <w:p w14:paraId="1B2C588E"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1</w:t>
            </w:r>
          </w:p>
        </w:tc>
      </w:tr>
      <w:tr w:rsidR="002B208F" w:rsidRPr="002B208F" w14:paraId="6F80DAD8" w14:textId="77777777" w:rsidTr="002B208F">
        <w:trPr>
          <w:trHeight w:val="324"/>
        </w:trPr>
        <w:tc>
          <w:tcPr>
            <w:tcW w:w="1250" w:type="pct"/>
            <w:tcBorders>
              <w:top w:val="nil"/>
              <w:left w:val="nil"/>
              <w:bottom w:val="nil"/>
              <w:right w:val="nil"/>
            </w:tcBorders>
            <w:shd w:val="clear" w:color="auto" w:fill="auto"/>
            <w:noWrap/>
            <w:vAlign w:val="center"/>
            <w:hideMark/>
          </w:tcPr>
          <w:p w14:paraId="3C52DFE8"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Intestinal</w:t>
            </w:r>
          </w:p>
        </w:tc>
        <w:tc>
          <w:tcPr>
            <w:tcW w:w="1250" w:type="pct"/>
            <w:tcBorders>
              <w:top w:val="nil"/>
              <w:left w:val="nil"/>
              <w:bottom w:val="nil"/>
              <w:right w:val="nil"/>
            </w:tcBorders>
            <w:shd w:val="clear" w:color="auto" w:fill="auto"/>
            <w:noWrap/>
            <w:vAlign w:val="center"/>
            <w:hideMark/>
          </w:tcPr>
          <w:p w14:paraId="5264A7A3"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0</w:t>
            </w:r>
          </w:p>
        </w:tc>
        <w:tc>
          <w:tcPr>
            <w:tcW w:w="1250" w:type="pct"/>
            <w:tcBorders>
              <w:top w:val="nil"/>
              <w:left w:val="nil"/>
              <w:bottom w:val="nil"/>
              <w:right w:val="nil"/>
            </w:tcBorders>
            <w:shd w:val="clear" w:color="auto" w:fill="auto"/>
            <w:noWrap/>
            <w:vAlign w:val="center"/>
            <w:hideMark/>
          </w:tcPr>
          <w:p w14:paraId="7A8008AE"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3</w:t>
            </w:r>
          </w:p>
        </w:tc>
        <w:tc>
          <w:tcPr>
            <w:tcW w:w="1250" w:type="pct"/>
            <w:tcBorders>
              <w:top w:val="nil"/>
              <w:left w:val="nil"/>
              <w:bottom w:val="nil"/>
              <w:right w:val="nil"/>
            </w:tcBorders>
            <w:shd w:val="clear" w:color="auto" w:fill="auto"/>
            <w:noWrap/>
            <w:vAlign w:val="center"/>
            <w:hideMark/>
          </w:tcPr>
          <w:p w14:paraId="1CD9EDB4"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1</w:t>
            </w:r>
          </w:p>
        </w:tc>
      </w:tr>
      <w:tr w:rsidR="002B208F" w:rsidRPr="002B208F" w14:paraId="3A37F9BD" w14:textId="77777777" w:rsidTr="002B208F">
        <w:trPr>
          <w:trHeight w:val="288"/>
        </w:trPr>
        <w:tc>
          <w:tcPr>
            <w:tcW w:w="1250" w:type="pct"/>
            <w:tcBorders>
              <w:top w:val="nil"/>
              <w:left w:val="nil"/>
              <w:bottom w:val="nil"/>
              <w:right w:val="nil"/>
            </w:tcBorders>
            <w:shd w:val="clear" w:color="auto" w:fill="auto"/>
            <w:noWrap/>
            <w:vAlign w:val="center"/>
            <w:hideMark/>
          </w:tcPr>
          <w:p w14:paraId="3D58831C"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Brain</w:t>
            </w:r>
          </w:p>
        </w:tc>
        <w:tc>
          <w:tcPr>
            <w:tcW w:w="1250" w:type="pct"/>
            <w:tcBorders>
              <w:top w:val="nil"/>
              <w:left w:val="nil"/>
              <w:bottom w:val="nil"/>
              <w:right w:val="nil"/>
            </w:tcBorders>
            <w:shd w:val="clear" w:color="auto" w:fill="auto"/>
            <w:noWrap/>
            <w:vAlign w:val="center"/>
            <w:hideMark/>
          </w:tcPr>
          <w:p w14:paraId="07AA9FB8"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0</w:t>
            </w:r>
          </w:p>
        </w:tc>
        <w:tc>
          <w:tcPr>
            <w:tcW w:w="1250" w:type="pct"/>
            <w:tcBorders>
              <w:top w:val="nil"/>
              <w:left w:val="nil"/>
              <w:bottom w:val="nil"/>
              <w:right w:val="nil"/>
            </w:tcBorders>
            <w:shd w:val="clear" w:color="auto" w:fill="auto"/>
            <w:noWrap/>
            <w:vAlign w:val="center"/>
            <w:hideMark/>
          </w:tcPr>
          <w:p w14:paraId="37BE0174"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1</w:t>
            </w:r>
          </w:p>
        </w:tc>
        <w:tc>
          <w:tcPr>
            <w:tcW w:w="1250" w:type="pct"/>
            <w:tcBorders>
              <w:top w:val="nil"/>
              <w:left w:val="nil"/>
              <w:bottom w:val="nil"/>
              <w:right w:val="nil"/>
            </w:tcBorders>
            <w:shd w:val="clear" w:color="auto" w:fill="auto"/>
            <w:noWrap/>
            <w:vAlign w:val="center"/>
            <w:hideMark/>
          </w:tcPr>
          <w:p w14:paraId="0F4A8E0B"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1</w:t>
            </w:r>
          </w:p>
        </w:tc>
      </w:tr>
      <w:tr w:rsidR="002B208F" w:rsidRPr="002B208F" w14:paraId="12F95236" w14:textId="77777777" w:rsidTr="002B208F">
        <w:trPr>
          <w:trHeight w:val="288"/>
        </w:trPr>
        <w:tc>
          <w:tcPr>
            <w:tcW w:w="1250" w:type="pct"/>
            <w:tcBorders>
              <w:top w:val="nil"/>
              <w:left w:val="nil"/>
              <w:bottom w:val="nil"/>
              <w:right w:val="nil"/>
            </w:tcBorders>
            <w:shd w:val="clear" w:color="auto" w:fill="auto"/>
            <w:noWrap/>
            <w:vAlign w:val="center"/>
            <w:hideMark/>
          </w:tcPr>
          <w:p w14:paraId="107494EA"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Kidney</w:t>
            </w:r>
          </w:p>
        </w:tc>
        <w:tc>
          <w:tcPr>
            <w:tcW w:w="1250" w:type="pct"/>
            <w:tcBorders>
              <w:top w:val="nil"/>
              <w:left w:val="nil"/>
              <w:bottom w:val="nil"/>
              <w:right w:val="nil"/>
            </w:tcBorders>
            <w:shd w:val="clear" w:color="auto" w:fill="auto"/>
            <w:noWrap/>
            <w:vAlign w:val="center"/>
            <w:hideMark/>
          </w:tcPr>
          <w:p w14:paraId="638192E6"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0</w:t>
            </w:r>
          </w:p>
        </w:tc>
        <w:tc>
          <w:tcPr>
            <w:tcW w:w="1250" w:type="pct"/>
            <w:tcBorders>
              <w:top w:val="nil"/>
              <w:left w:val="nil"/>
              <w:bottom w:val="nil"/>
              <w:right w:val="nil"/>
            </w:tcBorders>
            <w:shd w:val="clear" w:color="auto" w:fill="auto"/>
            <w:noWrap/>
            <w:vAlign w:val="center"/>
            <w:hideMark/>
          </w:tcPr>
          <w:p w14:paraId="7CED5CBD"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0</w:t>
            </w:r>
          </w:p>
        </w:tc>
        <w:tc>
          <w:tcPr>
            <w:tcW w:w="1250" w:type="pct"/>
            <w:tcBorders>
              <w:top w:val="nil"/>
              <w:left w:val="nil"/>
              <w:bottom w:val="nil"/>
              <w:right w:val="nil"/>
            </w:tcBorders>
            <w:shd w:val="clear" w:color="auto" w:fill="auto"/>
            <w:noWrap/>
            <w:vAlign w:val="center"/>
            <w:hideMark/>
          </w:tcPr>
          <w:p w14:paraId="390BC109"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0</w:t>
            </w:r>
          </w:p>
        </w:tc>
      </w:tr>
      <w:tr w:rsidR="002B208F" w:rsidRPr="002B208F" w14:paraId="02A9789C" w14:textId="77777777" w:rsidTr="002B208F">
        <w:trPr>
          <w:trHeight w:val="324"/>
        </w:trPr>
        <w:tc>
          <w:tcPr>
            <w:tcW w:w="1250" w:type="pct"/>
            <w:tcBorders>
              <w:top w:val="nil"/>
              <w:left w:val="nil"/>
              <w:bottom w:val="single" w:sz="8" w:space="0" w:color="auto"/>
              <w:right w:val="nil"/>
            </w:tcBorders>
            <w:shd w:val="clear" w:color="auto" w:fill="auto"/>
            <w:noWrap/>
            <w:vAlign w:val="center"/>
            <w:hideMark/>
          </w:tcPr>
          <w:p w14:paraId="01D3903A"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Testicle</w:t>
            </w:r>
          </w:p>
        </w:tc>
        <w:tc>
          <w:tcPr>
            <w:tcW w:w="1250" w:type="pct"/>
            <w:tcBorders>
              <w:top w:val="nil"/>
              <w:left w:val="nil"/>
              <w:bottom w:val="single" w:sz="8" w:space="0" w:color="auto"/>
              <w:right w:val="nil"/>
            </w:tcBorders>
            <w:shd w:val="clear" w:color="auto" w:fill="auto"/>
            <w:noWrap/>
            <w:vAlign w:val="center"/>
            <w:hideMark/>
          </w:tcPr>
          <w:p w14:paraId="2C50B3CC"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0</w:t>
            </w:r>
          </w:p>
        </w:tc>
        <w:tc>
          <w:tcPr>
            <w:tcW w:w="1250" w:type="pct"/>
            <w:tcBorders>
              <w:top w:val="nil"/>
              <w:left w:val="nil"/>
              <w:bottom w:val="single" w:sz="8" w:space="0" w:color="auto"/>
              <w:right w:val="nil"/>
            </w:tcBorders>
            <w:shd w:val="clear" w:color="auto" w:fill="auto"/>
            <w:noWrap/>
            <w:vAlign w:val="center"/>
            <w:hideMark/>
          </w:tcPr>
          <w:p w14:paraId="2F0E71D4"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0</w:t>
            </w:r>
          </w:p>
        </w:tc>
        <w:tc>
          <w:tcPr>
            <w:tcW w:w="1250" w:type="pct"/>
            <w:tcBorders>
              <w:top w:val="nil"/>
              <w:left w:val="nil"/>
              <w:bottom w:val="single" w:sz="8" w:space="0" w:color="auto"/>
              <w:right w:val="nil"/>
            </w:tcBorders>
            <w:shd w:val="clear" w:color="auto" w:fill="auto"/>
            <w:noWrap/>
            <w:vAlign w:val="center"/>
            <w:hideMark/>
          </w:tcPr>
          <w:p w14:paraId="58319EE4" w14:textId="77777777" w:rsidR="002B208F" w:rsidRPr="002B208F" w:rsidRDefault="002B208F" w:rsidP="002B208F">
            <w:pPr>
              <w:spacing w:line="240" w:lineRule="auto"/>
              <w:jc w:val="center"/>
              <w:rPr>
                <w:rFonts w:ascii="Times New Roman" w:eastAsia="等线" w:hAnsi="Times New Roman" w:cs="Times New Roman"/>
                <w:color w:val="000000"/>
                <w:kern w:val="0"/>
                <w:sz w:val="18"/>
                <w:szCs w:val="18"/>
                <w14:ligatures w14:val="none"/>
              </w:rPr>
            </w:pPr>
            <w:r w:rsidRPr="002B208F">
              <w:rPr>
                <w:rFonts w:ascii="Times New Roman" w:eastAsia="等线" w:hAnsi="Times New Roman" w:cs="Times New Roman"/>
                <w:color w:val="000000"/>
                <w:kern w:val="0"/>
                <w:sz w:val="18"/>
                <w:szCs w:val="18"/>
                <w14:ligatures w14:val="none"/>
              </w:rPr>
              <w:t>0</w:t>
            </w:r>
          </w:p>
        </w:tc>
      </w:tr>
    </w:tbl>
    <w:p w14:paraId="41525ED2" w14:textId="2FF44EDC" w:rsidR="002B208F" w:rsidRPr="00DD301F" w:rsidRDefault="00282D7D" w:rsidP="00E46BA0">
      <w:pPr>
        <w:spacing w:line="240" w:lineRule="auto"/>
        <w:rPr>
          <w:rFonts w:ascii="Times New Roman" w:hAnsi="Times New Roman" w:cs="Times New Roman"/>
          <w:szCs w:val="21"/>
        </w:rPr>
      </w:pPr>
      <w:r w:rsidRPr="00DD301F">
        <w:rPr>
          <w:rFonts w:ascii="Times New Roman" w:hAnsi="Times New Roman" w:cs="Times New Roman"/>
          <w:szCs w:val="21"/>
        </w:rPr>
        <w:t xml:space="preserve">The scoring criteria are referred to the publication edited by </w:t>
      </w:r>
      <w:r w:rsidRPr="00DD301F">
        <w:rPr>
          <w:rFonts w:ascii="Times New Roman" w:hAnsi="Times New Roman" w:cs="Times New Roman" w:hint="eastAsia"/>
          <w:szCs w:val="21"/>
        </w:rPr>
        <w:t>Peter Mann et al</w:t>
      </w:r>
      <w:r w:rsidRPr="00DD301F">
        <w:rPr>
          <w:rFonts w:ascii="Times New Roman" w:hAnsi="Times New Roman" w:cs="Times New Roman"/>
          <w:szCs w:val="21"/>
        </w:rPr>
        <w:t xml:space="preserve">, </w:t>
      </w:r>
      <w:r w:rsidR="002B208F" w:rsidRPr="00DD301F">
        <w:rPr>
          <w:rFonts w:ascii="Times New Roman" w:hAnsi="Times New Roman" w:cs="Times New Roman"/>
          <w:i/>
          <w:iCs/>
          <w:szCs w:val="21"/>
        </w:rPr>
        <w:t>Inte</w:t>
      </w:r>
      <w:r w:rsidRPr="00DD301F">
        <w:rPr>
          <w:rFonts w:ascii="Times New Roman" w:hAnsi="Times New Roman" w:cs="Times New Roman" w:hint="eastAsia"/>
          <w:i/>
          <w:iCs/>
          <w:szCs w:val="21"/>
        </w:rPr>
        <w:t>rna</w:t>
      </w:r>
      <w:r w:rsidR="002B208F" w:rsidRPr="00DD301F">
        <w:rPr>
          <w:rFonts w:ascii="Times New Roman" w:hAnsi="Times New Roman" w:cs="Times New Roman"/>
          <w:i/>
          <w:iCs/>
          <w:szCs w:val="21"/>
        </w:rPr>
        <w:t>tional Harmonization of</w:t>
      </w:r>
      <w:r w:rsidRPr="00DD301F">
        <w:rPr>
          <w:rFonts w:ascii="Times New Roman" w:hAnsi="Times New Roman" w:cs="Times New Roman" w:hint="eastAsia"/>
          <w:i/>
          <w:iCs/>
          <w:szCs w:val="21"/>
        </w:rPr>
        <w:t xml:space="preserve"> </w:t>
      </w:r>
      <w:r w:rsidR="002B208F" w:rsidRPr="00DD301F">
        <w:rPr>
          <w:rFonts w:ascii="Times New Roman" w:hAnsi="Times New Roman" w:cs="Times New Roman"/>
          <w:i/>
          <w:iCs/>
          <w:szCs w:val="21"/>
        </w:rPr>
        <w:t>Nomenclature and Diagnostic Criteria for</w:t>
      </w:r>
      <w:r w:rsidRPr="00DD301F">
        <w:rPr>
          <w:rFonts w:ascii="Times New Roman" w:hAnsi="Times New Roman" w:cs="Times New Roman" w:hint="eastAsia"/>
          <w:i/>
          <w:iCs/>
          <w:szCs w:val="21"/>
        </w:rPr>
        <w:t xml:space="preserve"> </w:t>
      </w:r>
      <w:r w:rsidR="002B208F" w:rsidRPr="00DD301F">
        <w:rPr>
          <w:rFonts w:ascii="Times New Roman" w:hAnsi="Times New Roman" w:cs="Times New Roman"/>
          <w:i/>
          <w:iCs/>
          <w:szCs w:val="21"/>
        </w:rPr>
        <w:t>Lesions in Rats and Mice</w:t>
      </w:r>
      <w:r w:rsidRPr="00DD301F">
        <w:rPr>
          <w:rFonts w:ascii="Times New Roman" w:hAnsi="Times New Roman" w:cs="Times New Roman" w:hint="eastAsia"/>
          <w:szCs w:val="21"/>
        </w:rPr>
        <w:t>.</w:t>
      </w:r>
      <w:r w:rsidR="002B208F" w:rsidRPr="00DD301F">
        <w:rPr>
          <w:rFonts w:ascii="Times New Roman" w:hAnsi="Times New Roman" w:cs="Times New Roman"/>
          <w:szCs w:val="21"/>
        </w:rPr>
        <w:t xml:space="preserve"> </w:t>
      </w:r>
      <w:r w:rsidR="00E46BA0" w:rsidRPr="00DD301F">
        <w:rPr>
          <w:rFonts w:ascii="Times New Roman" w:hAnsi="Times New Roman" w:cs="Times New Roman"/>
          <w:szCs w:val="21"/>
        </w:rPr>
        <w:t>A score of 0 indicates parameters within the normal range, while a score of 1 suggests a slight deviation just beyond the normal range. A score of 2 signifies mild changes with observable lesions that are not yet serious. A score of 3 denotes moderate severity with pronounced lesions</w:t>
      </w:r>
      <w:r w:rsidR="00E46BA0" w:rsidRPr="00DD301F">
        <w:rPr>
          <w:rFonts w:ascii="Times New Roman" w:hAnsi="Times New Roman" w:cs="Times New Roman" w:hint="eastAsia"/>
          <w:szCs w:val="21"/>
        </w:rPr>
        <w:t>, and</w:t>
      </w:r>
      <w:r w:rsidR="00E46BA0" w:rsidRPr="00DD301F">
        <w:rPr>
          <w:rFonts w:ascii="Times New Roman" w:hAnsi="Times New Roman" w:cs="Times New Roman"/>
          <w:szCs w:val="21"/>
        </w:rPr>
        <w:t xml:space="preserve"> likely to be more severe, and a score of 4 represents severe severity where the lesion has extensively affected the organ.</w:t>
      </w:r>
      <w:r w:rsidR="00E46BA0" w:rsidRPr="00DD301F">
        <w:rPr>
          <w:rFonts w:ascii="Times New Roman" w:hAnsi="Times New Roman" w:cs="Times New Roman" w:hint="eastAsia"/>
          <w:szCs w:val="21"/>
        </w:rPr>
        <w:t xml:space="preserve"> </w:t>
      </w:r>
      <w:r w:rsidR="002B208F" w:rsidRPr="00DD301F">
        <w:rPr>
          <w:rFonts w:ascii="Times New Roman" w:hAnsi="Times New Roman" w:cs="Times New Roman" w:hint="eastAsia"/>
          <w:szCs w:val="21"/>
        </w:rPr>
        <w:t>Dpi, days post infection.</w:t>
      </w:r>
    </w:p>
    <w:p w14:paraId="0FA74ADB" w14:textId="77777777" w:rsidR="008144D6" w:rsidRDefault="008144D6">
      <w:pPr>
        <w:rPr>
          <w:rFonts w:ascii="Times New Roman" w:hAnsi="Times New Roman" w:cs="Times New Roman"/>
        </w:rPr>
      </w:pPr>
      <w:r>
        <w:rPr>
          <w:rFonts w:ascii="Times New Roman" w:hAnsi="Times New Roman" w:cs="Times New Roman"/>
        </w:rPr>
        <w:br w:type="page"/>
      </w:r>
    </w:p>
    <w:p w14:paraId="2104EECD" w14:textId="4A0F2491" w:rsidR="00D60C80" w:rsidRDefault="00EB0773" w:rsidP="008144D6">
      <w:pPr>
        <w:pStyle w:val="a7"/>
        <w:rPr>
          <w:rFonts w:ascii="Times New Roman" w:hAnsi="Times New Roman" w:cs="Times New Roman"/>
        </w:rPr>
      </w:pPr>
      <w:r>
        <w:rPr>
          <w:noProof/>
        </w:rPr>
        <w:lastRenderedPageBreak/>
        <w:drawing>
          <wp:inline distT="0" distB="0" distL="0" distR="0" wp14:anchorId="37C174D7" wp14:editId="4BE792B6">
            <wp:extent cx="5274310" cy="7990205"/>
            <wp:effectExtent l="0" t="0" r="0" b="0"/>
            <wp:docPr id="10410576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7990205"/>
                    </a:xfrm>
                    <a:prstGeom prst="rect">
                      <a:avLst/>
                    </a:prstGeom>
                    <a:noFill/>
                    <a:ln>
                      <a:noFill/>
                    </a:ln>
                  </pic:spPr>
                </pic:pic>
              </a:graphicData>
            </a:graphic>
          </wp:inline>
        </w:drawing>
      </w:r>
    </w:p>
    <w:p w14:paraId="064E82D0" w14:textId="167DE832" w:rsidR="00D60C80" w:rsidRDefault="008144D6" w:rsidP="00C15BDE">
      <w:pPr>
        <w:spacing w:line="240" w:lineRule="auto"/>
        <w:rPr>
          <w:rFonts w:ascii="Times New Roman" w:hAnsi="Times New Roman" w:cs="Times New Roman"/>
        </w:rPr>
      </w:pPr>
      <w:r w:rsidRPr="008144D6">
        <w:rPr>
          <w:rFonts w:ascii="Times New Roman" w:hAnsi="Times New Roman" w:cs="Times New Roman" w:hint="eastAsia"/>
          <w:b/>
          <w:bCs/>
        </w:rPr>
        <w:t xml:space="preserve">Figure S1. </w:t>
      </w:r>
      <w:r w:rsidR="002B208F" w:rsidRPr="002B208F">
        <w:rPr>
          <w:rFonts w:ascii="Times New Roman" w:hAnsi="Times New Roman" w:cs="Times New Roman"/>
          <w:b/>
          <w:bCs/>
        </w:rPr>
        <w:t xml:space="preserve">HE staining of the </w:t>
      </w:r>
      <w:r w:rsidR="002B208F">
        <w:rPr>
          <w:rFonts w:ascii="Times New Roman" w:hAnsi="Times New Roman" w:cs="Times New Roman" w:hint="eastAsia"/>
          <w:b/>
          <w:bCs/>
        </w:rPr>
        <w:t>tissue</w:t>
      </w:r>
      <w:r w:rsidR="002B208F" w:rsidRPr="002B208F">
        <w:rPr>
          <w:rFonts w:ascii="Times New Roman" w:hAnsi="Times New Roman" w:cs="Times New Roman"/>
          <w:b/>
          <w:bCs/>
        </w:rPr>
        <w:t xml:space="preserve">s of </w:t>
      </w:r>
      <w:r w:rsidR="002B208F" w:rsidRPr="008144D6">
        <w:rPr>
          <w:rFonts w:ascii="Times New Roman" w:hAnsi="Times New Roman" w:cs="Times New Roman"/>
          <w:b/>
          <w:bCs/>
        </w:rPr>
        <w:t>Lymphocytic choriomeningitis virus (LCMV)</w:t>
      </w:r>
      <w:r w:rsidR="002B208F" w:rsidRPr="002B208F">
        <w:rPr>
          <w:rFonts w:ascii="Times New Roman" w:hAnsi="Times New Roman" w:cs="Times New Roman"/>
          <w:b/>
          <w:bCs/>
        </w:rPr>
        <w:t>-infected and mock-infected mice</w:t>
      </w:r>
      <w:r w:rsidRPr="008144D6">
        <w:rPr>
          <w:rFonts w:ascii="Times New Roman" w:hAnsi="Times New Roman" w:cs="Times New Roman"/>
          <w:b/>
          <w:bCs/>
        </w:rPr>
        <w:t>.</w:t>
      </w:r>
      <w:r w:rsidRPr="008144D6">
        <w:rPr>
          <w:rFonts w:ascii="Times New Roman" w:hAnsi="Times New Roman" w:cs="Times New Roman"/>
        </w:rPr>
        <w:t xml:space="preserve"> Four-week-old wild-type male (N=4) BALB/c mice inoculated intraperitoneally with 3.5×10</w:t>
      </w:r>
      <w:r w:rsidRPr="008144D6">
        <w:rPr>
          <w:rFonts w:ascii="Times New Roman" w:hAnsi="Times New Roman" w:cs="Times New Roman"/>
          <w:vertAlign w:val="superscript"/>
        </w:rPr>
        <w:t>5</w:t>
      </w:r>
      <w:r w:rsidRPr="008144D6">
        <w:rPr>
          <w:rFonts w:ascii="Times New Roman" w:hAnsi="Times New Roman" w:cs="Times New Roman"/>
        </w:rPr>
        <w:t xml:space="preserve"> PFU LCMV were sacrificed at 5 and 15 dpi for pathology </w:t>
      </w:r>
      <w:r w:rsidRPr="008144D6">
        <w:rPr>
          <w:rFonts w:ascii="Times New Roman" w:hAnsi="Times New Roman" w:cs="Times New Roman"/>
        </w:rPr>
        <w:lastRenderedPageBreak/>
        <w:t xml:space="preserve">observation. Same number of male mice were inoculated intraperitoneally with DMEM. </w:t>
      </w:r>
      <w:r w:rsidR="006C5097" w:rsidRPr="006C5097">
        <w:rPr>
          <w:rFonts w:ascii="Times New Roman" w:hAnsi="Times New Roman" w:cs="Times New Roman" w:hint="eastAsia"/>
        </w:rPr>
        <w:t>I</w:t>
      </w:r>
      <w:r w:rsidRPr="006C5097">
        <w:rPr>
          <w:rFonts w:ascii="Times New Roman" w:hAnsi="Times New Roman" w:cs="Times New Roman"/>
        </w:rPr>
        <w:t xml:space="preserve">nfiltration of </w:t>
      </w:r>
      <w:r w:rsidR="006C5097" w:rsidRPr="006C5097">
        <w:rPr>
          <w:rFonts w:ascii="Times New Roman" w:hAnsi="Times New Roman" w:cs="Times New Roman"/>
        </w:rPr>
        <w:t>lymphocytes</w:t>
      </w:r>
      <w:r w:rsidR="006C5097" w:rsidRPr="006C5097">
        <w:rPr>
          <w:rFonts w:ascii="Times New Roman" w:hAnsi="Times New Roman" w:cs="Times New Roman" w:hint="eastAsia"/>
        </w:rPr>
        <w:t xml:space="preserve"> and </w:t>
      </w:r>
      <w:r w:rsidRPr="006C5097">
        <w:rPr>
          <w:rFonts w:ascii="Times New Roman" w:hAnsi="Times New Roman" w:cs="Times New Roman"/>
        </w:rPr>
        <w:t xml:space="preserve">neutrophils </w:t>
      </w:r>
      <w:r w:rsidR="006C5097" w:rsidRPr="006C5097">
        <w:rPr>
          <w:rFonts w:ascii="Times New Roman" w:hAnsi="Times New Roman" w:cs="Times New Roman" w:hint="eastAsia"/>
        </w:rPr>
        <w:t>are</w:t>
      </w:r>
      <w:r w:rsidRPr="006C5097">
        <w:rPr>
          <w:rFonts w:ascii="Times New Roman" w:hAnsi="Times New Roman" w:cs="Times New Roman"/>
        </w:rPr>
        <w:t xml:space="preserve"> labeled with </w:t>
      </w:r>
      <w:r w:rsidR="006C5097" w:rsidRPr="006C5097">
        <w:rPr>
          <w:rFonts w:ascii="Times New Roman" w:hAnsi="Times New Roman" w:cs="Times New Roman" w:hint="eastAsia"/>
        </w:rPr>
        <w:t>yellow</w:t>
      </w:r>
      <w:r w:rsidRPr="006C5097">
        <w:rPr>
          <w:rFonts w:ascii="Times New Roman" w:hAnsi="Times New Roman" w:cs="Times New Roman"/>
        </w:rPr>
        <w:t xml:space="preserve"> arrows.</w:t>
      </w:r>
    </w:p>
    <w:p w14:paraId="598E0C9C" w14:textId="77777777" w:rsidR="008144D6" w:rsidRDefault="008144D6" w:rsidP="008144D6">
      <w:pPr>
        <w:spacing w:line="360" w:lineRule="auto"/>
        <w:rPr>
          <w:rFonts w:ascii="Times New Roman" w:hAnsi="Times New Roman" w:cs="Times New Roman"/>
        </w:rPr>
      </w:pPr>
    </w:p>
    <w:p w14:paraId="7CA1E1BD" w14:textId="77777777" w:rsidR="008144D6" w:rsidRDefault="008144D6">
      <w:pPr>
        <w:rPr>
          <w:rFonts w:ascii="Times New Roman" w:hAnsi="Times New Roman" w:cs="Times New Roman"/>
        </w:rPr>
      </w:pPr>
    </w:p>
    <w:p w14:paraId="7CFE7154" w14:textId="03444B54" w:rsidR="00D60C80" w:rsidRPr="00D60C80" w:rsidRDefault="008144D6" w:rsidP="00D60C80">
      <w:pPr>
        <w:pStyle w:val="a7"/>
        <w:rPr>
          <w:rFonts w:ascii="Times New Roman" w:hAnsi="Times New Roman" w:cs="Times New Roman"/>
        </w:rPr>
      </w:pPr>
      <w:r>
        <w:rPr>
          <w:noProof/>
        </w:rPr>
        <w:drawing>
          <wp:inline distT="0" distB="0" distL="0" distR="0" wp14:anchorId="68110A87" wp14:editId="4BDE39FD">
            <wp:extent cx="5274310" cy="5386705"/>
            <wp:effectExtent l="0" t="0" r="0" b="0"/>
            <wp:docPr id="1197101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5386705"/>
                    </a:xfrm>
                    <a:prstGeom prst="rect">
                      <a:avLst/>
                    </a:prstGeom>
                    <a:noFill/>
                    <a:ln>
                      <a:noFill/>
                    </a:ln>
                  </pic:spPr>
                </pic:pic>
              </a:graphicData>
            </a:graphic>
          </wp:inline>
        </w:drawing>
      </w:r>
    </w:p>
    <w:p w14:paraId="2CBC7A9B" w14:textId="60740D26" w:rsidR="00D60C80" w:rsidRPr="00D60C80" w:rsidRDefault="00D60C80" w:rsidP="00D60C80">
      <w:pPr>
        <w:pStyle w:val="a7"/>
        <w:rPr>
          <w:rFonts w:ascii="Times New Roman" w:hAnsi="Times New Roman" w:cs="Times New Roman"/>
        </w:rPr>
      </w:pPr>
      <w:r w:rsidRPr="006C5097">
        <w:rPr>
          <w:rFonts w:ascii="Times New Roman" w:hAnsi="Times New Roman" w:cs="Times New Roman"/>
          <w:b/>
          <w:bCs/>
        </w:rPr>
        <w:t>Figure S</w:t>
      </w:r>
      <w:r w:rsidR="0051055C" w:rsidRPr="006C5097">
        <w:rPr>
          <w:rFonts w:ascii="Times New Roman" w:hAnsi="Times New Roman" w:cs="Times New Roman" w:hint="eastAsia"/>
          <w:b/>
          <w:bCs/>
        </w:rPr>
        <w:t>2</w:t>
      </w:r>
      <w:r w:rsidRPr="006C5097">
        <w:rPr>
          <w:rFonts w:ascii="Times New Roman" w:hAnsi="Times New Roman" w:cs="Times New Roman"/>
          <w:b/>
          <w:bCs/>
        </w:rPr>
        <w:t xml:space="preserve">. </w:t>
      </w:r>
      <w:r w:rsidR="006C5097" w:rsidRPr="006C5097">
        <w:rPr>
          <w:rFonts w:ascii="Times New Roman" w:hAnsi="Times New Roman" w:cs="Times New Roman"/>
          <w:b/>
          <w:bCs/>
        </w:rPr>
        <w:t>Pro-inflammatory immune responses induced by lymphocytic choriomeningitis virus (LCMV) strain JX14 in BALB/c mice.</w:t>
      </w:r>
      <w:r w:rsidR="006C5097" w:rsidRPr="006C5097">
        <w:rPr>
          <w:rFonts w:ascii="Times New Roman" w:hAnsi="Times New Roman" w:cs="Times New Roman"/>
        </w:rPr>
        <w:t xml:space="preserve"> Four-week-old wild-type male (N=3) and female (N=3) BALB/c mice inoculated intraperitoneally with 3.5×10</w:t>
      </w:r>
      <w:r w:rsidR="006C5097" w:rsidRPr="007C0F47">
        <w:rPr>
          <w:rFonts w:ascii="Times New Roman" w:hAnsi="Times New Roman" w:cs="Times New Roman"/>
          <w:vertAlign w:val="superscript"/>
        </w:rPr>
        <w:t>5</w:t>
      </w:r>
      <w:r w:rsidR="006C5097" w:rsidRPr="006C5097">
        <w:rPr>
          <w:rFonts w:ascii="Times New Roman" w:hAnsi="Times New Roman" w:cs="Times New Roman"/>
        </w:rPr>
        <w:t xml:space="preserve"> PFU LCMV were sacrificed at 3, 5, 7, 10, 15, 30 dpi for serum collection. Same number of male and female mice were inoculated intraperitoneally with DMEM. Study performed twice. Serum samples from the male and female infected mice or control mice were analyzed for cytokines and chemokines. Statistical comparison was conducted using Kruskal-</w:t>
      </w:r>
      <w:proofErr w:type="gramStart"/>
      <w:r w:rsidR="006C5097" w:rsidRPr="006C5097">
        <w:rPr>
          <w:rFonts w:ascii="Times New Roman" w:hAnsi="Times New Roman" w:cs="Times New Roman"/>
        </w:rPr>
        <w:t>Wallis</w:t>
      </w:r>
      <w:proofErr w:type="gramEnd"/>
      <w:r w:rsidR="006C5097" w:rsidRPr="006C5097">
        <w:rPr>
          <w:rFonts w:ascii="Times New Roman" w:hAnsi="Times New Roman" w:cs="Times New Roman"/>
        </w:rPr>
        <w:t xml:space="preserve"> rank-sum test in IBM SPSS Statistics 19.0.</w:t>
      </w:r>
    </w:p>
    <w:sectPr w:rsidR="00D60C80" w:rsidRPr="00D60C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4F99D1" w14:textId="77777777" w:rsidR="00BA4B2B" w:rsidRDefault="00BA4B2B" w:rsidP="00352C44">
      <w:pPr>
        <w:spacing w:line="240" w:lineRule="auto"/>
        <w:rPr>
          <w:rFonts w:hint="eastAsia"/>
        </w:rPr>
      </w:pPr>
      <w:r>
        <w:separator/>
      </w:r>
    </w:p>
  </w:endnote>
  <w:endnote w:type="continuationSeparator" w:id="0">
    <w:p w14:paraId="3DAB0ED3" w14:textId="77777777" w:rsidR="00BA4B2B" w:rsidRDefault="00BA4B2B" w:rsidP="00352C44">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A2F71E" w14:textId="77777777" w:rsidR="00BA4B2B" w:rsidRDefault="00BA4B2B" w:rsidP="00352C44">
      <w:pPr>
        <w:spacing w:line="240" w:lineRule="auto"/>
        <w:rPr>
          <w:rFonts w:hint="eastAsia"/>
        </w:rPr>
      </w:pPr>
      <w:r>
        <w:separator/>
      </w:r>
    </w:p>
  </w:footnote>
  <w:footnote w:type="continuationSeparator" w:id="0">
    <w:p w14:paraId="0E924045" w14:textId="77777777" w:rsidR="00BA4B2B" w:rsidRDefault="00BA4B2B" w:rsidP="00352C44">
      <w:pPr>
        <w:spacing w:line="240" w:lineRule="auto"/>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3F31FC"/>
    <w:rsid w:val="000B64C5"/>
    <w:rsid w:val="001164E5"/>
    <w:rsid w:val="00282D7D"/>
    <w:rsid w:val="002B208F"/>
    <w:rsid w:val="00317074"/>
    <w:rsid w:val="0034071B"/>
    <w:rsid w:val="00352C44"/>
    <w:rsid w:val="003F1083"/>
    <w:rsid w:val="003F31FC"/>
    <w:rsid w:val="00475DE7"/>
    <w:rsid w:val="00496E31"/>
    <w:rsid w:val="0051055C"/>
    <w:rsid w:val="0058343A"/>
    <w:rsid w:val="005D6BC9"/>
    <w:rsid w:val="0067427D"/>
    <w:rsid w:val="006C5097"/>
    <w:rsid w:val="007C0F47"/>
    <w:rsid w:val="008144D6"/>
    <w:rsid w:val="008568B9"/>
    <w:rsid w:val="00881002"/>
    <w:rsid w:val="008E2C5A"/>
    <w:rsid w:val="009B2E21"/>
    <w:rsid w:val="00A21AAD"/>
    <w:rsid w:val="00A40CC5"/>
    <w:rsid w:val="00BA4B2B"/>
    <w:rsid w:val="00C15BDE"/>
    <w:rsid w:val="00C32CC1"/>
    <w:rsid w:val="00C717D0"/>
    <w:rsid w:val="00D32980"/>
    <w:rsid w:val="00D60C80"/>
    <w:rsid w:val="00D928B5"/>
    <w:rsid w:val="00DD301F"/>
    <w:rsid w:val="00E43592"/>
    <w:rsid w:val="00E46BA0"/>
    <w:rsid w:val="00EB0773"/>
    <w:rsid w:val="00EE3A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0E8726"/>
  <w15:chartTrackingRefBased/>
  <w15:docId w15:val="{5B78529F-349C-4EBD-8874-202C27EA1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pPr>
        <w:spacing w:line="540" w:lineRule="exac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52C44"/>
    <w:pPr>
      <w:tabs>
        <w:tab w:val="center" w:pos="4153"/>
        <w:tab w:val="right" w:pos="8306"/>
      </w:tabs>
      <w:snapToGrid w:val="0"/>
      <w:spacing w:line="240" w:lineRule="atLeast"/>
      <w:jc w:val="center"/>
    </w:pPr>
    <w:rPr>
      <w:sz w:val="18"/>
      <w:szCs w:val="18"/>
    </w:rPr>
  </w:style>
  <w:style w:type="character" w:customStyle="1" w:styleId="a4">
    <w:name w:val="页眉 字符"/>
    <w:basedOn w:val="a0"/>
    <w:link w:val="a3"/>
    <w:uiPriority w:val="99"/>
    <w:rsid w:val="00352C44"/>
    <w:rPr>
      <w:sz w:val="18"/>
      <w:szCs w:val="18"/>
    </w:rPr>
  </w:style>
  <w:style w:type="paragraph" w:styleId="a5">
    <w:name w:val="footer"/>
    <w:basedOn w:val="a"/>
    <w:link w:val="a6"/>
    <w:uiPriority w:val="99"/>
    <w:unhideWhenUsed/>
    <w:rsid w:val="00352C44"/>
    <w:pPr>
      <w:tabs>
        <w:tab w:val="center" w:pos="4153"/>
        <w:tab w:val="right" w:pos="8306"/>
      </w:tabs>
      <w:snapToGrid w:val="0"/>
      <w:spacing w:line="240" w:lineRule="atLeast"/>
      <w:jc w:val="left"/>
    </w:pPr>
    <w:rPr>
      <w:sz w:val="18"/>
      <w:szCs w:val="18"/>
    </w:rPr>
  </w:style>
  <w:style w:type="character" w:customStyle="1" w:styleId="a6">
    <w:name w:val="页脚 字符"/>
    <w:basedOn w:val="a0"/>
    <w:link w:val="a5"/>
    <w:uiPriority w:val="99"/>
    <w:rsid w:val="00352C44"/>
    <w:rPr>
      <w:sz w:val="18"/>
      <w:szCs w:val="18"/>
    </w:rPr>
  </w:style>
  <w:style w:type="paragraph" w:styleId="a7">
    <w:name w:val="No Spacing"/>
    <w:uiPriority w:val="1"/>
    <w:qFormat/>
    <w:rsid w:val="00D60C80"/>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90964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3</Pages>
  <Words>350</Words>
  <Characters>2000</Characters>
  <Application>Microsoft Office Word</Application>
  <DocSecurity>0</DocSecurity>
  <Lines>16</Lines>
  <Paragraphs>4</Paragraphs>
  <ScaleCrop>false</ScaleCrop>
  <Company/>
  <LinksUpToDate>false</LinksUpToDate>
  <CharactersWithSpaces>2346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Dengfeng6699@outlook.com</dc:creator>
  <cp:keywords/>
  <dc:description/>
  <cp:lastModifiedBy>Ziyan Liu</cp:lastModifiedBy>
  <cp:revision>7</cp:revision>
  <dcterms:created xsi:type="dcterms:W3CDTF">2024-03-30T02:56:00Z</dcterms:created>
  <dcterms:modified xsi:type="dcterms:W3CDTF">2024-07-31T05:55:00Z</dcterms:modified>
</cp:coreProperties>
</file>