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0" w:lineRule="atLeast"/>
        <w:rPr>
          <w:rFonts w:eastAsia="宋体" w:cs="Times New Roman"/>
        </w:rPr>
      </w:pPr>
      <w:r>
        <w:rPr>
          <w:rFonts w:eastAsia="宋体" w:cs="Times New Roman"/>
        </w:rPr>
        <w:drawing>
          <wp:inline distT="0" distB="0" distL="114300" distR="114300">
            <wp:extent cx="4788535" cy="3788410"/>
            <wp:effectExtent l="0" t="0" r="12065" b="2540"/>
            <wp:docPr id="1" name="图片 1" descr="GmFUL.alignment.pdf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mFUL.alignment.pdf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eastAsia="宋体" w:cs="Times New Roman"/>
          <w:lang w:val="en"/>
        </w:rPr>
      </w:pPr>
      <w:r>
        <w:rPr>
          <w:rFonts w:eastAsia="宋体" w:cs="Times New Roman"/>
          <w:b/>
          <w:bCs/>
          <w:sz w:val="24"/>
          <w:szCs w:val="24"/>
        </w:rPr>
        <w:t>Supplementary Figure 1. GmFUL</w:t>
      </w:r>
      <w:r>
        <w:rPr>
          <w:rFonts w:hint="eastAsia" w:eastAsia="宋体" w:cs="Times New Roman"/>
          <w:b/>
          <w:bCs/>
          <w:sz w:val="24"/>
          <w:szCs w:val="24"/>
        </w:rPr>
        <w:t xml:space="preserve">a are highly conserved with three homologs especially GmFULb. </w:t>
      </w:r>
      <w:r>
        <w:rPr>
          <w:rFonts w:hint="eastAsia" w:eastAsia="宋体" w:cs="Times New Roman"/>
          <w:sz w:val="24"/>
          <w:szCs w:val="24"/>
        </w:rPr>
        <w:t>MADS_MEF2_like and K-box</w:t>
      </w:r>
      <w:r>
        <w:rPr>
          <w:rFonts w:eastAsia="宋体" w:cs="Times New Roman"/>
          <w:sz w:val="24"/>
          <w:szCs w:val="24"/>
        </w:rPr>
        <w:t xml:space="preserve"> conserved</w:t>
      </w:r>
      <w:r>
        <w:rPr>
          <w:rFonts w:hint="eastAsia" w:eastAsia="宋体" w:cs="Times New Roman"/>
          <w:sz w:val="24"/>
          <w:szCs w:val="24"/>
        </w:rPr>
        <w:t xml:space="preserve"> domains are shown in a dark-grey bar and a grey bar, </w:t>
      </w:r>
      <w:r>
        <w:rPr>
          <w:rFonts w:eastAsia="宋体" w:cs="Times New Roman"/>
          <w:sz w:val="24"/>
          <w:szCs w:val="24"/>
        </w:rPr>
        <w:t>respectively</w:t>
      </w:r>
      <w:r>
        <w:rPr>
          <w:rFonts w:hint="eastAsia" w:eastAsia="宋体" w:cs="Times New Roman"/>
          <w:sz w:val="24"/>
          <w:szCs w:val="24"/>
        </w:rPr>
        <w:t xml:space="preserve">. </w:t>
      </w:r>
      <w:r>
        <w:rPr>
          <w:rFonts w:hint="default" w:eastAsia="宋体" w:cs="Times New Roman"/>
          <w:sz w:val="24"/>
          <w:szCs w:val="24"/>
          <w:lang w:val="en"/>
        </w:rPr>
        <w:t>Identical, conserve, and similar amino acids are colored by yellow, light-blue and green.</w:t>
      </w:r>
    </w:p>
    <w:p>
      <w:pPr>
        <w:rPr>
          <w:rFonts w:eastAsia="宋体" w:cs="Times New Roman"/>
          <w:sz w:val="24"/>
          <w:szCs w:val="24"/>
        </w:rPr>
      </w:pPr>
      <w:r>
        <w:rPr>
          <w:rFonts w:eastAsia="宋体" w:cs="Times New Roman"/>
          <w:sz w:val="24"/>
          <w:szCs w:val="24"/>
        </w:rPr>
        <w:br w:type="page"/>
      </w:r>
    </w:p>
    <w:p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>
        <w:rPr>
          <w:rFonts w:eastAsia="宋体" w:cs="Times New Roman"/>
          <w:sz w:val="24"/>
          <w:szCs w:val="24"/>
        </w:rPr>
        <w:drawing>
          <wp:inline distT="0" distB="0" distL="0" distR="0">
            <wp:extent cx="3429000" cy="2527300"/>
            <wp:effectExtent l="0" t="0" r="0" b="6350"/>
            <wp:docPr id="8" name="图片 2" descr="C:\Users\lenovo\AppData\Local\Temp\1600740100(1)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C:\Users\lenovo\AppData\Local\Temp\1600740100(1).png"/>
                    <pic:cNvPicPr>
                      <a:picLocks noChangeAspect="true" noChangeArrowheads="true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eastAsia="宋体" w:cs="Times New Roman"/>
          <w:sz w:val="24"/>
          <w:szCs w:val="24"/>
        </w:rPr>
      </w:pPr>
      <w:r>
        <w:rPr>
          <w:rFonts w:eastAsia="宋体" w:cs="Times New Roman"/>
          <w:b/>
          <w:bCs/>
          <w:sz w:val="24"/>
          <w:szCs w:val="24"/>
        </w:rPr>
        <w:t xml:space="preserve">Supplementary Figure </w:t>
      </w:r>
      <w:r>
        <w:rPr>
          <w:rFonts w:hint="eastAsia" w:eastAsia="宋体" w:cs="Times New Roman"/>
          <w:b/>
          <w:bCs/>
          <w:sz w:val="24"/>
          <w:szCs w:val="24"/>
        </w:rPr>
        <w:t>2</w:t>
      </w:r>
      <w:r>
        <w:rPr>
          <w:rFonts w:eastAsia="宋体" w:cs="Times New Roman"/>
          <w:b/>
          <w:bCs/>
          <w:sz w:val="24"/>
          <w:szCs w:val="24"/>
        </w:rPr>
        <w:t>. Identificationof transgenic plant</w:t>
      </w:r>
      <w:r>
        <w:rPr>
          <w:rFonts w:hint="eastAsia" w:eastAsia="宋体" w:cs="Times New Roman"/>
          <w:b/>
          <w:bCs/>
          <w:sz w:val="24"/>
          <w:szCs w:val="24"/>
        </w:rPr>
        <w:t>s</w:t>
      </w:r>
      <w:r>
        <w:rPr>
          <w:rFonts w:eastAsia="宋体" w:cs="Times New Roman"/>
          <w:b/>
          <w:bCs/>
          <w:sz w:val="24"/>
          <w:szCs w:val="24"/>
        </w:rPr>
        <w:t xml:space="preserve">. </w:t>
      </w:r>
      <w:r>
        <w:rPr>
          <w:rFonts w:eastAsia="宋体" w:cs="Times New Roman"/>
          <w:bCs/>
          <w:sz w:val="24"/>
          <w:szCs w:val="24"/>
        </w:rPr>
        <w:t xml:space="preserve">(a) PCR detection of </w:t>
      </w:r>
      <w:r>
        <w:rPr>
          <w:rFonts w:hint="eastAsia" w:eastAsia="宋体" w:cs="Times New Roman"/>
          <w:bCs/>
          <w:sz w:val="24"/>
          <w:szCs w:val="24"/>
        </w:rPr>
        <w:t>independent transgenic events</w:t>
      </w:r>
      <w:r>
        <w:rPr>
          <w:rFonts w:eastAsia="宋体" w:cs="Times New Roman"/>
          <w:bCs/>
          <w:sz w:val="24"/>
          <w:szCs w:val="24"/>
        </w:rPr>
        <w:t>. ZG</w:t>
      </w:r>
      <w:r>
        <w:rPr>
          <w:rFonts w:hint="eastAsia" w:eastAsia="宋体" w:cs="Times New Roman"/>
          <w:bCs/>
          <w:sz w:val="24"/>
          <w:szCs w:val="24"/>
        </w:rPr>
        <w:t xml:space="preserve">, </w:t>
      </w:r>
      <w:r>
        <w:rPr>
          <w:rFonts w:eastAsia="宋体" w:cs="Times New Roman"/>
          <w:bCs/>
          <w:sz w:val="24"/>
          <w:szCs w:val="24"/>
        </w:rPr>
        <w:t>wildtype Zigongdongdou (transgenic receptor)</w:t>
      </w:r>
      <w:r>
        <w:rPr>
          <w:rFonts w:hint="eastAsia" w:eastAsia="宋体" w:cs="Times New Roman"/>
          <w:bCs/>
          <w:sz w:val="24"/>
          <w:szCs w:val="24"/>
        </w:rPr>
        <w:t>.</w:t>
      </w:r>
      <w:r>
        <w:rPr>
          <w:rFonts w:eastAsia="宋体" w:cs="Times New Roman"/>
          <w:bCs/>
          <w:sz w:val="24"/>
          <w:szCs w:val="24"/>
        </w:rPr>
        <w:t xml:space="preserve"> 64, 94,123</w:t>
      </w:r>
      <w:r>
        <w:rPr>
          <w:rFonts w:hint="eastAsia" w:eastAsia="宋体" w:cs="Times New Roman"/>
          <w:bCs/>
          <w:sz w:val="24"/>
          <w:szCs w:val="24"/>
        </w:rPr>
        <w:t xml:space="preserve"> and </w:t>
      </w:r>
      <w:r>
        <w:rPr>
          <w:rFonts w:eastAsia="宋体" w:cs="Times New Roman"/>
          <w:bCs/>
          <w:sz w:val="24"/>
          <w:szCs w:val="24"/>
        </w:rPr>
        <w:t>160</w:t>
      </w:r>
      <w:r>
        <w:rPr>
          <w:rFonts w:hint="eastAsia" w:eastAsia="宋体" w:cs="Times New Roman"/>
          <w:bCs/>
          <w:sz w:val="24"/>
          <w:szCs w:val="24"/>
        </w:rPr>
        <w:t xml:space="preserve"> are transgenic events of FU64, FU94, FU123 and FU160</w:t>
      </w:r>
      <w:r>
        <w:rPr>
          <w:rFonts w:eastAsia="宋体" w:cs="Times New Roman"/>
          <w:bCs/>
          <w:sz w:val="24"/>
          <w:szCs w:val="24"/>
        </w:rPr>
        <w:t>,</w:t>
      </w:r>
      <w:r>
        <w:rPr>
          <w:rFonts w:hint="eastAsia" w:eastAsia="宋体" w:cs="Times New Roman"/>
          <w:bCs/>
          <w:sz w:val="24"/>
          <w:szCs w:val="24"/>
        </w:rPr>
        <w:t xml:space="preserve"> respect</w:t>
      </w:r>
      <w:r>
        <w:rPr>
          <w:rFonts w:eastAsia="宋体" w:cs="Times New Roman"/>
          <w:bCs/>
          <w:sz w:val="24"/>
          <w:szCs w:val="24"/>
        </w:rPr>
        <w:t>ively</w:t>
      </w:r>
      <w:r>
        <w:rPr>
          <w:rFonts w:hint="eastAsia" w:eastAsia="宋体" w:cs="Times New Roman"/>
          <w:bCs/>
          <w:sz w:val="24"/>
          <w:szCs w:val="24"/>
        </w:rPr>
        <w:t xml:space="preserve">. </w:t>
      </w:r>
      <w:r>
        <w:rPr>
          <w:rFonts w:eastAsia="宋体" w:cs="Times New Roman"/>
          <w:sz w:val="24"/>
          <w:szCs w:val="24"/>
        </w:rPr>
        <w:t>M</w:t>
      </w:r>
      <w:r>
        <w:rPr>
          <w:rFonts w:hint="eastAsia" w:eastAsia="宋体" w:cs="Times New Roman"/>
          <w:sz w:val="24"/>
          <w:szCs w:val="24"/>
        </w:rPr>
        <w:t>,</w:t>
      </w:r>
      <w:r>
        <w:rPr>
          <w:rFonts w:eastAsia="宋体" w:cs="Times New Roman"/>
          <w:sz w:val="24"/>
          <w:szCs w:val="24"/>
        </w:rPr>
        <w:t xml:space="preserve"> DNA molecular standard. –</w:t>
      </w:r>
      <w:r>
        <w:rPr>
          <w:rFonts w:hint="eastAsia" w:eastAsia="宋体" w:cs="Times New Roman"/>
          <w:sz w:val="24"/>
          <w:szCs w:val="24"/>
        </w:rPr>
        <w:t>,</w:t>
      </w:r>
      <w:r>
        <w:rPr>
          <w:rFonts w:eastAsia="宋体" w:cs="Times New Roman"/>
          <w:sz w:val="24"/>
          <w:szCs w:val="24"/>
        </w:rPr>
        <w:t xml:space="preserve"> negative control (ddH</w:t>
      </w:r>
      <w:r>
        <w:rPr>
          <w:rFonts w:eastAsia="宋体" w:cs="Times New Roman"/>
          <w:sz w:val="24"/>
          <w:szCs w:val="24"/>
          <w:vertAlign w:val="subscript"/>
        </w:rPr>
        <w:t>2</w:t>
      </w:r>
      <w:r>
        <w:rPr>
          <w:rFonts w:eastAsia="宋体" w:cs="Times New Roman"/>
          <w:sz w:val="24"/>
          <w:szCs w:val="24"/>
        </w:rPr>
        <w:t>O). +</w:t>
      </w:r>
      <w:r>
        <w:rPr>
          <w:rFonts w:hint="eastAsia" w:eastAsia="宋体" w:cs="Times New Roman"/>
          <w:sz w:val="24"/>
          <w:szCs w:val="24"/>
        </w:rPr>
        <w:t>,</w:t>
      </w:r>
      <w:r>
        <w:rPr>
          <w:rFonts w:eastAsia="宋体" w:cs="Times New Roman"/>
          <w:sz w:val="24"/>
          <w:szCs w:val="24"/>
        </w:rPr>
        <w:t xml:space="preserve"> positive control (plasmid pTF101-GmFULa).</w:t>
      </w:r>
      <w:r>
        <w:rPr>
          <w:rFonts w:eastAsia="宋体" w:cs="Times New Roman"/>
          <w:bCs/>
          <w:sz w:val="24"/>
          <w:szCs w:val="24"/>
        </w:rPr>
        <w:t xml:space="preserve">(b) Screening of transgenic </w:t>
      </w:r>
      <w:r>
        <w:rPr>
          <w:rFonts w:hint="eastAsia" w:eastAsia="宋体" w:cs="Times New Roman"/>
          <w:bCs/>
          <w:sz w:val="24"/>
          <w:szCs w:val="24"/>
        </w:rPr>
        <w:t xml:space="preserve">events </w:t>
      </w:r>
      <w:r>
        <w:rPr>
          <w:rFonts w:eastAsia="宋体" w:cs="Times New Roman"/>
          <w:bCs/>
          <w:sz w:val="24"/>
          <w:szCs w:val="24"/>
        </w:rPr>
        <w:t xml:space="preserve">with glufosinate. </w:t>
      </w:r>
      <w:r>
        <w:rPr>
          <w:rFonts w:hint="eastAsia" w:eastAsia="宋体" w:cs="Times New Roman"/>
          <w:bCs/>
          <w:sz w:val="24"/>
          <w:szCs w:val="24"/>
        </w:rPr>
        <w:t xml:space="preserve">ZGDD, </w:t>
      </w:r>
      <w:r>
        <w:rPr>
          <w:rFonts w:eastAsia="宋体" w:cs="Times New Roman"/>
          <w:bCs/>
          <w:sz w:val="24"/>
          <w:szCs w:val="24"/>
        </w:rPr>
        <w:t>wildtype Zigongdongdou</w:t>
      </w:r>
      <w:r>
        <w:rPr>
          <w:rFonts w:hint="eastAsia" w:eastAsia="宋体" w:cs="Times New Roman"/>
          <w:bCs/>
          <w:sz w:val="24"/>
          <w:szCs w:val="24"/>
        </w:rPr>
        <w:t>. GmFULa, a typical transgenic plant. All t</w:t>
      </w:r>
      <w:r>
        <w:rPr>
          <w:rFonts w:eastAsia="宋体" w:cs="Times New Roman"/>
          <w:sz w:val="24"/>
          <w:szCs w:val="24"/>
        </w:rPr>
        <w:t xml:space="preserve">ransgenic plants </w:t>
      </w:r>
      <w:r>
        <w:rPr>
          <w:rFonts w:hint="eastAsia" w:eastAsia="宋体" w:cs="Times New Roman"/>
          <w:sz w:val="24"/>
          <w:szCs w:val="24"/>
        </w:rPr>
        <w:t xml:space="preserve">are </w:t>
      </w:r>
      <w:r>
        <w:rPr>
          <w:rFonts w:eastAsia="宋体" w:cs="Times New Roman"/>
          <w:sz w:val="24"/>
          <w:szCs w:val="24"/>
        </w:rPr>
        <w:t xml:space="preserve">overexpressing </w:t>
      </w:r>
      <w:r>
        <w:rPr>
          <w:rFonts w:eastAsia="宋体" w:cs="Times New Roman"/>
          <w:i/>
          <w:iCs/>
          <w:sz w:val="24"/>
          <w:szCs w:val="24"/>
        </w:rPr>
        <w:t>GmFULa</w:t>
      </w:r>
      <w:r>
        <w:rPr>
          <w:rFonts w:hint="eastAsia" w:eastAsia="宋体" w:cs="Times New Roman"/>
          <w:i/>
          <w:iCs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under the control of the </w:t>
      </w:r>
      <w:r>
        <w:rPr>
          <w:rFonts w:eastAsia="宋体" w:cs="Times New Roman"/>
          <w:i/>
          <w:iCs/>
          <w:sz w:val="24"/>
          <w:szCs w:val="24"/>
        </w:rPr>
        <w:t>CaMV35S</w:t>
      </w:r>
      <w:r>
        <w:rPr>
          <w:rFonts w:eastAsia="宋体" w:cs="Times New Roman"/>
          <w:sz w:val="24"/>
          <w:szCs w:val="24"/>
        </w:rPr>
        <w:t xml:space="preserve"> promoter.  </w:t>
      </w:r>
    </w:p>
    <w:p>
      <w:pPr>
        <w:rPr>
          <w:rFonts w:eastAsia="宋体" w:cs="Times New Roman"/>
          <w:b/>
          <w:sz w:val="24"/>
          <w:szCs w:val="24"/>
        </w:rPr>
      </w:pPr>
      <w:r>
        <w:rPr>
          <w:rFonts w:eastAsia="宋体" w:cs="Times New Roman"/>
          <w:b/>
          <w:sz w:val="24"/>
          <w:szCs w:val="24"/>
        </w:rPr>
        <w:br w:type="page"/>
      </w:r>
    </w:p>
    <w:p>
      <w:pPr>
        <w:spacing w:line="480" w:lineRule="auto"/>
        <w:jc w:val="center"/>
        <w:rPr>
          <w:rFonts w:eastAsia="宋体" w:cs="Times New Roman"/>
          <w:b/>
          <w:sz w:val="24"/>
          <w:szCs w:val="24"/>
        </w:rPr>
      </w:pPr>
      <w:r>
        <w:rPr>
          <w:rFonts w:eastAsia="宋体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</w:rPr>
        <w:t>1</w:t>
      </w:r>
      <w:r>
        <w:rPr>
          <w:rFonts w:eastAsia="宋体" w:cs="Times New Roman"/>
          <w:b/>
          <w:sz w:val="24"/>
          <w:szCs w:val="24"/>
        </w:rPr>
        <w:t>. Primers used in this study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60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Sequence (5’-3’)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GmFULa-5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TTGGATCCATGGGGAGAGGGAGAGTTCAGTTG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GmFULa-3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TTGTAATCTTCATTTGAAGGACGAAGCATCCAAG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BamHI-FULA-F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CGCGGATCCatggggagaggaagggtgcagttga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FULAnotaa-SacI-R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CGAGCTCttcatttgaaggacgaagcatccaag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BAR506F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CTGAAGTCCAGCTGCCAGAA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BAR506R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ATGAGCCCAGAACGACGC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CaMV35S-F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GCTCCTACAAATGCCATCATTGC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CaMV35S-R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GATAGTGGGATTGTGCGTCATCCC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XbaI-Fula-F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GCTCTAGAATGGGGAGAGGAAGGGTGCAGTTGA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Fula3-GFP5-R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aacagctcctcgcccttgctcaccatTTCATTTGAAGGACGAAGCATCCAA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Fula3-GFP5-F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TTGGATGCTTCGTCCTTCAAATGAAatggtgagcaagggcgaggagctgtt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GFP3-FULA5-R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TTCAACTGCACCCTTCCTCTCCCCATCTTGTACAGCTCGTCCATGCCGAGA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GFP3-FULA5-F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tctcggcatggacgagctgtacaagATGGGGAGAGGAAGGGTGCAGTTGAA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FULA-SacI-R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aps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cgagctcctattcatttgaaggacgaagcatcca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qACT11F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aps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CGGTGGTTCTATCTTGGCATC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sz w:val="20"/>
                <w:szCs w:val="20"/>
              </w:rPr>
              <w:t>qACT11R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等线" w:cs="Times New Roman"/>
                <w:caps/>
                <w:color w:val="000000"/>
                <w:sz w:val="20"/>
                <w:szCs w:val="20"/>
              </w:rPr>
            </w:pPr>
            <w:r>
              <w:rPr>
                <w:rFonts w:eastAsia="等线" w:cs="Times New Roman"/>
                <w:caps/>
                <w:color w:val="000000"/>
                <w:sz w:val="20"/>
                <w:szCs w:val="20"/>
              </w:rPr>
              <w:t>GTCTTTCGCTTCAATAACCCTA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SUS12AANTI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TTCATTATTTTCCTCCATATTATTGTCGTTTAATGAATAG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SUS12BSENSE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GTTAAGAAAACTCTTCTTATTAAAGATAACTAACTAAATT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SUS12BANTI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AATTTAGTTAGTTATCTTTAATAAGAAGAGTTTTCTTAAC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SUS12CSENSE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CTTATTAAGTAGCCACAAAATTAAGAGATTACTTTTAAAC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SUS12CANTI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GTTTAAAAGTAATCTCTTAATTTTGTGGCTACTTAATAAG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SUT5ASENSE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ACATTCAATGTCCAACAATATTTTGGTTAAAGTTACGTAG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SUT5AANTI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CTACGTAACTTTAACCAAAATATTGTTGGACATTGAATGT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SUT5BSENSE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AATCAATAAAGATTACATTAATAAGAGAATTAATTGGCCC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SUT5BNTI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GGGCCAATTAATTCTCTTATTAATGTAATCTTTATTGATT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SUT5CSENSE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kern w:val="0"/>
                <w:sz w:val="20"/>
                <w:szCs w:val="20"/>
              </w:rPr>
              <w:t>AGAAACGGATACGTACATTTTATTGCATGTGACAAATATT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SUT5CANTI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kern w:val="0"/>
                <w:sz w:val="20"/>
                <w:szCs w:val="20"/>
              </w:rPr>
              <w:t>AATATTTGTCACATGCAATAAAATGTACGTATCCGTTTCT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SUT5DSENSE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AATTAGGATAATTTTGTATAAAATCTATGATTTTAATTGT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SUT5DANTI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ACAATTAAAATCATAGATTTTATACAAAATTATCCTAATT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SUT5ESENSE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TGCTGTTTTTGGTGGCAAATATAAGAGACAGTTACCACAT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SUT5EANTI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ATGTGGTAACTGTCTCTTATATTTGCCACCAAAAACAGCA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SUT5FSENSE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ATAAAAATTAAATAAGTAATTAAACTTATTTTTTATATGA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SUT5FANTI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TCATATAAAAAATAAGTTTAATTACTTATTTAATTTTTAT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SUT5GSENSE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TTAATTATTTTTTAGGTTTATTTACTCATTTAAATACTAT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SUT5GANTI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ATAGTATTTAAATGAGTAAATAAACCTAAAAAATAATTAA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CARG-P-SENSE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ATGTTTCAATAATGTCCAAATATGGTAACAAAATACACGT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CARG-P-ANTI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Times New Roman"/>
                <w:caps/>
                <w:color w:val="000000"/>
                <w:kern w:val="0"/>
                <w:sz w:val="20"/>
                <w:szCs w:val="20"/>
              </w:rPr>
              <w:t>ACGTGTATTTTGTTACCATATTTGGACATTATTGAAACAT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GmSUT1-F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CTGCTGCATTGACTTTCTTCTC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GmSUT1-R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CTCCTGAAGTGGTGGAGTATATG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GmSUT2-F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CAGGAGCAGGACAAGGTTTAT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GmSUT2-R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GGAATCCCAAGGACCACTTAAT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GmSUT3-F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GCAATAGTGGTCCCACAGATAA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GmSUT3-R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aps/>
                <w:color w:val="000000"/>
                <w:kern w:val="0"/>
                <w:sz w:val="20"/>
                <w:szCs w:val="20"/>
              </w:rPr>
              <w:t>GTCCACTGATAAGGGCTGAAA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GmSUT4-F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  <w:t>GGACCATGGGATGCTCTATTT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GmSUT4-R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  <w:t>GGAGATGGCAGCAGGATTAT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GmSUT5-F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  <w:t>GCTATAAGTGGACAGTGGGATAAG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GmSUT5-R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color w:val="000000"/>
                <w:kern w:val="0"/>
                <w:sz w:val="20"/>
                <w:szCs w:val="20"/>
              </w:rPr>
              <w:t>AGCAGAACAACCGCTAACA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GmSUT6-F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kern w:val="0"/>
                <w:sz w:val="20"/>
                <w:szCs w:val="20"/>
              </w:rPr>
              <w:t>CGCTTGGGCCTCATTTATTTG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GmSUT6-R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宋体"/>
                <w:caps/>
                <w:kern w:val="0"/>
                <w:sz w:val="20"/>
                <w:szCs w:val="20"/>
              </w:rPr>
            </w:pPr>
            <w:r>
              <w:rPr>
                <w:rFonts w:eastAsia="宋体" w:cs="宋体"/>
                <w:caps/>
                <w:kern w:val="0"/>
                <w:sz w:val="20"/>
                <w:szCs w:val="20"/>
              </w:rPr>
              <w:t>CAAAGACCCGGCTAGGATAAAG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GmSUT7-F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GTGGAAACTTGCCTGCATTC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GmSUT7-R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CCTGACCTCATCAGCTTTCTT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GmSUT8-F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GTCCTACAAAGGTCTCCACAAG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GmSUT8-R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AGCAGCAAGAGGATTGAGAAA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GmSUT9-F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TTCTTCAGGTGCTAGGGAAAG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GmSUT9-R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ACAGCAAGCTCTAGTGTCAAG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ATATGCCTGATGCATTGCGG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GAAGCCAAGAATGCCCTCCA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GmSUS2-F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GGCTCAGGGGAAAGGGATTT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GmSUS2-R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TGGACGAACTGCTATTGCCA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GmSUS3-F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TCACCAAGTGGTTGCAGAGTT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GmSUS3-R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GCCTTGGTCGAACAGCAAGA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GmSUS4-F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CCTTGAAGCAAAGCCGGTTC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GmSUS4-R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GGCCTCACTGCAAAAGCAAT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GmSUS5-F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TGGTACCATGTGAAGAGGTGC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GmSUS5-R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CAAGGTTCCCCTCCAACACT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GmSUS7-F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TGAGGCAGAGCCGGTATCAT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GmSUS7-R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AACAGCTTCCTGTGTGGAGC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GmSUS8-F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aps/>
                <w:color w:val="000000"/>
                <w:kern w:val="0"/>
                <w:sz w:val="20"/>
                <w:szCs w:val="20"/>
              </w:rPr>
              <w:t>GCTGGGGGCAAAGGAATACT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GmSUS8-R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AGGTCTTGGACGCAAAGCTA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GmSUS9-F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AGGGAATCCTGCAACACCAC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GmSUS9-R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CCCGCAGATACTCCCAAACA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GmSUS11-F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CCACCAGGTCATTGCTGAGT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GmSUS11-R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CCTCAACAACAAGAGCGTGC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GmSUS12-F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AGAGGGATTTTGCAACCCCA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GmSUS12-R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AACACCAGGTCTTGGACGAA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GmSUS10-F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CAGATAGCATGCCAGAAGCCT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GmSUS10-R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微软雅黑" w:cs="宋体"/>
                <w:color w:val="000000"/>
                <w:kern w:val="0"/>
                <w:sz w:val="20"/>
                <w:szCs w:val="20"/>
              </w:rPr>
              <w:t>CATATGGTGGAACAACAGCGG</w:t>
            </w:r>
          </w:p>
        </w:tc>
      </w:tr>
    </w:tbl>
    <w:p>
      <w:pPr>
        <w:rPr>
          <w:rFonts w:eastAsia="宋体" w:cs="Times New Roman"/>
          <w:b/>
          <w:sz w:val="24"/>
          <w:szCs w:val="24"/>
        </w:rPr>
      </w:pPr>
      <w:r>
        <w:rPr>
          <w:rFonts w:eastAsia="宋体" w:cs="Times New Roman"/>
          <w:b/>
          <w:sz w:val="24"/>
          <w:szCs w:val="24"/>
        </w:rPr>
        <w:br w:type="page"/>
      </w:r>
    </w:p>
    <w:p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>
        <w:rPr>
          <w:rFonts w:eastAsia="宋体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</w:rPr>
        <w:t>2.</w:t>
      </w:r>
      <w:r>
        <w:rPr>
          <w:rFonts w:eastAsia="宋体" w:cs="Times New Roman"/>
          <w:b/>
          <w:sz w:val="24"/>
          <w:szCs w:val="24"/>
        </w:rPr>
        <w:t xml:space="preserve"> Cytological analysis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846"/>
        <w:gridCol w:w="1228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Metrics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ZGDD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OEGmFULa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Cell number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Upper epidermis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10±1.41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13±1.15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Lower epidermis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13±2.94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11.75±1.25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Palisade tissue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25.5±0.70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32±2.48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Spongy tissue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10.5±0.70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7.5±2.12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Cell area (µm²)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Upper epidermis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2963±498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2512±815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Lower epidermis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3351±221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2220±644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Palisade tissue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14942±4373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18050±3405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Spongy tissue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11150±3545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15726±6129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Thickness of the midrib (mm)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0.89±0.07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0.84±0.09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Number of the veins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2.5±0.70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2.5±0.70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Length of veins (mm)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7.25±3.33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9.01±4.65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b/>
                <w:color w:val="000000"/>
                <w:kern w:val="0"/>
                <w:sz w:val="20"/>
                <w:szCs w:val="20"/>
              </w:rPr>
              <w:t>Number of veins per unit length(n/mm)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0.41±0.29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宋体" w:cs="宋体"/>
                <w:color w:val="000000"/>
                <w:sz w:val="20"/>
                <w:szCs w:val="20"/>
              </w:rPr>
            </w:pPr>
            <w:r>
              <w:rPr>
                <w:rFonts w:eastAsia="宋体" w:cs="宋体"/>
                <w:color w:val="000000"/>
                <w:kern w:val="0"/>
                <w:sz w:val="20"/>
                <w:szCs w:val="20"/>
              </w:rPr>
              <w:t>0.34±0.26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+Body">
    <w:altName w:val="Chivo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Body Asian">
    <w:altName w:val="Chivo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ivo Thin">
    <w:panose1 w:val="00000200000000000000"/>
    <w:charset w:val="00"/>
    <w:family w:val="auto"/>
    <w:pitch w:val="default"/>
    <w:sig w:usb0="2000000F" w:usb1="00000001" w:usb2="00000000" w:usb3="00000000" w:csb0="20000193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true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F764C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57BF764C"/>
    <w:rsid w:val="FF04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+Body" w:hAnsi="+Body" w:eastAsia="+Body Asian"/>
      <w:b/>
      <w:bCs/>
      <w:kern w:val="44"/>
      <w:sz w:val="44"/>
      <w:szCs w:val="44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qFormat/>
    <w:uiPriority w:val="0"/>
    <w:rPr>
      <w:sz w:val="24"/>
      <w:szCs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uiPriority w:val="0"/>
  </w:style>
  <w:style w:type="paragraph" w:styleId="143">
    <w:name w:val="toc 2"/>
    <w:basedOn w:val="1"/>
    <w:next w:val="1"/>
    <w:uiPriority w:val="0"/>
    <w:pPr>
      <w:ind w:left="420" w:leftChars="200"/>
    </w:pPr>
  </w:style>
  <w:style w:type="paragraph" w:styleId="144">
    <w:name w:val="toc 3"/>
    <w:basedOn w:val="1"/>
    <w:next w:val="1"/>
    <w:uiPriority w:val="0"/>
    <w:pPr>
      <w:ind w:left="840" w:leftChars="400"/>
    </w:pPr>
  </w:style>
  <w:style w:type="paragraph" w:styleId="145">
    <w:name w:val="toc 4"/>
    <w:basedOn w:val="1"/>
    <w:next w:val="1"/>
    <w:uiPriority w:val="0"/>
    <w:pPr>
      <w:ind w:left="1260" w:leftChars="600"/>
    </w:pPr>
  </w:style>
  <w:style w:type="paragraph" w:styleId="146">
    <w:name w:val="toc 5"/>
    <w:basedOn w:val="1"/>
    <w:next w:val="1"/>
    <w:uiPriority w:val="0"/>
    <w:pPr>
      <w:ind w:left="1680" w:leftChars="800"/>
    </w:pPr>
  </w:style>
  <w:style w:type="paragraph" w:styleId="147">
    <w:name w:val="toc 6"/>
    <w:basedOn w:val="1"/>
    <w:next w:val="1"/>
    <w:uiPriority w:val="0"/>
    <w:pPr>
      <w:ind w:left="2100" w:leftChars="1000"/>
    </w:pPr>
  </w:style>
  <w:style w:type="paragraph" w:styleId="148">
    <w:name w:val="toc 7"/>
    <w:basedOn w:val="1"/>
    <w:next w:val="1"/>
    <w:uiPriority w:val="0"/>
    <w:pPr>
      <w:ind w:left="2520" w:leftChars="1200"/>
    </w:pPr>
  </w:style>
  <w:style w:type="paragraph" w:styleId="149">
    <w:name w:val="toc 8"/>
    <w:basedOn w:val="1"/>
    <w:next w:val="1"/>
    <w:uiPriority w:val="0"/>
    <w:pPr>
      <w:ind w:left="2940" w:leftChars="1400"/>
    </w:pPr>
  </w:style>
  <w:style w:type="paragraph" w:styleId="150">
    <w:name w:val="toc 9"/>
    <w:basedOn w:val="1"/>
    <w:next w:val="1"/>
    <w:uiPriority w:val="0"/>
    <w:pPr>
      <w:ind w:left="3360" w:leftChars="1600"/>
    </w:pPr>
  </w:style>
  <w:style w:type="table" w:styleId="151">
    <w:name w:val="Light Shading"/>
    <w:basedOn w:val="12"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uiPriority w:val="66"/>
    <w:rPr>
      <w:rFonts w:ascii="宋体" w:hAnsi="宋体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uiPriority w:val="68"/>
    <w:rPr>
      <w:rFonts w:ascii="宋体" w:hAnsi="宋体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2021-02-07T14:45:00Z</dcterms:created>
  <dc:creator>bingjunjiangqqcom</dc:creator>
  <cp:lastModifiedBy>bingjunjiangqqcom</cp:lastModifiedBy>
  <dcterms:modified xsi:type="dcterms:W3CDTF">2021-02-07T14:46:15Z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1033-11.1.0.9719</vt:lpwstr>
  </property>
</Properties>
</file>