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9298D" w14:textId="48F03BE7" w:rsidR="00F713E9" w:rsidRPr="00F713E9" w:rsidRDefault="00F713E9" w:rsidP="00F713E9">
      <w:pPr>
        <w:jc w:val="center"/>
        <w:rPr>
          <w:rFonts w:hint="eastAsia"/>
          <w:b/>
          <w:bCs/>
          <w:sz w:val="24"/>
          <w:szCs w:val="28"/>
        </w:rPr>
      </w:pPr>
      <w:r w:rsidRPr="00F713E9">
        <w:rPr>
          <w:rFonts w:hint="eastAsia"/>
          <w:b/>
          <w:bCs/>
          <w:sz w:val="24"/>
          <w:szCs w:val="28"/>
        </w:rPr>
        <w:t>R</w:t>
      </w:r>
      <w:r w:rsidRPr="00F713E9">
        <w:rPr>
          <w:rFonts w:hint="eastAsia"/>
          <w:b/>
          <w:bCs/>
          <w:sz w:val="24"/>
          <w:szCs w:val="28"/>
        </w:rPr>
        <w:t xml:space="preserve">esearch </w:t>
      </w:r>
      <w:r w:rsidRPr="00F713E9">
        <w:rPr>
          <w:rFonts w:hint="eastAsia"/>
          <w:b/>
          <w:bCs/>
          <w:sz w:val="24"/>
          <w:szCs w:val="28"/>
        </w:rPr>
        <w:t>P</w:t>
      </w:r>
      <w:r w:rsidRPr="00F713E9">
        <w:rPr>
          <w:rFonts w:hint="eastAsia"/>
          <w:b/>
          <w:bCs/>
          <w:sz w:val="24"/>
          <w:szCs w:val="28"/>
        </w:rPr>
        <w:t>rotocol</w:t>
      </w:r>
    </w:p>
    <w:p w14:paraId="4703A130" w14:textId="3FB984FF" w:rsidR="00F713E9" w:rsidRDefault="00F713E9" w:rsidP="00F713E9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Project Summary</w:t>
      </w:r>
    </w:p>
    <w:p w14:paraId="714B83A1" w14:textId="77777777" w:rsidR="00F713E9" w:rsidRDefault="00F713E9" w:rsidP="00F713E9">
      <w:pPr>
        <w:rPr>
          <w:rFonts w:hint="eastAsia"/>
        </w:rPr>
      </w:pPr>
    </w:p>
    <w:p w14:paraId="7905A57B" w14:textId="77777777" w:rsidR="00F713E9" w:rsidRDefault="00F713E9" w:rsidP="00F713E9">
      <w:pPr>
        <w:rPr>
          <w:rFonts w:hint="eastAsia"/>
        </w:rPr>
      </w:pPr>
      <w:r>
        <w:rPr>
          <w:rFonts w:hint="eastAsia"/>
        </w:rPr>
        <w:t xml:space="preserve">This study aims to evaluate the efficacy of 3% </w:t>
      </w:r>
      <w:proofErr w:type="spellStart"/>
      <w:r>
        <w:rPr>
          <w:rFonts w:hint="eastAsia"/>
        </w:rPr>
        <w:t>diquafosol</w:t>
      </w:r>
      <w:proofErr w:type="spellEnd"/>
      <w:r>
        <w:rPr>
          <w:rFonts w:hint="eastAsia"/>
        </w:rPr>
        <w:t xml:space="preserve"> sodium eye drops in treating dry eye disease (DED) across different age groups using a propensity score-matched longitudinal design. Participants were divided into two age groups: younger (&lt;40 years) and older (≥40 years). Propensity score matching (PSM) was applied at a 1:1 ratio to ensure comparable baseline characteristics between groups. All participants received 3% </w:t>
      </w:r>
      <w:proofErr w:type="spellStart"/>
      <w:r>
        <w:rPr>
          <w:rFonts w:hint="eastAsia"/>
        </w:rPr>
        <w:t>diquafosol</w:t>
      </w:r>
      <w:proofErr w:type="spellEnd"/>
      <w:r>
        <w:rPr>
          <w:rFonts w:hint="eastAsia"/>
        </w:rPr>
        <w:t xml:space="preserve"> sodium eye drops six times daily for 3 months. The clinical metrics assessed included Dry Eye Questionnaire Score (DEQS), Fluorescein Break-Up Time (FBUT), Tear Meniscus Height (TMH), Schirmer I test, Lipid Layer Thickness, Logarithm of the Minimum Angle of Resolution (</w:t>
      </w:r>
      <w:proofErr w:type="spellStart"/>
      <w:r>
        <w:rPr>
          <w:rFonts w:hint="eastAsia"/>
        </w:rPr>
        <w:t>LogMAR</w:t>
      </w:r>
      <w:proofErr w:type="spellEnd"/>
      <w:r>
        <w:rPr>
          <w:rFonts w:hint="eastAsia"/>
        </w:rPr>
        <w:t xml:space="preserve">), Intraocular Pressure (IOP), and Meibomian Gland Loss Area (MGLA). The study found significant improvements in DEQS, FBUT, and TMH over time in both age groups, indicating that the efficacy of </w:t>
      </w:r>
      <w:proofErr w:type="spellStart"/>
      <w:r>
        <w:rPr>
          <w:rFonts w:hint="eastAsia"/>
        </w:rPr>
        <w:t>diquafosol</w:t>
      </w:r>
      <w:proofErr w:type="spellEnd"/>
      <w:r>
        <w:rPr>
          <w:rFonts w:hint="eastAsia"/>
        </w:rPr>
        <w:t xml:space="preserve"> sodium is consistent across different age demographics. These results support the use of </w:t>
      </w:r>
      <w:proofErr w:type="spellStart"/>
      <w:r>
        <w:rPr>
          <w:rFonts w:hint="eastAsia"/>
        </w:rPr>
        <w:t>diquafosol</w:t>
      </w:r>
      <w:proofErr w:type="spellEnd"/>
      <w:r>
        <w:rPr>
          <w:rFonts w:hint="eastAsia"/>
        </w:rPr>
        <w:t xml:space="preserve"> sodium eye drops in a broad demographic of patients with DED.</w:t>
      </w:r>
    </w:p>
    <w:p w14:paraId="0E75D37C" w14:textId="77777777" w:rsidR="00F713E9" w:rsidRDefault="00F713E9" w:rsidP="00F713E9"/>
    <w:p w14:paraId="6927F07D" w14:textId="3AE945C5" w:rsidR="00F713E9" w:rsidRDefault="00F713E9" w:rsidP="00F713E9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General Information</w:t>
      </w:r>
    </w:p>
    <w:p w14:paraId="3C41D8A8" w14:textId="77777777" w:rsidR="00F713E9" w:rsidRDefault="00F713E9" w:rsidP="00F713E9">
      <w:pPr>
        <w:rPr>
          <w:rFonts w:hint="eastAsia"/>
        </w:rPr>
      </w:pPr>
    </w:p>
    <w:p w14:paraId="4521786D" w14:textId="1BF6D1B2" w:rsidR="00F713E9" w:rsidRDefault="00F713E9" w:rsidP="00F713E9">
      <w:pPr>
        <w:rPr>
          <w:rFonts w:hint="eastAsia"/>
        </w:rPr>
      </w:pPr>
      <w:r>
        <w:rPr>
          <w:rFonts w:hint="eastAsia"/>
        </w:rPr>
        <w:t>2.1</w:t>
      </w:r>
      <w:r>
        <w:rPr>
          <w:rFonts w:hint="eastAsia"/>
        </w:rPr>
        <w:t xml:space="preserve">Protocol Title: Comparative Efficacy of 3% </w:t>
      </w:r>
      <w:proofErr w:type="spellStart"/>
      <w:r>
        <w:rPr>
          <w:rFonts w:hint="eastAsia"/>
        </w:rPr>
        <w:t>Diquafosol</w:t>
      </w:r>
      <w:proofErr w:type="spellEnd"/>
      <w:r>
        <w:rPr>
          <w:rFonts w:hint="eastAsia"/>
        </w:rPr>
        <w:t xml:space="preserve"> Sodium Eye Drops in Dry Eye Patients Across Age Groups: A Propensity Score-Matched Longitudinal Study</w:t>
      </w:r>
    </w:p>
    <w:p w14:paraId="451CFC85" w14:textId="645C5CA9" w:rsidR="00F713E9" w:rsidRDefault="00F713E9" w:rsidP="00F713E9">
      <w:pPr>
        <w:rPr>
          <w:rFonts w:hint="eastAsia"/>
        </w:rPr>
      </w:pPr>
      <w:r>
        <w:rPr>
          <w:rFonts w:hint="eastAsia"/>
        </w:rPr>
        <w:t>2.2</w:t>
      </w:r>
      <w:r>
        <w:rPr>
          <w:rFonts w:hint="eastAsia"/>
        </w:rPr>
        <w:t>Sponsor/Funder*: Tianjin Eye Hospital, Projects of Tianjin Eye Hospital (YKZD 2002), Bethune Dry Eye Treatment and Research Project (GY2021019J), and other associated projects.</w:t>
      </w:r>
    </w:p>
    <w:p w14:paraId="04104207" w14:textId="50EDE0DA" w:rsidR="00F713E9" w:rsidRDefault="00F713E9" w:rsidP="00F713E9">
      <w:pPr>
        <w:rPr>
          <w:rFonts w:hint="eastAsia"/>
        </w:rPr>
      </w:pPr>
      <w:r>
        <w:rPr>
          <w:rFonts w:hint="eastAsia"/>
        </w:rPr>
        <w:t>2.3</w:t>
      </w:r>
      <w:r>
        <w:rPr>
          <w:rFonts w:hint="eastAsia"/>
        </w:rPr>
        <w:t xml:space="preserve">Investigators: </w:t>
      </w:r>
    </w:p>
    <w:p w14:paraId="7EC1B37F" w14:textId="773CE210" w:rsidR="00F713E9" w:rsidRDefault="00F713E9" w:rsidP="00F713E9">
      <w:pPr>
        <w:rPr>
          <w:rFonts w:hint="eastAsia"/>
        </w:rPr>
      </w:pPr>
      <w:r>
        <w:rPr>
          <w:rFonts w:hint="eastAsia"/>
        </w:rPr>
        <w:t xml:space="preserve">  Yi Dong- Data collection, analysis, manuscript preparation.</w:t>
      </w:r>
    </w:p>
    <w:p w14:paraId="68100EBD" w14:textId="3527694C" w:rsidR="00F713E9" w:rsidRDefault="00F713E9" w:rsidP="00F713E9">
      <w:pPr>
        <w:rPr>
          <w:rFonts w:hint="eastAsia"/>
        </w:rPr>
      </w:pP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Zecheng</w:t>
      </w:r>
      <w:proofErr w:type="spellEnd"/>
      <w:r>
        <w:rPr>
          <w:rFonts w:hint="eastAsia"/>
        </w:rPr>
        <w:t xml:space="preserve"> Li - Data collection, analysis, manuscript revision.</w:t>
      </w:r>
    </w:p>
    <w:p w14:paraId="4B124F63" w14:textId="37904607" w:rsidR="00F713E9" w:rsidRDefault="00F713E9" w:rsidP="00F713E9">
      <w:pPr>
        <w:rPr>
          <w:rFonts w:hint="eastAsia"/>
        </w:rPr>
      </w:pPr>
      <w:r>
        <w:rPr>
          <w:rFonts w:hint="eastAsia"/>
        </w:rPr>
        <w:t xml:space="preserve">  Luxia Chen- Project oversight, study design, manuscript editing.</w:t>
      </w:r>
    </w:p>
    <w:p w14:paraId="187C63EE" w14:textId="1B740BDE" w:rsidR="00F713E9" w:rsidRDefault="00F713E9" w:rsidP="00F713E9">
      <w:pPr>
        <w:rPr>
          <w:rFonts w:hint="eastAsia"/>
        </w:rPr>
      </w:pPr>
      <w:r>
        <w:rPr>
          <w:rFonts w:hint="eastAsia"/>
        </w:rPr>
        <w:t>2.4</w:t>
      </w:r>
      <w:r>
        <w:rPr>
          <w:rFonts w:hint="eastAsia"/>
        </w:rPr>
        <w:t xml:space="preserve">Research Sites: </w:t>
      </w:r>
    </w:p>
    <w:p w14:paraId="77126891" w14:textId="09F37F72" w:rsidR="00F713E9" w:rsidRDefault="00F713E9" w:rsidP="00F713E9">
      <w:pPr>
        <w:rPr>
          <w:rFonts w:hint="eastAsia"/>
        </w:rPr>
      </w:pPr>
      <w:r>
        <w:rPr>
          <w:rFonts w:hint="eastAsia"/>
        </w:rPr>
        <w:t>Tianjin Eye Hospital- Tianjin Key Lab of Ophthalmology and Visual Science, Nankai University Affiliated Eye Hospital, Gansu Road 4, Tianjin, 300020, China.</w:t>
      </w:r>
    </w:p>
    <w:p w14:paraId="470ECCAA" w14:textId="77777777" w:rsidR="00F713E9" w:rsidRDefault="00F713E9" w:rsidP="00F713E9">
      <w:pPr>
        <w:rPr>
          <w:rFonts w:hint="eastAsia"/>
        </w:rPr>
      </w:pPr>
    </w:p>
    <w:p w14:paraId="1DCE796A" w14:textId="43813D86" w:rsidR="00F713E9" w:rsidRDefault="00F713E9" w:rsidP="00F713E9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Rationale &amp; Background Information</w:t>
      </w:r>
    </w:p>
    <w:p w14:paraId="1514A151" w14:textId="77777777" w:rsidR="00F713E9" w:rsidRDefault="00F713E9" w:rsidP="00F713E9">
      <w:pPr>
        <w:rPr>
          <w:rFonts w:hint="eastAsia"/>
        </w:rPr>
      </w:pPr>
    </w:p>
    <w:p w14:paraId="537D50AE" w14:textId="77777777" w:rsidR="00F713E9" w:rsidRDefault="00F713E9" w:rsidP="00F713E9">
      <w:pPr>
        <w:rPr>
          <w:rFonts w:hint="eastAsia"/>
        </w:rPr>
      </w:pPr>
      <w:r>
        <w:rPr>
          <w:rFonts w:hint="eastAsia"/>
        </w:rPr>
        <w:t xml:space="preserve">Dry eye disease (DED) is a prevalent condition that significantly impacts the quality of life. Age-related decline in ocular surface health necessitates tailored treatment strategies. </w:t>
      </w:r>
      <w:proofErr w:type="spellStart"/>
      <w:r>
        <w:rPr>
          <w:rFonts w:hint="eastAsia"/>
        </w:rPr>
        <w:t>Diquafosol</w:t>
      </w:r>
      <w:proofErr w:type="spellEnd"/>
      <w:r>
        <w:rPr>
          <w:rFonts w:hint="eastAsia"/>
        </w:rPr>
        <w:t xml:space="preserve"> tetrasodium, a P2Y2 receptor agonist, has been shown to enhance tear film stability by promoting the secretion of aqueous, mucin, and lipid components. Given the age-related changes in ocular surface functionality, this study evaluates the efficacy of 3% </w:t>
      </w:r>
      <w:proofErr w:type="spellStart"/>
      <w:r>
        <w:rPr>
          <w:rFonts w:hint="eastAsia"/>
        </w:rPr>
        <w:t>diquafosol</w:t>
      </w:r>
      <w:proofErr w:type="spellEnd"/>
      <w:r>
        <w:rPr>
          <w:rFonts w:hint="eastAsia"/>
        </w:rPr>
        <w:t xml:space="preserve"> sodium eye drops across different age groups to inform optimal DED management.</w:t>
      </w:r>
    </w:p>
    <w:p w14:paraId="098CFC28" w14:textId="77777777" w:rsidR="00F713E9" w:rsidRDefault="00F713E9" w:rsidP="00F713E9">
      <w:pPr>
        <w:rPr>
          <w:rFonts w:hint="eastAsia"/>
        </w:rPr>
      </w:pPr>
    </w:p>
    <w:p w14:paraId="00B22EF3" w14:textId="597289F4" w:rsidR="00F713E9" w:rsidRDefault="00F713E9" w:rsidP="00F713E9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Study Goals and Objectives</w:t>
      </w:r>
    </w:p>
    <w:p w14:paraId="4EBFDE64" w14:textId="77777777" w:rsidR="00F713E9" w:rsidRDefault="00F713E9" w:rsidP="00F713E9">
      <w:pPr>
        <w:rPr>
          <w:rFonts w:hint="eastAsia"/>
        </w:rPr>
      </w:pPr>
    </w:p>
    <w:p w14:paraId="31C3926C" w14:textId="15548666" w:rsidR="00F713E9" w:rsidRDefault="00F713E9" w:rsidP="00F713E9">
      <w:pPr>
        <w:rPr>
          <w:rFonts w:hint="eastAsia"/>
        </w:rPr>
      </w:pPr>
      <w:r>
        <w:rPr>
          <w:rFonts w:hint="eastAsia"/>
        </w:rPr>
        <w:t>4.1</w:t>
      </w:r>
      <w:r>
        <w:rPr>
          <w:rFonts w:hint="eastAsia"/>
        </w:rPr>
        <w:t xml:space="preserve">Primary Goal: To determine whether age influences the efficacy of 3% </w:t>
      </w:r>
      <w:proofErr w:type="spellStart"/>
      <w:r>
        <w:rPr>
          <w:rFonts w:hint="eastAsia"/>
        </w:rPr>
        <w:t>diquafosol</w:t>
      </w:r>
      <w:proofErr w:type="spellEnd"/>
      <w:r>
        <w:rPr>
          <w:rFonts w:hint="eastAsia"/>
        </w:rPr>
        <w:t xml:space="preserve"> sodium eye drops in treating DED.</w:t>
      </w:r>
    </w:p>
    <w:p w14:paraId="36D51459" w14:textId="24A64345" w:rsidR="00F713E9" w:rsidRDefault="00F713E9" w:rsidP="00F713E9">
      <w:pPr>
        <w:rPr>
          <w:rFonts w:hint="eastAsia"/>
        </w:rPr>
      </w:pPr>
      <w:r>
        <w:rPr>
          <w:rFonts w:hint="eastAsia"/>
        </w:rPr>
        <w:t>4.2</w:t>
      </w:r>
      <w:r>
        <w:rPr>
          <w:rFonts w:hint="eastAsia"/>
        </w:rPr>
        <w:t>Primary Objective: To evaluate the changes in DEQS, FBUT, and TMH over time across different age groups.</w:t>
      </w:r>
    </w:p>
    <w:p w14:paraId="277A6F61" w14:textId="799D3E67" w:rsidR="00F713E9" w:rsidRDefault="00F713E9" w:rsidP="00F713E9">
      <w:pPr>
        <w:rPr>
          <w:rFonts w:hint="eastAsia"/>
        </w:rPr>
      </w:pPr>
      <w:r>
        <w:rPr>
          <w:rFonts w:hint="eastAsia"/>
        </w:rPr>
        <w:t>4.3</w:t>
      </w:r>
      <w:r>
        <w:rPr>
          <w:rFonts w:hint="eastAsia"/>
        </w:rPr>
        <w:t xml:space="preserve">Secondary Objectives: To assess other ocular health metrics such as Schirmer I, </w:t>
      </w:r>
      <w:proofErr w:type="spellStart"/>
      <w:r>
        <w:rPr>
          <w:rFonts w:hint="eastAsia"/>
        </w:rPr>
        <w:t>LogMAR</w:t>
      </w:r>
      <w:proofErr w:type="spellEnd"/>
      <w:r>
        <w:rPr>
          <w:rFonts w:hint="eastAsia"/>
        </w:rPr>
        <w:t>, IOP, and MGLA in response to the treatment.</w:t>
      </w:r>
    </w:p>
    <w:p w14:paraId="1F0F95EF" w14:textId="77777777" w:rsidR="00F713E9" w:rsidRDefault="00F713E9" w:rsidP="00F713E9">
      <w:pPr>
        <w:rPr>
          <w:rFonts w:hint="eastAsia"/>
        </w:rPr>
      </w:pPr>
    </w:p>
    <w:p w14:paraId="33F7C66B" w14:textId="48A2D4FE" w:rsidR="00F713E9" w:rsidRDefault="00F713E9" w:rsidP="00F713E9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Study Design</w:t>
      </w:r>
    </w:p>
    <w:p w14:paraId="4383D37C" w14:textId="77777777" w:rsidR="00F713E9" w:rsidRDefault="00F713E9" w:rsidP="00F713E9">
      <w:pPr>
        <w:rPr>
          <w:rFonts w:hint="eastAsia"/>
        </w:rPr>
      </w:pPr>
    </w:p>
    <w:p w14:paraId="33550301" w14:textId="29D1EC2A" w:rsidR="00F713E9" w:rsidRDefault="00F713E9" w:rsidP="00F713E9">
      <w:pPr>
        <w:rPr>
          <w:rFonts w:hint="eastAsia"/>
        </w:rPr>
      </w:pPr>
      <w:r>
        <w:rPr>
          <w:rFonts w:hint="eastAsia"/>
        </w:rPr>
        <w:t>This is a longitudinal, prospective, clinical trial using a propensity score-matched design. The study enrolled 100 DED patients, divided into younger (&lt;40 years) and older (≥40 years) groups. The study assessed clinical metrics at baseline (V1), 1 month (V2), and 3 months (V3).</w:t>
      </w:r>
    </w:p>
    <w:p w14:paraId="5F6117BA" w14:textId="77777777" w:rsidR="00F713E9" w:rsidRDefault="00F713E9" w:rsidP="00F713E9">
      <w:pPr>
        <w:rPr>
          <w:rFonts w:hint="eastAsia"/>
        </w:rPr>
      </w:pPr>
    </w:p>
    <w:p w14:paraId="2AD816A9" w14:textId="082C5054" w:rsidR="00F713E9" w:rsidRDefault="00F713E9" w:rsidP="00F713E9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Methodology</w:t>
      </w:r>
    </w:p>
    <w:p w14:paraId="3EEA0DF0" w14:textId="77777777" w:rsidR="00F713E9" w:rsidRDefault="00F713E9" w:rsidP="00F713E9">
      <w:pPr>
        <w:rPr>
          <w:rFonts w:hint="eastAsia"/>
        </w:rPr>
      </w:pPr>
    </w:p>
    <w:p w14:paraId="34258109" w14:textId="77777777" w:rsidR="00F713E9" w:rsidRDefault="00F713E9" w:rsidP="00F713E9">
      <w:pPr>
        <w:rPr>
          <w:rFonts w:hint="eastAsia"/>
        </w:rPr>
      </w:pPr>
      <w:r>
        <w:rPr>
          <w:rFonts w:hint="eastAsia"/>
        </w:rPr>
        <w:t xml:space="preserve">Participants received 3% </w:t>
      </w:r>
      <w:proofErr w:type="spellStart"/>
      <w:r>
        <w:rPr>
          <w:rFonts w:hint="eastAsia"/>
        </w:rPr>
        <w:t>diquafosol</w:t>
      </w:r>
      <w:proofErr w:type="spellEnd"/>
      <w:r>
        <w:rPr>
          <w:rFonts w:hint="eastAsia"/>
        </w:rPr>
        <w:t xml:space="preserve"> sodium eye drops (one drop, six times daily) for 3 months. Follow-up visits included assessments of DEQS, FBUT, TMH, and other ocular metrics. Statistical analyses, including mixed-effects models, were used to evaluate longitudinal changes in clinical metrics.</w:t>
      </w:r>
    </w:p>
    <w:p w14:paraId="1DD40FBC" w14:textId="77777777" w:rsidR="00F713E9" w:rsidRDefault="00F713E9" w:rsidP="00F713E9">
      <w:pPr>
        <w:rPr>
          <w:rFonts w:hint="eastAsia"/>
        </w:rPr>
      </w:pPr>
    </w:p>
    <w:p w14:paraId="6B6C747D" w14:textId="7C9E893A" w:rsidR="00F713E9" w:rsidRDefault="00F713E9" w:rsidP="00F713E9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Safety Considerations**</w:t>
      </w:r>
    </w:p>
    <w:p w14:paraId="3ABDCD68" w14:textId="77777777" w:rsidR="00F713E9" w:rsidRDefault="00F713E9" w:rsidP="00F713E9">
      <w:pPr>
        <w:rPr>
          <w:rFonts w:hint="eastAsia"/>
        </w:rPr>
      </w:pPr>
    </w:p>
    <w:p w14:paraId="1E7DDB23" w14:textId="77777777" w:rsidR="00F713E9" w:rsidRDefault="00F713E9" w:rsidP="00F713E9">
      <w:pPr>
        <w:rPr>
          <w:rFonts w:hint="eastAsia"/>
        </w:rPr>
      </w:pPr>
      <w:r>
        <w:rPr>
          <w:rFonts w:hint="eastAsia"/>
        </w:rPr>
        <w:t>The protocol ensured participant safety by monitoring and reporting adverse events throughout the study. Ethical approval was obtained, and informed consent was provided by all participants.</w:t>
      </w:r>
    </w:p>
    <w:p w14:paraId="5D4C84B6" w14:textId="77777777" w:rsidR="00F713E9" w:rsidRDefault="00F713E9" w:rsidP="00F713E9">
      <w:pPr>
        <w:rPr>
          <w:rFonts w:hint="eastAsia"/>
        </w:rPr>
      </w:pPr>
    </w:p>
    <w:p w14:paraId="5B8C2065" w14:textId="02838D25" w:rsidR="00F713E9" w:rsidRDefault="00F713E9" w:rsidP="00F713E9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Follow-up</w:t>
      </w:r>
    </w:p>
    <w:p w14:paraId="29C39A36" w14:textId="77777777" w:rsidR="00F713E9" w:rsidRDefault="00F713E9" w:rsidP="00F713E9">
      <w:pPr>
        <w:rPr>
          <w:rFonts w:hint="eastAsia"/>
        </w:rPr>
      </w:pPr>
    </w:p>
    <w:p w14:paraId="4FFFC316" w14:textId="77777777" w:rsidR="00F713E9" w:rsidRDefault="00F713E9" w:rsidP="00F713E9">
      <w:pPr>
        <w:rPr>
          <w:rFonts w:hint="eastAsia"/>
        </w:rPr>
      </w:pPr>
      <w:r>
        <w:rPr>
          <w:rFonts w:hint="eastAsia"/>
        </w:rPr>
        <w:t>Participants were followed up at 1 month and 3 months after treatment initiation. Follow-up included assessments of ocular health metrics and monitoring for adverse events.</w:t>
      </w:r>
    </w:p>
    <w:p w14:paraId="21EC090C" w14:textId="77777777" w:rsidR="00F713E9" w:rsidRDefault="00F713E9" w:rsidP="00F713E9">
      <w:pPr>
        <w:rPr>
          <w:rFonts w:hint="eastAsia"/>
        </w:rPr>
      </w:pPr>
    </w:p>
    <w:p w14:paraId="7723D3F8" w14:textId="1E84020F" w:rsidR="00F713E9" w:rsidRDefault="00F713E9" w:rsidP="00F713E9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Data Management and Statistical Analysis</w:t>
      </w:r>
    </w:p>
    <w:p w14:paraId="3487BD4B" w14:textId="77777777" w:rsidR="00F713E9" w:rsidRDefault="00F713E9" w:rsidP="00F713E9">
      <w:pPr>
        <w:rPr>
          <w:rFonts w:hint="eastAsia"/>
        </w:rPr>
      </w:pPr>
    </w:p>
    <w:p w14:paraId="5675A4CF" w14:textId="77777777" w:rsidR="00F713E9" w:rsidRDefault="00F713E9" w:rsidP="00F713E9">
      <w:pPr>
        <w:rPr>
          <w:rFonts w:hint="eastAsia"/>
        </w:rPr>
      </w:pPr>
      <w:r>
        <w:rPr>
          <w:rFonts w:hint="eastAsia"/>
        </w:rPr>
        <w:t>Data were managed using standardized methods. Statistical analyses were conducted using R, with PSM applied to ensure baseline comparability. Longitudinal data were analyzed using mixed-effects models.</w:t>
      </w:r>
    </w:p>
    <w:p w14:paraId="7A408CBC" w14:textId="77777777" w:rsidR="00F713E9" w:rsidRDefault="00F713E9" w:rsidP="00F713E9">
      <w:pPr>
        <w:rPr>
          <w:rFonts w:hint="eastAsia"/>
        </w:rPr>
      </w:pPr>
    </w:p>
    <w:p w14:paraId="19640BF3" w14:textId="59334251" w:rsidR="00F713E9" w:rsidRDefault="00F713E9" w:rsidP="00F713E9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Quality Assurance</w:t>
      </w:r>
    </w:p>
    <w:p w14:paraId="2E2B224D" w14:textId="77777777" w:rsidR="00F713E9" w:rsidRDefault="00F713E9" w:rsidP="00F713E9">
      <w:pPr>
        <w:rPr>
          <w:rFonts w:hint="eastAsia"/>
        </w:rPr>
      </w:pPr>
    </w:p>
    <w:p w14:paraId="47CFA037" w14:textId="77777777" w:rsidR="00F713E9" w:rsidRDefault="00F713E9" w:rsidP="00F713E9">
      <w:pPr>
        <w:rPr>
          <w:rFonts w:hint="eastAsia"/>
        </w:rPr>
      </w:pPr>
      <w:r>
        <w:rPr>
          <w:rFonts w:hint="eastAsia"/>
        </w:rPr>
        <w:t>The study adhered to Good Clinical Practice (GCP) standards, with regular monitoring to ensure data integrity and participant safety.</w:t>
      </w:r>
    </w:p>
    <w:p w14:paraId="03423952" w14:textId="77777777" w:rsidR="00F713E9" w:rsidRDefault="00F713E9" w:rsidP="00F713E9">
      <w:pPr>
        <w:rPr>
          <w:rFonts w:hint="eastAsia"/>
        </w:rPr>
      </w:pPr>
    </w:p>
    <w:p w14:paraId="1E9DC260" w14:textId="419D8421" w:rsidR="00F713E9" w:rsidRDefault="00F713E9" w:rsidP="00F713E9">
      <w:pPr>
        <w:rPr>
          <w:rFonts w:hint="eastAsia"/>
        </w:rPr>
      </w:pPr>
      <w:r>
        <w:rPr>
          <w:rFonts w:hint="eastAsia"/>
        </w:rPr>
        <w:lastRenderedPageBreak/>
        <w:t>11.</w:t>
      </w:r>
      <w:r>
        <w:rPr>
          <w:rFonts w:hint="eastAsia"/>
        </w:rPr>
        <w:t>Expected Outcomes of the Study</w:t>
      </w:r>
    </w:p>
    <w:p w14:paraId="2536B093" w14:textId="77777777" w:rsidR="00F713E9" w:rsidRPr="00F713E9" w:rsidRDefault="00F713E9" w:rsidP="00F713E9">
      <w:pPr>
        <w:rPr>
          <w:rFonts w:hint="eastAsia"/>
        </w:rPr>
      </w:pPr>
    </w:p>
    <w:p w14:paraId="3E20BDC3" w14:textId="77777777" w:rsidR="00F713E9" w:rsidRDefault="00F713E9" w:rsidP="00F713E9">
      <w:pPr>
        <w:rPr>
          <w:rFonts w:hint="eastAsia"/>
        </w:rPr>
      </w:pPr>
      <w:r>
        <w:rPr>
          <w:rFonts w:hint="eastAsia"/>
        </w:rPr>
        <w:t xml:space="preserve">The study is expected to demonstrate that 3% </w:t>
      </w:r>
      <w:proofErr w:type="spellStart"/>
      <w:r>
        <w:rPr>
          <w:rFonts w:hint="eastAsia"/>
        </w:rPr>
        <w:t>diquafosol</w:t>
      </w:r>
      <w:proofErr w:type="spellEnd"/>
      <w:r>
        <w:rPr>
          <w:rFonts w:hint="eastAsia"/>
        </w:rPr>
        <w:t xml:space="preserve"> sodium eye drops are effective across different age groups, providing insights for clinicians in managing DED.</w:t>
      </w:r>
    </w:p>
    <w:p w14:paraId="091CAAD3" w14:textId="77777777" w:rsidR="00F713E9" w:rsidRDefault="00F713E9" w:rsidP="00F713E9">
      <w:pPr>
        <w:rPr>
          <w:rFonts w:hint="eastAsia"/>
        </w:rPr>
      </w:pPr>
    </w:p>
    <w:p w14:paraId="2BD210FC" w14:textId="2CB62268" w:rsidR="00F713E9" w:rsidRDefault="00F713E9" w:rsidP="00F713E9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Dissemination of Results and Publication Policy</w:t>
      </w:r>
    </w:p>
    <w:p w14:paraId="34E24D18" w14:textId="77777777" w:rsidR="00F713E9" w:rsidRDefault="00F713E9" w:rsidP="00F713E9">
      <w:pPr>
        <w:rPr>
          <w:rFonts w:hint="eastAsia"/>
        </w:rPr>
      </w:pPr>
    </w:p>
    <w:p w14:paraId="68B45860" w14:textId="77777777" w:rsidR="00F713E9" w:rsidRDefault="00F713E9" w:rsidP="00F713E9">
      <w:pPr>
        <w:rPr>
          <w:rFonts w:hint="eastAsia"/>
        </w:rPr>
      </w:pPr>
      <w:r>
        <w:rPr>
          <w:rFonts w:hint="eastAsia"/>
        </w:rPr>
        <w:t>Results will be disseminated through scientific publications and presentations at relevant conferences. The lead investigator will oversee publication efforts, with contributions acknowledged as appropriate.</w:t>
      </w:r>
    </w:p>
    <w:p w14:paraId="69AF3FBA" w14:textId="77777777" w:rsidR="00F713E9" w:rsidRDefault="00F713E9" w:rsidP="00F713E9">
      <w:pPr>
        <w:rPr>
          <w:rFonts w:hint="eastAsia"/>
        </w:rPr>
      </w:pPr>
    </w:p>
    <w:p w14:paraId="032CAF25" w14:textId="633846CC" w:rsidR="00F713E9" w:rsidRDefault="00F713E9" w:rsidP="00F713E9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Duration of the Project</w:t>
      </w:r>
    </w:p>
    <w:p w14:paraId="6447D97C" w14:textId="77777777" w:rsidR="00F713E9" w:rsidRDefault="00F713E9" w:rsidP="00F713E9">
      <w:pPr>
        <w:rPr>
          <w:rFonts w:hint="eastAsia"/>
        </w:rPr>
      </w:pPr>
    </w:p>
    <w:p w14:paraId="336F48FC" w14:textId="773E8F81" w:rsidR="00F713E9" w:rsidRDefault="00F713E9" w:rsidP="00F713E9">
      <w:pPr>
        <w:rPr>
          <w:rFonts w:hint="eastAsia"/>
        </w:rPr>
      </w:pPr>
      <w:r>
        <w:rPr>
          <w:rFonts w:hint="eastAsia"/>
        </w:rPr>
        <w:t xml:space="preserve">The study was conducted over a period of </w:t>
      </w:r>
      <w:r>
        <w:rPr>
          <w:rFonts w:hint="eastAsia"/>
        </w:rPr>
        <w:t>2 years</w:t>
      </w:r>
      <w:r>
        <w:rPr>
          <w:rFonts w:hint="eastAsia"/>
        </w:rPr>
        <w:t>, with a detailed timeline provided for each phase.</w:t>
      </w:r>
    </w:p>
    <w:p w14:paraId="4F4FBB58" w14:textId="77777777" w:rsidR="00F713E9" w:rsidRDefault="00F713E9" w:rsidP="00F713E9">
      <w:pPr>
        <w:rPr>
          <w:rFonts w:hint="eastAsia"/>
        </w:rPr>
      </w:pPr>
    </w:p>
    <w:p w14:paraId="40D309F7" w14:textId="399E87E7" w:rsidR="00F713E9" w:rsidRDefault="00F713E9" w:rsidP="00F713E9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Problems Anticipated</w:t>
      </w:r>
    </w:p>
    <w:p w14:paraId="7B323141" w14:textId="77777777" w:rsidR="00F713E9" w:rsidRDefault="00F713E9" w:rsidP="00F713E9">
      <w:pPr>
        <w:rPr>
          <w:rFonts w:hint="eastAsia"/>
        </w:rPr>
      </w:pPr>
    </w:p>
    <w:p w14:paraId="4F98735D" w14:textId="77777777" w:rsidR="00F713E9" w:rsidRDefault="00F713E9" w:rsidP="00F713E9">
      <w:pPr>
        <w:rPr>
          <w:rFonts w:hint="eastAsia"/>
        </w:rPr>
      </w:pPr>
      <w:r>
        <w:rPr>
          <w:rFonts w:hint="eastAsia"/>
        </w:rPr>
        <w:t>Potential challenges include participant adherence to the treatment regimen and variability in response metrics. Strategies to mitigate these challenges include regular follow-ups and robust statistical controls.</w:t>
      </w:r>
    </w:p>
    <w:p w14:paraId="268E8E3A" w14:textId="77777777" w:rsidR="00F713E9" w:rsidRDefault="00F713E9" w:rsidP="00F713E9">
      <w:pPr>
        <w:rPr>
          <w:rFonts w:hint="eastAsia"/>
        </w:rPr>
      </w:pPr>
    </w:p>
    <w:p w14:paraId="45F31FEF" w14:textId="30E82661" w:rsidR="00F713E9" w:rsidRDefault="00F713E9" w:rsidP="00F713E9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Project Management</w:t>
      </w:r>
    </w:p>
    <w:p w14:paraId="1B1CFE00" w14:textId="77777777" w:rsidR="00F713E9" w:rsidRDefault="00F713E9" w:rsidP="00F713E9">
      <w:pPr>
        <w:rPr>
          <w:rFonts w:hint="eastAsia"/>
        </w:rPr>
      </w:pPr>
    </w:p>
    <w:p w14:paraId="4249083D" w14:textId="77777777" w:rsidR="00F713E9" w:rsidRDefault="00F713E9" w:rsidP="00F713E9">
      <w:pPr>
        <w:rPr>
          <w:rFonts w:hint="eastAsia"/>
        </w:rPr>
      </w:pPr>
      <w:r>
        <w:rPr>
          <w:rFonts w:hint="eastAsia"/>
        </w:rPr>
        <w:t>Each team member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 xml:space="preserve">s role is clearly defined, with Yi Dong leading data collection and analysis, </w:t>
      </w:r>
      <w:proofErr w:type="spellStart"/>
      <w:r>
        <w:rPr>
          <w:rFonts w:hint="eastAsia"/>
        </w:rPr>
        <w:t>Zecheng</w:t>
      </w:r>
      <w:proofErr w:type="spellEnd"/>
      <w:r>
        <w:rPr>
          <w:rFonts w:hint="eastAsia"/>
        </w:rPr>
        <w:t xml:space="preserve"> Li contributing to data analysis and manuscript revision, and Luxia Chen providing project oversight and manuscript editing.</w:t>
      </w:r>
    </w:p>
    <w:p w14:paraId="06CDD585" w14:textId="77777777" w:rsidR="00F713E9" w:rsidRDefault="00F713E9" w:rsidP="00F713E9">
      <w:pPr>
        <w:rPr>
          <w:rFonts w:hint="eastAsia"/>
        </w:rPr>
      </w:pPr>
    </w:p>
    <w:p w14:paraId="2184FC20" w14:textId="2674FAB1" w:rsidR="00F713E9" w:rsidRDefault="00F713E9" w:rsidP="00F713E9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Ethics</w:t>
      </w:r>
    </w:p>
    <w:p w14:paraId="05C922EF" w14:textId="77777777" w:rsidR="00F713E9" w:rsidRDefault="00F713E9" w:rsidP="00F713E9">
      <w:pPr>
        <w:rPr>
          <w:rFonts w:hint="eastAsia"/>
        </w:rPr>
      </w:pPr>
    </w:p>
    <w:p w14:paraId="104DCCFF" w14:textId="77777777" w:rsidR="00F713E9" w:rsidRDefault="00F713E9" w:rsidP="00F713E9">
      <w:pPr>
        <w:rPr>
          <w:rFonts w:hint="eastAsia"/>
        </w:rPr>
      </w:pPr>
      <w:r>
        <w:rPr>
          <w:rFonts w:hint="eastAsia"/>
        </w:rPr>
        <w:t>Ethical considerations were thoroughly addressed, with informed consent obtained from all participants. The study was conducted in accordance with the Declaration of Helsinki.</w:t>
      </w:r>
    </w:p>
    <w:p w14:paraId="13BDFF86" w14:textId="77777777" w:rsidR="00F713E9" w:rsidRDefault="00F713E9" w:rsidP="00F713E9">
      <w:pPr>
        <w:rPr>
          <w:rFonts w:hint="eastAsia"/>
        </w:rPr>
      </w:pPr>
    </w:p>
    <w:p w14:paraId="7B006396" w14:textId="2A839C5E" w:rsidR="00F713E9" w:rsidRDefault="00F713E9" w:rsidP="00F713E9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Informed Consent Forms</w:t>
      </w:r>
    </w:p>
    <w:p w14:paraId="58F95C44" w14:textId="77777777" w:rsidR="00F713E9" w:rsidRDefault="00F713E9" w:rsidP="00F713E9">
      <w:pPr>
        <w:rPr>
          <w:rFonts w:hint="eastAsia"/>
        </w:rPr>
      </w:pPr>
    </w:p>
    <w:p w14:paraId="71557065" w14:textId="63BD8906" w:rsidR="00F713E9" w:rsidRDefault="00F713E9" w:rsidP="00F713E9">
      <w:pPr>
        <w:rPr>
          <w:rFonts w:hint="eastAsia"/>
        </w:rPr>
      </w:pPr>
      <w:r>
        <w:rPr>
          <w:rFonts w:hint="eastAsia"/>
        </w:rPr>
        <w:t xml:space="preserve">Approved informed consent forms were provided in English and </w:t>
      </w:r>
      <w:r>
        <w:rPr>
          <w:rFonts w:hint="eastAsia"/>
        </w:rPr>
        <w:t>Chinese</w:t>
      </w:r>
      <w:r>
        <w:rPr>
          <w:rFonts w:hint="eastAsia"/>
        </w:rPr>
        <w:t>, tailored to the participant groups involved.</w:t>
      </w:r>
    </w:p>
    <w:p w14:paraId="6B261372" w14:textId="16129698" w:rsidR="00641E4C" w:rsidRPr="00F713E9" w:rsidRDefault="00641E4C" w:rsidP="00F713E9">
      <w:pPr>
        <w:rPr>
          <w:rFonts w:hint="eastAsia"/>
        </w:rPr>
      </w:pPr>
    </w:p>
    <w:sectPr w:rsidR="00641E4C" w:rsidRPr="00F71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136"/>
    <w:rsid w:val="00641E4C"/>
    <w:rsid w:val="008A5E61"/>
    <w:rsid w:val="00A058E8"/>
    <w:rsid w:val="00C45136"/>
    <w:rsid w:val="00F7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8B16"/>
  <w15:chartTrackingRefBased/>
  <w15:docId w15:val="{A895CD11-4007-46A1-8FDD-807B1F55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13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13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13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13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13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13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1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1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13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1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1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1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1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1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1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1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1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1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51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 董</dc:creator>
  <cp:keywords/>
  <dc:description/>
  <cp:lastModifiedBy>益 董</cp:lastModifiedBy>
  <cp:revision>2</cp:revision>
  <dcterms:created xsi:type="dcterms:W3CDTF">2024-08-20T10:11:00Z</dcterms:created>
  <dcterms:modified xsi:type="dcterms:W3CDTF">2024-08-20T10:22:00Z</dcterms:modified>
</cp:coreProperties>
</file>