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0B1F2827" w14:textId="77777777" w:rsidR="00E1608D" w:rsidRDefault="00E1608D" w:rsidP="00E1608D">
      <w:pPr>
        <w:spacing w:line="24pt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bCs/>
          <w:sz w:val="24"/>
          <w:lang w:bidi="ar"/>
        </w:rPr>
        <w:t xml:space="preserve">Supplementary </w:t>
      </w:r>
      <w:r>
        <w:rPr>
          <w:rFonts w:ascii="Times New Roman" w:hAnsi="Times New Roman"/>
          <w:b/>
          <w:bCs/>
          <w:color w:val="000000"/>
          <w:sz w:val="24"/>
        </w:rPr>
        <w:t xml:space="preserve">Figure 1 </w:t>
      </w:r>
      <w:r>
        <w:rPr>
          <w:rFonts w:ascii="Times New Roman" w:hAnsi="Times New Roman"/>
          <w:sz w:val="24"/>
          <w:lang w:bidi="ar"/>
        </w:rPr>
        <w:t xml:space="preserve">Univariable and </w:t>
      </w:r>
      <w:r>
        <w:rPr>
          <w:rFonts w:ascii="Times New Roman" w:hAnsi="Times New Roman"/>
          <w:color w:val="000000"/>
          <w:sz w:val="24"/>
        </w:rPr>
        <w:t xml:space="preserve">multivariable logistic regression analysis. A </w:t>
      </w:r>
      <w:r>
        <w:rPr>
          <w:rFonts w:ascii="Times New Roman" w:hAnsi="Times New Roman"/>
          <w:sz w:val="24"/>
          <w:lang w:bidi="ar"/>
        </w:rPr>
        <w:t>Univariable</w:t>
      </w:r>
      <w:r>
        <w:rPr>
          <w:rFonts w:ascii="Times New Roman" w:hAnsi="Times New Roman"/>
          <w:color w:val="000000"/>
          <w:sz w:val="24"/>
        </w:rPr>
        <w:t xml:space="preserve"> logistic regression model of preoperative clinicopathologic and genomic features associated with pathologic LN metastasis </w:t>
      </w:r>
      <w:bookmarkStart w:id="0" w:name="_Hlk138428995"/>
      <w:r>
        <w:rPr>
          <w:rFonts w:ascii="Times New Roman" w:hAnsi="Times New Roman"/>
          <w:color w:val="000000"/>
          <w:sz w:val="24"/>
        </w:rPr>
        <w:t>in the NGS cohort</w:t>
      </w:r>
      <w:bookmarkEnd w:id="0"/>
      <w:r>
        <w:rPr>
          <w:rFonts w:ascii="Times New Roman" w:hAnsi="Times New Roman"/>
          <w:color w:val="000000"/>
          <w:sz w:val="24"/>
        </w:rPr>
        <w:t xml:space="preserve">. B Multivariable logistic regression model of preoperative clinicopathologic and genomic features associated with pathologic LN metastasis in the NGS cohort. </w:t>
      </w:r>
      <w:r>
        <w:rPr>
          <w:rFonts w:ascii="Times New Roman" w:hAnsi="Times New Roman" w:hint="eastAsia"/>
          <w:color w:val="000000"/>
          <w:sz w:val="24"/>
        </w:rPr>
        <w:t>p value &lt;</w:t>
      </w:r>
      <w:r>
        <w:rPr>
          <w:rFonts w:ascii="Times New Roman" w:hAnsi="Times New Roman"/>
          <w:color w:val="000000"/>
          <w:sz w:val="24"/>
        </w:rPr>
        <w:t xml:space="preserve"> 0.05 variable with the notable maker.</w:t>
      </w:r>
    </w:p>
    <w:p w14:paraId="45540961" w14:textId="77777777" w:rsidR="00E1608D" w:rsidRDefault="00E1608D" w:rsidP="00E1608D">
      <w:pPr>
        <w:spacing w:line="24pt" w:lineRule="auto"/>
        <w:rPr>
          <w:rFonts w:ascii="Times New Roman" w:hAnsi="Times New Roman"/>
          <w:sz w:val="24"/>
          <w:lang w:bidi="ar"/>
        </w:rPr>
      </w:pPr>
      <w:r>
        <w:rPr>
          <w:rFonts w:ascii="Times New Roman" w:hAnsi="Times New Roman"/>
          <w:b/>
          <w:bCs/>
          <w:sz w:val="24"/>
          <w:lang w:bidi="ar"/>
        </w:rPr>
        <w:t xml:space="preserve">Supplementary </w:t>
      </w:r>
      <w:r>
        <w:rPr>
          <w:rFonts w:ascii="Times New Roman" w:hAnsi="Times New Roman"/>
          <w:b/>
          <w:bCs/>
          <w:color w:val="000000"/>
          <w:sz w:val="24"/>
        </w:rPr>
        <w:t xml:space="preserve">Figure 2 </w:t>
      </w:r>
      <w:r>
        <w:rPr>
          <w:rFonts w:ascii="Times New Roman" w:hAnsi="Times New Roman"/>
          <w:sz w:val="24"/>
          <w:lang w:bidi="ar"/>
        </w:rPr>
        <w:t xml:space="preserve">The COME analysis of oncogenic pathways. A mitotic pathway COME analysis </w:t>
      </w:r>
      <w:r>
        <w:rPr>
          <w:rFonts w:ascii="Times New Roman" w:hAnsi="Times New Roman"/>
          <w:color w:val="000000"/>
          <w:sz w:val="24"/>
        </w:rPr>
        <w:t xml:space="preserve">in our whole cohort, pN negative and pN positive groups. </w:t>
      </w:r>
      <w:r>
        <w:rPr>
          <w:rFonts w:ascii="Times New Roman" w:hAnsi="Times New Roman"/>
          <w:sz w:val="24"/>
          <w:lang w:bidi="ar"/>
        </w:rPr>
        <w:t xml:space="preserve">B mitotic pathway COME analysis </w:t>
      </w:r>
      <w:r>
        <w:rPr>
          <w:rFonts w:ascii="Times New Roman" w:hAnsi="Times New Roman"/>
          <w:color w:val="000000"/>
          <w:sz w:val="24"/>
        </w:rPr>
        <w:t xml:space="preserve">in the MSK cohort, pN negative and pN positive groups. </w:t>
      </w:r>
      <w:r>
        <w:rPr>
          <w:rFonts w:ascii="Times New Roman" w:hAnsi="Times New Roman"/>
          <w:sz w:val="24"/>
          <w:lang w:bidi="ar"/>
        </w:rPr>
        <w:t>COME co-occurrence and mutual exclusivity patterns.</w:t>
      </w:r>
    </w:p>
    <w:p w14:paraId="43F8A455" w14:textId="77777777" w:rsidR="00E1608D" w:rsidRDefault="00E1608D" w:rsidP="00E1608D">
      <w:pPr>
        <w:spacing w:line="24pt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  <w:lang w:bidi="ar"/>
        </w:rPr>
        <w:t xml:space="preserve">Supplementary </w:t>
      </w:r>
      <w:r>
        <w:rPr>
          <w:rFonts w:ascii="Times New Roman" w:hAnsi="Times New Roman"/>
          <w:b/>
          <w:bCs/>
          <w:color w:val="000000"/>
          <w:sz w:val="24"/>
        </w:rPr>
        <w:t xml:space="preserve">Figure 3 </w:t>
      </w:r>
      <w:r>
        <w:rPr>
          <w:rFonts w:ascii="Times New Roman" w:hAnsi="Times New Roman"/>
          <w:sz w:val="24"/>
          <w:lang w:bidi="ar"/>
        </w:rPr>
        <w:t xml:space="preserve">Cellular metacluster densities according to the cellular immunologic distribution in LUAD primary tumors (n = 92). </w:t>
      </w:r>
      <w:r>
        <w:rPr>
          <w:rFonts w:ascii="Times New Roman" w:hAnsi="Times New Roman"/>
          <w:color w:val="000000"/>
          <w:sz w:val="24"/>
        </w:rPr>
        <w:t xml:space="preserve">A, B </w:t>
      </w:r>
      <w:r>
        <w:rPr>
          <w:rFonts w:ascii="Times New Roman" w:hAnsi="Times New Roman"/>
          <w:sz w:val="24"/>
          <w:lang w:bidi="ar"/>
        </w:rPr>
        <w:t xml:space="preserve">The distribution of the numbers of cellular connections and pairs of cell distance among the cellular metaclusters. </w:t>
      </w:r>
      <w:r>
        <w:rPr>
          <w:rFonts w:ascii="Times New Roman" w:hAnsi="Times New Roman"/>
          <w:color w:val="000000"/>
          <w:sz w:val="24"/>
        </w:rPr>
        <w:t xml:space="preserve">C, D, E The </w:t>
      </w:r>
      <w:r>
        <w:rPr>
          <w:rFonts w:ascii="Times New Roman" w:hAnsi="Times New Roman"/>
          <w:sz w:val="24"/>
          <w:lang w:bidi="ar"/>
        </w:rPr>
        <w:t>cell distance (</w:t>
      </w:r>
      <w:r>
        <w:rPr>
          <w:rFonts w:ascii="Times New Roman" w:hAnsi="Times New Roman"/>
          <w:sz w:val="24"/>
        </w:rPr>
        <w:t>µm</w:t>
      </w:r>
      <w:r>
        <w:rPr>
          <w:rFonts w:ascii="Times New Roman" w:hAnsi="Times New Roman"/>
          <w:sz w:val="24"/>
          <w:lang w:bidi="ar"/>
        </w:rPr>
        <w:t xml:space="preserve">) </w:t>
      </w:r>
      <w:r>
        <w:rPr>
          <w:rFonts w:ascii="Times New Roman" w:hAnsi="Times New Roman"/>
          <w:sz w:val="24"/>
        </w:rPr>
        <w:t xml:space="preserve">between the diverse </w:t>
      </w:r>
      <w:r>
        <w:rPr>
          <w:rFonts w:ascii="Times New Roman" w:hAnsi="Times New Roman"/>
          <w:sz w:val="24"/>
          <w:lang w:bidi="ar"/>
        </w:rPr>
        <w:t xml:space="preserve">cellular metacluster pairs: </w:t>
      </w:r>
      <w:r>
        <w:rPr>
          <w:rFonts w:ascii="Times New Roman" w:hAnsi="Times New Roman"/>
          <w:sz w:val="24"/>
        </w:rPr>
        <w:t xml:space="preserve">* </w:t>
      </w:r>
      <w:r>
        <w:rPr>
          <w:rFonts w:ascii="Times New Roman" w:hAnsi="Times New Roman" w:hint="eastAsia"/>
          <w:sz w:val="24"/>
        </w:rPr>
        <w:t>p value &lt;</w:t>
      </w:r>
      <w:r>
        <w:rPr>
          <w:rFonts w:ascii="Times New Roman" w:hAnsi="Times New Roman"/>
          <w:sz w:val="24"/>
        </w:rPr>
        <w:t xml:space="preserve"> 0.05, ** </w:t>
      </w:r>
      <w:r>
        <w:rPr>
          <w:rFonts w:ascii="Times New Roman" w:hAnsi="Times New Roman" w:hint="eastAsia"/>
          <w:sz w:val="24"/>
        </w:rPr>
        <w:t>p value &lt;</w:t>
      </w:r>
      <w:r>
        <w:rPr>
          <w:rFonts w:ascii="Times New Roman" w:hAnsi="Times New Roman"/>
          <w:sz w:val="24"/>
        </w:rPr>
        <w:t xml:space="preserve"> 0.001. Data are shown as </w:t>
      </w:r>
      <w:r>
        <w:rPr>
          <w:rFonts w:ascii="Times New Roman" w:hAnsi="Times New Roman"/>
          <w:sz w:val="24"/>
          <w:lang w:bidi="ar"/>
        </w:rPr>
        <w:t>means ± SEMs</w:t>
      </w:r>
      <w:r>
        <w:rPr>
          <w:rFonts w:ascii="Times New Roman" w:hAnsi="Times New Roman"/>
          <w:sz w:val="24"/>
        </w:rPr>
        <w:t>. A one-way ANOVA test was used for statistical analysis.</w:t>
      </w:r>
    </w:p>
    <w:p w14:paraId="34C51F68" w14:textId="77777777" w:rsidR="00E1608D" w:rsidRDefault="00E1608D" w:rsidP="00E1608D">
      <w:pPr>
        <w:spacing w:line="24pt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bCs/>
          <w:sz w:val="24"/>
          <w:lang w:bidi="ar"/>
        </w:rPr>
        <w:t xml:space="preserve">Supplementary </w:t>
      </w:r>
      <w:r>
        <w:rPr>
          <w:rFonts w:ascii="Times New Roman" w:hAnsi="Times New Roman"/>
          <w:b/>
          <w:bCs/>
          <w:color w:val="000000"/>
          <w:sz w:val="24"/>
        </w:rPr>
        <w:t xml:space="preserve">Figure 4 </w:t>
      </w:r>
      <w:r>
        <w:rPr>
          <w:rFonts w:ascii="Times New Roman" w:hAnsi="Times New Roman"/>
          <w:color w:val="000000"/>
          <w:sz w:val="24"/>
        </w:rPr>
        <w:t>Genetic Features Analysis of TIME patterns. A The silhouette coefficient of the TIME subtypes. B The co-occurrence gene analysis of the TIME subtypes. C Comparison of mutation frequency of the genes among the TIME subtypes. Abbreviations: TIME - tumor immune microenvironment. D The association between the frequency of LN metastasis and the distribution of two clusters (</w:t>
      </w:r>
      <w:r>
        <w:rPr>
          <w:rFonts w:ascii="Times New Roman" w:hAnsi="Times New Roman" w:hint="eastAsia"/>
          <w:color w:val="000000"/>
          <w:sz w:val="24"/>
        </w:rPr>
        <w:t>p value &lt;</w:t>
      </w:r>
      <w:r>
        <w:rPr>
          <w:rFonts w:ascii="Times New Roman" w:hAnsi="Times New Roman"/>
          <w:color w:val="000000"/>
          <w:sz w:val="24"/>
        </w:rPr>
        <w:t xml:space="preserve"> 0.001).</w:t>
      </w:r>
    </w:p>
    <w:p w14:paraId="09529A0C" w14:textId="77777777" w:rsidR="00E1608D" w:rsidRDefault="00E1608D" w:rsidP="00E1608D">
      <w:pPr>
        <w:spacing w:line="24pt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bCs/>
          <w:sz w:val="24"/>
          <w:lang w:bidi="ar"/>
        </w:rPr>
        <w:lastRenderedPageBreak/>
        <w:t xml:space="preserve">Supplementary </w:t>
      </w:r>
      <w:r>
        <w:rPr>
          <w:rFonts w:ascii="Times New Roman" w:hAnsi="Times New Roman"/>
          <w:b/>
          <w:bCs/>
          <w:color w:val="000000"/>
          <w:sz w:val="24"/>
        </w:rPr>
        <w:t xml:space="preserve">Figure 5 </w:t>
      </w:r>
      <w:r>
        <w:rPr>
          <w:rFonts w:ascii="Times New Roman" w:hAnsi="Times New Roman"/>
          <w:color w:val="000000"/>
          <w:sz w:val="24"/>
        </w:rPr>
        <w:t>Identification of the immunogenomic according to</w:t>
      </w:r>
      <w:r>
        <w:rPr>
          <w:rFonts w:ascii="Times New Roman" w:hAnsi="Times New Roman"/>
          <w:b/>
          <w:bCs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CN distribution in LUAD. A The distribution of CN profiles across the cohort (n = 92). B The statistical results show a correlation between epithelial CNs: CN 2, 5 and 6 (</w:t>
      </w:r>
      <w:r>
        <w:rPr>
          <w:rFonts w:ascii="Times New Roman" w:hAnsi="Times New Roman" w:hint="eastAsia"/>
          <w:color w:val="000000"/>
          <w:sz w:val="24"/>
        </w:rPr>
        <w:t>p value &lt;</w:t>
      </w:r>
      <w:r>
        <w:rPr>
          <w:rFonts w:ascii="Times New Roman" w:hAnsi="Times New Roman"/>
          <w:color w:val="000000"/>
          <w:sz w:val="24"/>
        </w:rPr>
        <w:t xml:space="preserve"> 0.05) and the epithelial component, in relation to the differences in CN for pN negative and positive: CN 2, 5 and 6 (</w:t>
      </w:r>
      <w:r>
        <w:rPr>
          <w:rFonts w:ascii="Times New Roman" w:hAnsi="Times New Roman" w:hint="eastAsia"/>
          <w:color w:val="000000"/>
          <w:sz w:val="24"/>
        </w:rPr>
        <w:t>p value &gt;</w:t>
      </w:r>
      <w:r>
        <w:rPr>
          <w:rFonts w:ascii="Times New Roman" w:hAnsi="Times New Roman"/>
          <w:color w:val="000000"/>
          <w:sz w:val="24"/>
        </w:rPr>
        <w:t xml:space="preserve"> 0.05). C The statistical results show a correlation between CNs enriched in CD8+ and CD4+ T cells: CN 1 (</w:t>
      </w:r>
      <w:r>
        <w:rPr>
          <w:rFonts w:ascii="Times New Roman" w:hAnsi="Times New Roman" w:hint="eastAsia"/>
          <w:color w:val="000000"/>
          <w:sz w:val="24"/>
        </w:rPr>
        <w:t>p value &lt;</w:t>
      </w:r>
      <w:r>
        <w:rPr>
          <w:rFonts w:ascii="Times New Roman" w:hAnsi="Times New Roman"/>
          <w:color w:val="000000"/>
          <w:sz w:val="24"/>
        </w:rPr>
        <w:t xml:space="preserve"> 0.05) and the T cells component, in relation to the differences in CN1 for pN negative and positive (</w:t>
      </w:r>
      <w:r>
        <w:rPr>
          <w:rFonts w:ascii="Times New Roman" w:hAnsi="Times New Roman" w:hint="eastAsia"/>
          <w:color w:val="000000"/>
          <w:sz w:val="24"/>
        </w:rPr>
        <w:t>p value &gt;</w:t>
      </w:r>
      <w:r>
        <w:rPr>
          <w:rFonts w:ascii="Times New Roman" w:hAnsi="Times New Roman"/>
          <w:color w:val="000000"/>
          <w:sz w:val="24"/>
        </w:rPr>
        <w:t xml:space="preserve"> 0.05). D Immunogenomic patterns integration of genetic alterations and CNs in our whole cohort.</w:t>
      </w:r>
    </w:p>
    <w:p w14:paraId="40EC79DA" w14:textId="77777777" w:rsidR="00E1608D" w:rsidRDefault="00E1608D" w:rsidP="00E1608D">
      <w:pPr>
        <w:spacing w:beforeLines="50" w:before="7.80pt" w:line="24pt" w:lineRule="auto"/>
        <w:rPr>
          <w:rFonts w:ascii="Times New Roman" w:hAnsi="Times New Roman"/>
          <w:lang w:bidi="ar"/>
        </w:rPr>
      </w:pPr>
      <w:r>
        <w:rPr>
          <w:rFonts w:ascii="Times New Roman" w:hAnsi="Times New Roman"/>
          <w:b/>
          <w:bCs/>
          <w:sz w:val="24"/>
          <w:lang w:bidi="ar"/>
        </w:rPr>
        <w:t xml:space="preserve">Supplementary </w:t>
      </w:r>
      <w:r>
        <w:rPr>
          <w:rFonts w:ascii="Times New Roman" w:hAnsi="Times New Roman"/>
          <w:b/>
          <w:bCs/>
          <w:color w:val="000000"/>
          <w:sz w:val="24"/>
        </w:rPr>
        <w:t xml:space="preserve">Figure 6 </w:t>
      </w:r>
      <w:r>
        <w:rPr>
          <w:rFonts w:ascii="Times New Roman" w:hAnsi="Times New Roman"/>
          <w:color w:val="000000"/>
          <w:sz w:val="24"/>
        </w:rPr>
        <w:t>ImGene model predicts the LN stage. A, B, C The assessment indices of the ImGene multimodel using genetic and mIHC data, exhibit superior performance compared to the ImFeatures monomodels on both training and validation set. D The ROC curve of the PKU and FUDAN N2 stage prediction model. Abbreviations: PKPH - Peking University People's Hospital, PKTOI - Peking University People's Hospital Thoracic Oncology Institution, ROC - receiver operating characteristic, PKU - Peking University.</w:t>
      </w:r>
    </w:p>
    <w:p w14:paraId="4E951CD6" w14:textId="77777777" w:rsidR="008C374B" w:rsidRDefault="008C374B"/>
    <w:sectPr w:rsidR="008C374B" w:rsidSect="00E1608D">
      <w:pgSz w:w="595.30pt" w:h="841.90pt"/>
      <w:pgMar w:top="72pt" w:right="90pt" w:bottom="72pt" w:left="90pt" w:header="42.55pt" w:footer="49.60pt" w:gutter="0pt"/>
      <w:lnNumType w:countBy="1" w:restart="continuous"/>
      <w:cols w:space="36pt"/>
      <w:docGrid w:type="lines" w:linePitch="312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08D"/>
    <w:rsid w:val="002A5090"/>
    <w:rsid w:val="003F36CB"/>
    <w:rsid w:val="00807244"/>
    <w:rsid w:val="008C374B"/>
    <w:rsid w:val="00954821"/>
    <w:rsid w:val="00AF416B"/>
    <w:rsid w:val="00E1608D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C0AA50"/>
  <w15:chartTrackingRefBased/>
  <w15:docId w15:val="{B34B9A45-190B-412B-82F6-5C8FE42D5406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E1608D"/>
    <w:pPr>
      <w:widowControl w:val="0"/>
      <w:spacing w:after="0pt" w:line="12pt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608D"/>
    <w:pPr>
      <w:keepNext/>
      <w:keepLines/>
      <w:widowControl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08D"/>
    <w:pPr>
      <w:keepNext/>
      <w:keepLines/>
      <w:widowControl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08D"/>
    <w:pPr>
      <w:keepNext/>
      <w:keepLines/>
      <w:widowControl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08D"/>
    <w:pPr>
      <w:keepNext/>
      <w:keepLines/>
      <w:widowControl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08D"/>
    <w:pPr>
      <w:keepNext/>
      <w:keepLines/>
      <w:widowControl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08D"/>
    <w:pPr>
      <w:keepNext/>
      <w:keepLines/>
      <w:widowControl/>
      <w:spacing w:before="2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08D"/>
    <w:pPr>
      <w:keepNext/>
      <w:keepLines/>
      <w:widowControl/>
      <w:spacing w:before="2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08D"/>
    <w:pPr>
      <w:keepNext/>
      <w:keepLines/>
      <w:widowControl/>
      <w:spacing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08D"/>
    <w:pPr>
      <w:keepNext/>
      <w:keepLines/>
      <w:widowControl/>
      <w:spacing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0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0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0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0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0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0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0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0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0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608D"/>
    <w:pPr>
      <w:widowControl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60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08D"/>
    <w:pPr>
      <w:widowControl/>
      <w:numPr>
        <w:ilvl w:val="1"/>
      </w:numPr>
      <w:spacing w:after="8pt"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60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608D"/>
    <w:pPr>
      <w:widowControl/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60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608D"/>
    <w:pPr>
      <w:widowControl/>
      <w:spacing w:after="8pt" w:line="12.95pt" w:lineRule="auto"/>
      <w:ind w:start="36pt"/>
      <w:contextualSpacing/>
      <w:jc w:val="star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60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08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0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608D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E1608D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2</Pages>
  <Words>422</Words>
  <Characters>2406</Characters>
  <Application>Microsoft Office Word</Application>
  <DocSecurity>0</DocSecurity>
  <Lines>20</Lines>
  <Paragraphs>5</Paragraphs>
  <ScaleCrop>false</ScaleCrop>
  <Company>Springer Nature</Company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2024-08-27T07:03:00Z</dcterms:created>
  <dcterms:modified xsi:type="dcterms:W3CDTF">2024-08-27T07:04:00Z</dcterms:modified>
</cp:coreProperties>
</file>