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9C5" w:rsidRPr="002E3A51" w:rsidRDefault="000E2419" w:rsidP="006349C5">
      <w:pPr>
        <w:pStyle w:val="MDPI62BackMatter"/>
        <w:spacing w:before="240"/>
        <w:rPr>
          <w:b/>
          <w:color w:val="auto"/>
          <w:sz w:val="32"/>
          <w:szCs w:val="32"/>
        </w:rPr>
      </w:pPr>
      <w:r w:rsidRPr="002E3A51">
        <w:rPr>
          <w:b/>
          <w:color w:val="auto"/>
          <w:sz w:val="32"/>
          <w:szCs w:val="32"/>
        </w:rPr>
        <w:t xml:space="preserve">Supplementary </w:t>
      </w:r>
      <w:r w:rsidR="00B458C8">
        <w:rPr>
          <w:b/>
          <w:color w:val="auto"/>
          <w:sz w:val="32"/>
          <w:szCs w:val="32"/>
        </w:rPr>
        <w:t>Data</w:t>
      </w:r>
      <w:r w:rsidR="006349C5" w:rsidRPr="002E3A51">
        <w:rPr>
          <w:b/>
          <w:color w:val="auto"/>
          <w:sz w:val="32"/>
          <w:szCs w:val="32"/>
        </w:rPr>
        <w:t xml:space="preserve"> </w:t>
      </w:r>
    </w:p>
    <w:p w:rsidR="000E2419" w:rsidRPr="00985145" w:rsidRDefault="000E2419" w:rsidP="006349C5">
      <w:pPr>
        <w:pStyle w:val="MDPI62BackMatter"/>
        <w:spacing w:before="240"/>
        <w:rPr>
          <w:b/>
          <w:color w:val="auto"/>
          <w:sz w:val="22"/>
          <w:szCs w:val="22"/>
        </w:rPr>
      </w:pPr>
      <w:r w:rsidRPr="00985145">
        <w:rPr>
          <w:b/>
          <w:color w:val="auto"/>
          <w:sz w:val="22"/>
          <w:szCs w:val="22"/>
        </w:rPr>
        <w:t>S.1. Material an</w:t>
      </w:r>
      <w:r w:rsidR="00CB26D6" w:rsidRPr="00985145">
        <w:rPr>
          <w:b/>
          <w:color w:val="auto"/>
          <w:sz w:val="22"/>
          <w:szCs w:val="22"/>
        </w:rPr>
        <w:t>d</w:t>
      </w:r>
      <w:r w:rsidRPr="00985145">
        <w:rPr>
          <w:b/>
          <w:color w:val="auto"/>
          <w:sz w:val="22"/>
          <w:szCs w:val="22"/>
        </w:rPr>
        <w:t xml:space="preserve"> Methods</w:t>
      </w:r>
      <w:r w:rsidR="00CB26D6" w:rsidRPr="00985145">
        <w:rPr>
          <w:b/>
          <w:color w:val="auto"/>
          <w:sz w:val="22"/>
          <w:szCs w:val="22"/>
        </w:rPr>
        <w:t>/Results</w:t>
      </w:r>
    </w:p>
    <w:p w:rsidR="000E2419" w:rsidRPr="00985145" w:rsidRDefault="000E2419" w:rsidP="006349C5">
      <w:pPr>
        <w:pStyle w:val="MDPI62BackMatter"/>
        <w:spacing w:before="240"/>
        <w:rPr>
          <w:i/>
          <w:color w:val="auto"/>
        </w:rPr>
      </w:pPr>
      <w:r w:rsidRPr="00985145">
        <w:rPr>
          <w:i/>
          <w:color w:val="auto"/>
        </w:rPr>
        <w:t xml:space="preserve">S1.1. Masson's </w:t>
      </w:r>
      <w:proofErr w:type="spellStart"/>
      <w:r w:rsidRPr="00985145">
        <w:rPr>
          <w:i/>
          <w:color w:val="auto"/>
        </w:rPr>
        <w:t>trichrome</w:t>
      </w:r>
      <w:proofErr w:type="spellEnd"/>
      <w:r w:rsidRPr="00985145">
        <w:rPr>
          <w:i/>
          <w:color w:val="auto"/>
        </w:rPr>
        <w:t xml:space="preserve"> staining</w:t>
      </w:r>
    </w:p>
    <w:p w:rsidR="009D4457" w:rsidRPr="00985145" w:rsidRDefault="00701F6A" w:rsidP="009D4457">
      <w:pPr>
        <w:pStyle w:val="MDPI62BackMatter"/>
        <w:spacing w:after="0"/>
        <w:rPr>
          <w:noProof/>
          <w:snapToGrid/>
          <w:color w:val="auto"/>
          <w:lang w:val="en-GB" w:eastAsia="it-IT" w:bidi="ar-SA"/>
        </w:rPr>
      </w:pPr>
      <w:r w:rsidRPr="00985145">
        <w:rPr>
          <w:noProof/>
          <w:snapToGrid/>
          <w:color w:val="auto"/>
          <w:lang w:val="en-GB" w:eastAsia="it-IT" w:bidi="ar-SA"/>
        </w:rPr>
        <w:t xml:space="preserve">The de-paraffinized sections were </w:t>
      </w:r>
      <w:r w:rsidR="000D1EC3">
        <w:rPr>
          <w:noProof/>
          <w:snapToGrid/>
          <w:color w:val="auto"/>
          <w:lang w:val="en-GB" w:eastAsia="it-IT" w:bidi="ar-SA"/>
        </w:rPr>
        <w:t>obtained from N= 3 hearts of</w:t>
      </w:r>
      <w:r w:rsidR="007A6B14">
        <w:rPr>
          <w:noProof/>
          <w:snapToGrid/>
          <w:color w:val="auto"/>
          <w:lang w:val="en-GB" w:eastAsia="it-IT" w:bidi="ar-SA"/>
        </w:rPr>
        <w:t xml:space="preserve"> each group, </w:t>
      </w:r>
      <w:r w:rsidR="000D1EC3">
        <w:rPr>
          <w:noProof/>
          <w:snapToGrid/>
          <w:color w:val="auto"/>
          <w:lang w:val="en-GB" w:eastAsia="it-IT" w:bidi="ar-SA"/>
        </w:rPr>
        <w:t xml:space="preserve">and </w:t>
      </w:r>
      <w:r w:rsidRPr="00985145">
        <w:rPr>
          <w:noProof/>
          <w:snapToGrid/>
          <w:color w:val="auto"/>
          <w:lang w:val="en-GB" w:eastAsia="it-IT" w:bidi="ar-SA"/>
        </w:rPr>
        <w:t>stained by following the procedure already published in [</w:t>
      </w:r>
      <w:r w:rsidR="00A711DF" w:rsidRPr="00985145">
        <w:rPr>
          <w:noProof/>
          <w:snapToGrid/>
          <w:color w:val="auto"/>
          <w:lang w:val="en-GB" w:eastAsia="it-IT" w:bidi="ar-SA"/>
        </w:rPr>
        <w:t>22</w:t>
      </w:r>
      <w:r w:rsidRPr="00985145">
        <w:rPr>
          <w:noProof/>
          <w:snapToGrid/>
          <w:color w:val="auto"/>
          <w:lang w:val="en-GB" w:eastAsia="it-IT" w:bidi="ar-SA"/>
        </w:rPr>
        <w:t xml:space="preserve">]. Brefly, the sections were stained using Weigert's ferric haematoxylin (Sigma-Aldrich) to highlight the nuclei. The cytoplasm and muscle were stained with a solution of Ecarlate-Biebrich-Acid-Fuchsin (Sigma-Aldrich). The slides were stained in Phosphotungstic acid/Phosphomolybdic acid (Sigma-Aldrich). After this treatment, col-lagen was observed by staining with 1% blue aniline. The slides were rinsed with 1% acetic acid for 2 min to improve the delicacy and transparency of the colours. At the end of the treatments, the slides mounted in Eukitt (Sigma-Aldrich). </w:t>
      </w:r>
    </w:p>
    <w:p w:rsidR="009D4457" w:rsidRPr="00985145" w:rsidRDefault="009D4457" w:rsidP="009D4457">
      <w:pPr>
        <w:pStyle w:val="MDPI62BackMatter"/>
        <w:spacing w:after="0"/>
        <w:rPr>
          <w:color w:val="auto"/>
        </w:rPr>
      </w:pPr>
      <w:r w:rsidRPr="00985145">
        <w:rPr>
          <w:noProof/>
          <w:snapToGrid/>
          <w:color w:val="auto"/>
          <w:lang w:val="en-GB" w:eastAsia="it-IT" w:bidi="ar-SA"/>
        </w:rPr>
        <w:t xml:space="preserve">The analysis of the hypertrophy has been conducted </w:t>
      </w:r>
      <w:r w:rsidR="004C09B5">
        <w:rPr>
          <w:noProof/>
          <w:snapToGrid/>
          <w:color w:val="auto"/>
          <w:lang w:val="en-GB" w:eastAsia="it-IT" w:bidi="ar-SA"/>
        </w:rPr>
        <w:t>on five non-consecutive sections</w:t>
      </w:r>
      <w:r w:rsidRPr="00985145">
        <w:rPr>
          <w:noProof/>
          <w:snapToGrid/>
          <w:color w:val="auto"/>
          <w:lang w:val="en-GB" w:eastAsia="it-IT" w:bidi="ar-SA"/>
        </w:rPr>
        <w:t xml:space="preserve">by calculating the area occupied by Masson’s </w:t>
      </w:r>
      <w:proofErr w:type="spellStart"/>
      <w:r w:rsidRPr="00985145">
        <w:rPr>
          <w:color w:val="auto"/>
        </w:rPr>
        <w:t>coloured</w:t>
      </w:r>
      <w:proofErr w:type="spellEnd"/>
      <w:r w:rsidRPr="00985145">
        <w:rPr>
          <w:color w:val="auto"/>
        </w:rPr>
        <w:t xml:space="preserve"> </w:t>
      </w:r>
      <w:proofErr w:type="spellStart"/>
      <w:r w:rsidRPr="00985145">
        <w:rPr>
          <w:color w:val="auto"/>
        </w:rPr>
        <w:t>myocytes</w:t>
      </w:r>
      <w:proofErr w:type="spellEnd"/>
      <w:r w:rsidRPr="00985145">
        <w:rPr>
          <w:color w:val="auto"/>
        </w:rPr>
        <w:t xml:space="preserve"> of the ventricle portion in an area of 1 mm</w:t>
      </w:r>
      <w:r w:rsidRPr="00993752">
        <w:rPr>
          <w:color w:val="auto"/>
          <w:vertAlign w:val="superscript"/>
        </w:rPr>
        <w:t>2</w:t>
      </w:r>
      <w:r w:rsidRPr="00985145">
        <w:rPr>
          <w:color w:val="auto"/>
        </w:rPr>
        <w:t xml:space="preserve"> were assessed using an image analysis system (Axiovision100, </w:t>
      </w:r>
      <w:proofErr w:type="spellStart"/>
      <w:r w:rsidRPr="00985145">
        <w:rPr>
          <w:color w:val="auto"/>
        </w:rPr>
        <w:t>Zeiss</w:t>
      </w:r>
      <w:proofErr w:type="spellEnd"/>
      <w:r w:rsidRPr="00985145">
        <w:rPr>
          <w:color w:val="auto"/>
        </w:rPr>
        <w:t xml:space="preserve">). The marked area occupied by </w:t>
      </w:r>
      <w:proofErr w:type="spellStart"/>
      <w:r w:rsidRPr="00985145">
        <w:rPr>
          <w:color w:val="auto"/>
        </w:rPr>
        <w:t>myocytes</w:t>
      </w:r>
      <w:proofErr w:type="spellEnd"/>
      <w:r w:rsidRPr="00985145">
        <w:rPr>
          <w:color w:val="auto"/>
        </w:rPr>
        <w:t xml:space="preserve"> was calculated as the mean ± standard deviation of the mean (SD). The P-values of the differences of two groups were obtained based on t-Student test </w:t>
      </w:r>
      <w:r w:rsidR="0050732E" w:rsidRPr="00985145">
        <w:rPr>
          <w:color w:val="auto"/>
        </w:rPr>
        <w:t>/</w:t>
      </w:r>
      <w:r w:rsidRPr="00985145">
        <w:rPr>
          <w:color w:val="auto"/>
        </w:rPr>
        <w:t xml:space="preserve"> ANOVA one way</w:t>
      </w:r>
      <w:r w:rsidR="0050732E" w:rsidRPr="00985145">
        <w:rPr>
          <w:color w:val="auto"/>
        </w:rPr>
        <w:t xml:space="preserve"> for normally distributed data</w:t>
      </w:r>
      <w:r w:rsidRPr="00985145">
        <w:rPr>
          <w:color w:val="auto"/>
        </w:rPr>
        <w:t>, for more groups were obtained based on an ANOVA-</w:t>
      </w:r>
      <w:proofErr w:type="spellStart"/>
      <w:r w:rsidRPr="00985145">
        <w:rPr>
          <w:color w:val="auto"/>
        </w:rPr>
        <w:t>Bonferroni</w:t>
      </w:r>
      <w:proofErr w:type="spellEnd"/>
      <w:r w:rsidRPr="00985145">
        <w:rPr>
          <w:color w:val="auto"/>
        </w:rPr>
        <w:t xml:space="preserve"> test.</w:t>
      </w:r>
    </w:p>
    <w:p w:rsidR="0055553E" w:rsidRPr="00985145" w:rsidRDefault="00150488" w:rsidP="00871D78">
      <w:pPr>
        <w:pStyle w:val="MDPI62BackMatter"/>
        <w:spacing w:after="0"/>
        <w:rPr>
          <w:noProof/>
          <w:snapToGrid/>
          <w:color w:val="auto"/>
          <w:lang w:val="en-GB" w:eastAsia="it-IT" w:bidi="ar-SA"/>
        </w:rPr>
      </w:pPr>
      <w:r w:rsidRPr="00150488">
        <w:rPr>
          <w:noProof/>
          <w:snapToGrid/>
          <w:color w:val="auto"/>
          <w:lang w:val="en-GB" w:eastAsia="it-IT" w:bidi="ar-SA"/>
        </w:rPr>
        <w:t xml:space="preserve">morphological characteristics of the cardiac tissue subjected to PE, GFs or PE and BL (untreated control group = CTR; experimental groups = PE, GFs, PE/BL, PE+BL, BL+PE) (Fig.1S). Since some of this data is already published [22], it is reported only in supplementary material as confirmation of previous observations. However, GFs sample analysis represents new data reported. Masson’s colourimetric technique permits us to distinguish: the fibres (dark brown), the cytoplasm of muscle fibres (red), and the connective tissue (blue). </w:t>
      </w:r>
      <w:r w:rsidR="00CB26D6" w:rsidRPr="00985145">
        <w:rPr>
          <w:noProof/>
          <w:snapToGrid/>
          <w:color w:val="auto"/>
          <w:lang w:val="en-GB" w:eastAsia="it-IT" w:bidi="ar-SA"/>
        </w:rPr>
        <w:t xml:space="preserve">In untreated hearts cultured </w:t>
      </w:r>
      <w:r w:rsidR="00CB26D6" w:rsidRPr="00985145">
        <w:rPr>
          <w:i/>
          <w:noProof/>
          <w:snapToGrid/>
          <w:color w:val="auto"/>
          <w:lang w:val="en-GB" w:eastAsia="it-IT" w:bidi="ar-SA"/>
        </w:rPr>
        <w:t>ex vivo</w:t>
      </w:r>
      <w:r w:rsidR="00CB26D6" w:rsidRPr="00985145">
        <w:rPr>
          <w:noProof/>
          <w:snapToGrid/>
          <w:color w:val="auto"/>
          <w:lang w:val="en-GB" w:eastAsia="it-IT" w:bidi="ar-SA"/>
        </w:rPr>
        <w:t xml:space="preserve"> for 96h in an L15c medium, the epicardium is thin, and the muscle fibres display a regular myofibril content (Fig.1S, a)</w:t>
      </w:r>
      <w:r w:rsidR="002E600A" w:rsidRPr="00985145">
        <w:rPr>
          <w:noProof/>
          <w:snapToGrid/>
          <w:color w:val="auto"/>
          <w:lang w:val="en-GB" w:eastAsia="it-IT" w:bidi="ar-SA"/>
        </w:rPr>
        <w:t xml:space="preserve"> as pr</w:t>
      </w:r>
      <w:r w:rsidR="00A711DF" w:rsidRPr="00985145">
        <w:rPr>
          <w:noProof/>
          <w:snapToGrid/>
          <w:color w:val="auto"/>
          <w:lang w:val="en-GB" w:eastAsia="it-IT" w:bidi="ar-SA"/>
        </w:rPr>
        <w:t>e</w:t>
      </w:r>
      <w:r w:rsidR="002E600A" w:rsidRPr="00985145">
        <w:rPr>
          <w:noProof/>
          <w:snapToGrid/>
          <w:color w:val="auto"/>
          <w:lang w:val="en-GB" w:eastAsia="it-IT" w:bidi="ar-SA"/>
        </w:rPr>
        <w:t>viously reported [</w:t>
      </w:r>
      <w:r w:rsidR="00A711DF" w:rsidRPr="00985145">
        <w:rPr>
          <w:noProof/>
          <w:snapToGrid/>
          <w:color w:val="auto"/>
          <w:lang w:val="en-GB" w:eastAsia="it-IT" w:bidi="ar-SA"/>
        </w:rPr>
        <w:t>22</w:t>
      </w:r>
      <w:r w:rsidR="002E600A" w:rsidRPr="00985145">
        <w:rPr>
          <w:noProof/>
          <w:snapToGrid/>
          <w:color w:val="auto"/>
          <w:lang w:val="en-GB" w:eastAsia="it-IT" w:bidi="ar-SA"/>
        </w:rPr>
        <w:t>]</w:t>
      </w:r>
      <w:r w:rsidR="00CB26D6" w:rsidRPr="00985145">
        <w:rPr>
          <w:noProof/>
          <w:snapToGrid/>
          <w:color w:val="auto"/>
          <w:lang w:val="en-GB" w:eastAsia="it-IT" w:bidi="ar-SA"/>
        </w:rPr>
        <w:t>.</w:t>
      </w:r>
      <w:r w:rsidR="008D1436">
        <w:rPr>
          <w:noProof/>
          <w:snapToGrid/>
          <w:color w:val="auto"/>
          <w:lang w:val="en-GB" w:eastAsia="it-IT" w:bidi="ar-SA"/>
        </w:rPr>
        <w:t xml:space="preserve"> </w:t>
      </w:r>
      <w:r w:rsidR="00CB26D6" w:rsidRPr="00985145">
        <w:rPr>
          <w:noProof/>
          <w:snapToGrid/>
          <w:color w:val="auto"/>
          <w:lang w:val="en-GB" w:eastAsia="it-IT" w:bidi="ar-SA"/>
        </w:rPr>
        <w:t xml:space="preserve">In contrast, in hearts treated with PE for 96h, there is an increase in hypertrophy of the muscle fibrils and the cellular states of the epithelium surrounding the heart (epicardium), which appears thick (Fig. 1S, b). </w:t>
      </w:r>
      <w:r w:rsidR="00871D78" w:rsidRPr="00985145">
        <w:rPr>
          <w:noProof/>
          <w:snapToGrid/>
          <w:color w:val="auto"/>
          <w:lang w:val="en-GB" w:eastAsia="it-IT" w:bidi="ar-SA"/>
        </w:rPr>
        <w:t>The cultured heart with a medium GFs-supplemented has evidenced a quite hypertrophy of fibrils (the area calculated by the image analyzer, 4350.06 ± 20.74 μm</w:t>
      </w:r>
      <w:r w:rsidR="00871D78" w:rsidRPr="00985145">
        <w:rPr>
          <w:noProof/>
          <w:snapToGrid/>
          <w:color w:val="auto"/>
          <w:vertAlign w:val="superscript"/>
          <w:lang w:val="en-GB" w:eastAsia="it-IT" w:bidi="ar-SA"/>
        </w:rPr>
        <w:t xml:space="preserve">2 </w:t>
      </w:r>
      <w:r w:rsidR="00871D78" w:rsidRPr="00985145">
        <w:rPr>
          <w:noProof/>
          <w:snapToGrid/>
          <w:color w:val="auto"/>
          <w:lang w:val="en-GB" w:eastAsia="it-IT" w:bidi="ar-SA"/>
        </w:rPr>
        <w:t>as compared to the CTR = 3980.46 ± 10.34 μm</w:t>
      </w:r>
      <w:r w:rsidR="00871D78" w:rsidRPr="00985145">
        <w:rPr>
          <w:noProof/>
          <w:snapToGrid/>
          <w:color w:val="auto"/>
          <w:vertAlign w:val="superscript"/>
          <w:lang w:val="en-GB" w:eastAsia="it-IT" w:bidi="ar-SA"/>
        </w:rPr>
        <w:t>2</w:t>
      </w:r>
      <w:r w:rsidR="00871D78" w:rsidRPr="00985145">
        <w:rPr>
          <w:noProof/>
          <w:snapToGrid/>
          <w:color w:val="auto"/>
          <w:lang w:val="en-GB" w:eastAsia="it-IT" w:bidi="ar-SA"/>
        </w:rPr>
        <w:t>). As previously reported, it occurred an enhancement of the area occupied by fibrils in PE-treated groups:</w:t>
      </w:r>
      <w:r w:rsidRPr="00985145">
        <w:rPr>
          <w:noProof/>
          <w:snapToGrid/>
          <w:color w:val="auto"/>
          <w:lang w:val="en-GB" w:eastAsia="it-IT" w:bidi="ar-SA"/>
        </w:rPr>
        <w:t xml:space="preserve"> </w:t>
      </w:r>
      <w:r w:rsidR="00871D78" w:rsidRPr="00985145">
        <w:rPr>
          <w:noProof/>
          <w:snapToGrid/>
          <w:color w:val="auto"/>
          <w:lang w:val="en-GB" w:eastAsia="it-IT" w:bidi="ar-SA"/>
        </w:rPr>
        <w:t>PE = 6545.50 ± 40.04 μm</w:t>
      </w:r>
      <w:r w:rsidR="00871D78" w:rsidRPr="00985145">
        <w:rPr>
          <w:noProof/>
          <w:snapToGrid/>
          <w:color w:val="auto"/>
          <w:vertAlign w:val="superscript"/>
          <w:lang w:val="en-GB" w:eastAsia="it-IT" w:bidi="ar-SA"/>
        </w:rPr>
        <w:t>2</w:t>
      </w:r>
      <w:r w:rsidR="00871D78" w:rsidRPr="00985145">
        <w:rPr>
          <w:noProof/>
          <w:snapToGrid/>
          <w:color w:val="auto"/>
          <w:lang w:val="en-GB" w:eastAsia="it-IT" w:bidi="ar-SA"/>
        </w:rPr>
        <w:t>; PE/BL= 4005.76 ± 5.81 μm</w:t>
      </w:r>
      <w:r w:rsidR="00871D78" w:rsidRPr="00985145">
        <w:rPr>
          <w:noProof/>
          <w:snapToGrid/>
          <w:color w:val="auto"/>
          <w:vertAlign w:val="superscript"/>
          <w:lang w:val="en-GB" w:eastAsia="it-IT" w:bidi="ar-SA"/>
        </w:rPr>
        <w:t>2</w:t>
      </w:r>
      <w:r w:rsidR="00871D78" w:rsidRPr="00985145">
        <w:rPr>
          <w:noProof/>
          <w:snapToGrid/>
          <w:color w:val="auto"/>
          <w:lang w:val="en-GB" w:eastAsia="it-IT" w:bidi="ar-SA"/>
        </w:rPr>
        <w:t>; PE+BL= 4431.25 ± 15.08 μm</w:t>
      </w:r>
      <w:r w:rsidR="00871D78" w:rsidRPr="00985145">
        <w:rPr>
          <w:noProof/>
          <w:snapToGrid/>
          <w:color w:val="auto"/>
          <w:vertAlign w:val="superscript"/>
          <w:lang w:val="en-GB" w:eastAsia="it-IT" w:bidi="ar-SA"/>
        </w:rPr>
        <w:t>2</w:t>
      </w:r>
      <w:r w:rsidR="00871D78" w:rsidRPr="00985145">
        <w:rPr>
          <w:noProof/>
          <w:snapToGrid/>
          <w:color w:val="auto"/>
          <w:lang w:val="en-GB" w:eastAsia="it-IT" w:bidi="ar-SA"/>
        </w:rPr>
        <w:t>; BL+PE= 4100.01 ± 30.35 μm</w:t>
      </w:r>
      <w:r w:rsidR="00871D78" w:rsidRPr="00985145">
        <w:rPr>
          <w:noProof/>
          <w:snapToGrid/>
          <w:color w:val="auto"/>
          <w:vertAlign w:val="superscript"/>
          <w:lang w:val="en-GB" w:eastAsia="it-IT" w:bidi="ar-SA"/>
        </w:rPr>
        <w:t>2</w:t>
      </w:r>
      <w:r w:rsidR="00871D78" w:rsidRPr="00985145">
        <w:rPr>
          <w:noProof/>
          <w:snapToGrid/>
          <w:color w:val="auto"/>
          <w:lang w:val="en-GB" w:eastAsia="it-IT" w:bidi="ar-SA"/>
        </w:rPr>
        <w:t xml:space="preserve">. The ANOVA-Bonferroni test analysis has statistically confirmed the observations and the previously published data [22]. A large increase of areas in PE has </w:t>
      </w:r>
      <w:r>
        <w:rPr>
          <w:noProof/>
          <w:snapToGrid/>
          <w:color w:val="auto"/>
          <w:lang w:val="en-GB" w:eastAsia="it-IT" w:bidi="ar-SA"/>
        </w:rPr>
        <w:t xml:space="preserve">high statistical significance: </w:t>
      </w:r>
      <w:r w:rsidR="00871D78" w:rsidRPr="00985145">
        <w:rPr>
          <w:noProof/>
          <w:snapToGrid/>
          <w:color w:val="auto"/>
          <w:lang w:val="en-GB" w:eastAsia="it-IT" w:bidi="ar-SA"/>
        </w:rPr>
        <w:t xml:space="preserve">PE </w:t>
      </w:r>
      <w:r w:rsidR="00871D78" w:rsidRPr="004C09B5">
        <w:rPr>
          <w:noProof/>
          <w:snapToGrid/>
          <w:color w:val="auto"/>
          <w:lang w:val="en-GB" w:eastAsia="it-IT" w:bidi="ar-SA"/>
        </w:rPr>
        <w:t>vs</w:t>
      </w:r>
      <w:r w:rsidR="00871D78" w:rsidRPr="00985145">
        <w:rPr>
          <w:noProof/>
          <w:snapToGrid/>
          <w:color w:val="auto"/>
          <w:lang w:val="en-GB" w:eastAsia="it-IT" w:bidi="ar-SA"/>
        </w:rPr>
        <w:t xml:space="preserve"> CTR and PE </w:t>
      </w:r>
      <w:r w:rsidR="00871D78" w:rsidRPr="004C09B5">
        <w:rPr>
          <w:noProof/>
          <w:snapToGrid/>
          <w:color w:val="auto"/>
          <w:lang w:val="en-GB" w:eastAsia="it-IT" w:bidi="ar-SA"/>
        </w:rPr>
        <w:t xml:space="preserve">vs </w:t>
      </w:r>
      <w:r w:rsidR="00871D78" w:rsidRPr="00985145">
        <w:rPr>
          <w:noProof/>
          <w:snapToGrid/>
          <w:color w:val="auto"/>
          <w:lang w:val="en-GB" w:eastAsia="it-IT" w:bidi="ar-SA"/>
        </w:rPr>
        <w:t xml:space="preserve">all groups (P&lt;0,01); a slight increase in GFs and PE+BL </w:t>
      </w:r>
      <w:r w:rsidR="00871D78" w:rsidRPr="004C09B5">
        <w:rPr>
          <w:noProof/>
          <w:snapToGrid/>
          <w:color w:val="auto"/>
          <w:lang w:val="en-GB" w:eastAsia="it-IT" w:bidi="ar-SA"/>
        </w:rPr>
        <w:t>vs</w:t>
      </w:r>
      <w:r w:rsidR="00871D78" w:rsidRPr="00985145">
        <w:rPr>
          <w:noProof/>
          <w:snapToGrid/>
          <w:color w:val="auto"/>
          <w:lang w:val="en-GB" w:eastAsia="it-IT" w:bidi="ar-SA"/>
        </w:rPr>
        <w:t xml:space="preserve"> CTR and </w:t>
      </w:r>
      <w:r w:rsidR="00871D78" w:rsidRPr="00985145">
        <w:rPr>
          <w:i/>
          <w:noProof/>
          <w:snapToGrid/>
          <w:color w:val="auto"/>
          <w:lang w:val="en-GB" w:eastAsia="it-IT" w:bidi="ar-SA"/>
        </w:rPr>
        <w:t xml:space="preserve">vs </w:t>
      </w:r>
      <w:r w:rsidR="00871D78" w:rsidRPr="00985145">
        <w:rPr>
          <w:noProof/>
          <w:snapToGrid/>
          <w:color w:val="auto"/>
          <w:lang w:val="en-GB" w:eastAsia="it-IT" w:bidi="ar-SA"/>
        </w:rPr>
        <w:t xml:space="preserve">PE/BL (P&lt;0,05); finally, a quite increase in BL+PE </w:t>
      </w:r>
      <w:r w:rsidR="00871D78" w:rsidRPr="004C09B5">
        <w:rPr>
          <w:noProof/>
          <w:snapToGrid/>
          <w:color w:val="auto"/>
          <w:lang w:val="en-GB" w:eastAsia="it-IT" w:bidi="ar-SA"/>
        </w:rPr>
        <w:t xml:space="preserve">vs </w:t>
      </w:r>
      <w:r w:rsidR="00871D78" w:rsidRPr="00985145">
        <w:rPr>
          <w:noProof/>
          <w:snapToGrid/>
          <w:color w:val="auto"/>
          <w:lang w:val="en-GB" w:eastAsia="it-IT" w:bidi="ar-SA"/>
        </w:rPr>
        <w:t>CTR (P&lt;0,05). In the GFs group, the epicardium had a thicker consistency as compared to CTR or other PE and BL-treated groups (Fig. 1S,c), but the enhancement was not comparable with those in the PE group. Co-treatment with BL prevents the hypertrophic effect of PE on the muscle fibres and the hyperplasia effect on the epicardium (Fig. 1S, d). Hearts treated with PE 72h + BL 24h or BL 24h + PE 72h showed trophic fibre thickness, while epicardial hyperplasia was less evident as compared to the PE group (Fig. 1S e, f).</w:t>
      </w:r>
    </w:p>
    <w:p w:rsidR="0073648C" w:rsidRPr="00985145" w:rsidRDefault="0073648C" w:rsidP="0073648C">
      <w:pPr>
        <w:pStyle w:val="MDPI62BackMatter"/>
        <w:spacing w:before="240"/>
        <w:rPr>
          <w:i/>
          <w:noProof/>
          <w:snapToGrid/>
          <w:color w:val="auto"/>
          <w:lang w:val="en-GB" w:eastAsia="it-IT" w:bidi="ar-SA"/>
        </w:rPr>
      </w:pPr>
      <w:r w:rsidRPr="00985145">
        <w:rPr>
          <w:i/>
          <w:noProof/>
          <w:snapToGrid/>
          <w:color w:val="auto"/>
          <w:lang w:val="en-GB" w:eastAsia="it-IT" w:bidi="ar-SA"/>
        </w:rPr>
        <w:t>S1.2.</w:t>
      </w:r>
      <w:r w:rsidRPr="00985145">
        <w:rPr>
          <w:color w:val="auto"/>
        </w:rPr>
        <w:t xml:space="preserve"> </w:t>
      </w:r>
      <w:r w:rsidRPr="00985145">
        <w:rPr>
          <w:i/>
          <w:noProof/>
          <w:snapToGrid/>
          <w:color w:val="auto"/>
          <w:lang w:val="en-GB" w:eastAsia="it-IT" w:bidi="ar-SA"/>
        </w:rPr>
        <w:t>Immunohistochemical analysis of the presence of the RACK1</w:t>
      </w:r>
    </w:p>
    <w:p w:rsidR="00F169F8" w:rsidRPr="00985145" w:rsidRDefault="00B36920" w:rsidP="0073648C">
      <w:pPr>
        <w:pStyle w:val="MDPI62BackMatter"/>
        <w:spacing w:before="240"/>
        <w:rPr>
          <w:noProof/>
          <w:snapToGrid/>
          <w:color w:val="auto"/>
          <w:lang w:val="en-GB" w:eastAsia="it-IT" w:bidi="ar-SA"/>
        </w:rPr>
      </w:pPr>
      <w:r w:rsidRPr="00985145">
        <w:rPr>
          <w:noProof/>
          <w:snapToGrid/>
          <w:color w:val="auto"/>
          <w:lang w:val="en-GB" w:eastAsia="it-IT" w:bidi="ar-SA"/>
        </w:rPr>
        <w:t>The dewaxed sections were treated as detailed in [</w:t>
      </w:r>
      <w:r w:rsidR="00A711DF" w:rsidRPr="00985145">
        <w:rPr>
          <w:noProof/>
          <w:snapToGrid/>
          <w:color w:val="auto"/>
          <w:lang w:val="en-GB" w:eastAsia="it-IT" w:bidi="ar-SA"/>
        </w:rPr>
        <w:t>22</w:t>
      </w:r>
      <w:r w:rsidRPr="00985145">
        <w:rPr>
          <w:noProof/>
          <w:snapToGrid/>
          <w:color w:val="auto"/>
          <w:lang w:val="en-GB" w:eastAsia="it-IT" w:bidi="ar-SA"/>
        </w:rPr>
        <w:t>]. Briefly, phosphate buffer added with 2% Tween +1 mM EDTA (Sigma-Aldrich) has been used to pre-treated the slide before the 2% H</w:t>
      </w:r>
      <w:r w:rsidRPr="00985145">
        <w:rPr>
          <w:noProof/>
          <w:snapToGrid/>
          <w:color w:val="auto"/>
          <w:vertAlign w:val="subscript"/>
          <w:lang w:val="en-GB" w:eastAsia="it-IT" w:bidi="ar-SA"/>
        </w:rPr>
        <w:t>2</w:t>
      </w:r>
      <w:r w:rsidRPr="00985145">
        <w:rPr>
          <w:noProof/>
          <w:snapToGrid/>
          <w:color w:val="auto"/>
          <w:lang w:val="en-GB" w:eastAsia="it-IT" w:bidi="ar-SA"/>
        </w:rPr>
        <w:t>O</w:t>
      </w:r>
      <w:r w:rsidRPr="00985145">
        <w:rPr>
          <w:noProof/>
          <w:snapToGrid/>
          <w:color w:val="auto"/>
          <w:vertAlign w:val="subscript"/>
          <w:lang w:val="en-GB" w:eastAsia="it-IT" w:bidi="ar-SA"/>
        </w:rPr>
        <w:t>2</w:t>
      </w:r>
      <w:r w:rsidRPr="00985145">
        <w:rPr>
          <w:noProof/>
          <w:snapToGrid/>
          <w:color w:val="auto"/>
          <w:lang w:val="en-GB" w:eastAsia="it-IT" w:bidi="ar-SA"/>
        </w:rPr>
        <w:t xml:space="preserve"> treatment to block the endogenous peroxidases. The slides were subjected to a denaturant treatment of 0,1 M HCl for 40 min, subsequently washed in PBSTX (the first buffer added with </w:t>
      </w:r>
      <w:r w:rsidR="0055553E" w:rsidRPr="00985145">
        <w:rPr>
          <w:noProof/>
          <w:snapToGrid/>
          <w:color w:val="auto"/>
          <w:lang w:val="en-GB" w:eastAsia="it-IT" w:bidi="ar-SA"/>
        </w:rPr>
        <w:t xml:space="preserve">0.8% </w:t>
      </w:r>
      <w:r w:rsidRPr="00985145">
        <w:rPr>
          <w:noProof/>
          <w:snapToGrid/>
          <w:color w:val="auto"/>
          <w:lang w:val="en-GB" w:eastAsia="it-IT" w:bidi="ar-SA"/>
        </w:rPr>
        <w:t xml:space="preserve">Triton) and treated with acetone for 7 min. The sections were pre-treated in a mixture of 0.1%Triton+0.1% DMSO+ 2% BSA and incubated at 4 °C with the primary antibody. </w:t>
      </w:r>
      <w:r w:rsidR="008C1719" w:rsidRPr="00985145">
        <w:rPr>
          <w:noProof/>
          <w:snapToGrid/>
          <w:color w:val="auto"/>
          <w:lang w:val="en-GB" w:eastAsia="it-IT" w:bidi="ar-SA"/>
        </w:rPr>
        <w:t xml:space="preserve">RACK1 monoclonal anti-mouse IgM </w:t>
      </w:r>
      <w:r w:rsidR="008C1719" w:rsidRPr="00985145">
        <w:rPr>
          <w:noProof/>
          <w:snapToGrid/>
          <w:color w:val="auto"/>
          <w:lang w:val="en-GB" w:eastAsia="it-IT" w:bidi="ar-SA"/>
        </w:rPr>
        <w:lastRenderedPageBreak/>
        <w:t>(</w:t>
      </w:r>
      <w:r w:rsidR="00A711DF" w:rsidRPr="00985145">
        <w:rPr>
          <w:noProof/>
          <w:snapToGrid/>
          <w:color w:val="auto"/>
          <w:lang w:val="en-GB" w:eastAsia="it-IT" w:bidi="ar-SA"/>
        </w:rPr>
        <w:t xml:space="preserve">Invitrogen) </w:t>
      </w:r>
      <w:r w:rsidR="008C1719" w:rsidRPr="00985145">
        <w:rPr>
          <w:noProof/>
          <w:snapToGrid/>
          <w:color w:val="auto"/>
          <w:lang w:val="en-GB" w:eastAsia="it-IT" w:bidi="ar-SA"/>
        </w:rPr>
        <w:t xml:space="preserve">has been used with 1:100 of dilution </w:t>
      </w:r>
      <w:r w:rsidRPr="00985145">
        <w:rPr>
          <w:noProof/>
          <w:snapToGrid/>
          <w:color w:val="auto"/>
          <w:lang w:val="en-GB" w:eastAsia="it-IT" w:bidi="ar-SA"/>
        </w:rPr>
        <w:t xml:space="preserve">in PBST + 1% normal horse serum (NHS, Sigma-Aldrich). After 12 hrs of incubation, the slides were washed in a mixture </w:t>
      </w:r>
    </w:p>
    <w:p w:rsidR="00F169F8" w:rsidRPr="00985145" w:rsidRDefault="00F169F8" w:rsidP="0073648C">
      <w:pPr>
        <w:pStyle w:val="MDPI62BackMatter"/>
        <w:spacing w:before="240"/>
        <w:rPr>
          <w:noProof/>
          <w:snapToGrid/>
          <w:color w:val="auto"/>
          <w:lang w:val="en-GB" w:eastAsia="it-IT" w:bidi="ar-SA"/>
        </w:rPr>
      </w:pPr>
    </w:p>
    <w:p w:rsidR="008615D1" w:rsidRPr="00985145" w:rsidRDefault="00B36920" w:rsidP="0073648C">
      <w:pPr>
        <w:pStyle w:val="MDPI62BackMatter"/>
        <w:spacing w:before="240"/>
        <w:rPr>
          <w:i/>
          <w:noProof/>
          <w:snapToGrid/>
          <w:color w:val="auto"/>
          <w:lang w:val="en-GB" w:eastAsia="it-IT" w:bidi="ar-SA"/>
        </w:rPr>
      </w:pPr>
      <w:r w:rsidRPr="00985145">
        <w:rPr>
          <w:noProof/>
          <w:snapToGrid/>
          <w:color w:val="auto"/>
          <w:lang w:val="en-GB" w:eastAsia="it-IT" w:bidi="ar-SA"/>
        </w:rPr>
        <w:t>the incubation of secondary antibody peroxidase anti-mouse IgG (HAMp, 1:800, Vectastain) in 2% BSA +PBSTX. The slides were then treated with ABC (Avidin/Biotinperoxidase kit, Vectastain), washed in TRIS buffer and treated with 3,3′-Diaminobenzidine added with 5% nickel ammonium sulfate (Sigma-Aldrich).</w:t>
      </w:r>
      <w:r w:rsidR="008615D1" w:rsidRPr="00985145">
        <w:rPr>
          <w:i/>
          <w:noProof/>
          <w:snapToGrid/>
          <w:color w:val="auto"/>
          <w:lang w:val="en-GB" w:eastAsia="it-IT" w:bidi="ar-SA"/>
        </w:rPr>
        <w:t xml:space="preserve"> </w:t>
      </w:r>
    </w:p>
    <w:p w:rsidR="00F315F6" w:rsidRPr="00985145" w:rsidRDefault="00F315F6" w:rsidP="006349C5">
      <w:pPr>
        <w:pStyle w:val="MDPI62BackMatter"/>
        <w:spacing w:before="240"/>
        <w:rPr>
          <w:b/>
          <w:noProof/>
          <w:snapToGrid/>
          <w:color w:val="auto"/>
          <w:lang w:val="en-GB" w:eastAsia="it-IT" w:bidi="ar-SA"/>
        </w:rPr>
      </w:pPr>
      <w:r w:rsidRPr="00985145">
        <w:rPr>
          <w:noProof/>
          <w:snapToGrid/>
          <w:color w:val="auto"/>
          <w:lang w:val="en-GB" w:eastAsia="it-IT" w:bidi="ar-SA"/>
        </w:rPr>
        <w:t>In the control group (CTR), the presence of RACK1 was barely detectable, given by thin epicardium and the low number of myocardial cells (Fig. 2S a). In heart samples treated with GFs (Fig.2S) epicardial, and endocardial cells have been intensely marked as compared to the myocardial cells. The immunostaining has been surely enhanced as compared to the CTR. In PE (Fig.2S), the myocardial and epicardial cells were intensely labelled with the antibody. In the experimental group treated simultaneously for 96 hours with PE and BL (PE/BL), a positivity has been observed in endocardial, myocardial and endocardial cells (Figure 2S). Pre-treatment with PE followed by treatment with BL confirmed that the action of PE produces an increase in RACK1 labelling as compared to CTR. However, the inhibitory activity of BL for 24 hours resulted in a decrease in RACK1 that does not reach the intensity of the heart ventricle treated with PE (Figure 2S). Pre-treatment in culture with BL for 24 hours, followed by treatment with PE for 72 hours, confirmed the inhibitory action of BL on cardiac hypertrophy. The sections showed a RACK1 marking similar to the control, thus comparabl</w:t>
      </w:r>
      <w:r w:rsidR="0055553E" w:rsidRPr="00985145">
        <w:rPr>
          <w:noProof/>
          <w:snapToGrid/>
          <w:color w:val="auto"/>
          <w:lang w:val="en-GB" w:eastAsia="it-IT" w:bidi="ar-SA"/>
        </w:rPr>
        <w:t>e</w:t>
      </w:r>
      <w:r w:rsidRPr="00985145">
        <w:rPr>
          <w:noProof/>
          <w:snapToGrid/>
          <w:color w:val="auto"/>
          <w:lang w:val="en-GB" w:eastAsia="it-IT" w:bidi="ar-SA"/>
        </w:rPr>
        <w:t xml:space="preserve"> with the data obtained in the qRT-PCR analysis.</w:t>
      </w:r>
    </w:p>
    <w:p w:rsidR="006349C5" w:rsidRPr="00985145" w:rsidRDefault="006349C5" w:rsidP="006349C5">
      <w:pPr>
        <w:pStyle w:val="MDPI62BackMatter"/>
        <w:spacing w:before="240"/>
        <w:rPr>
          <w:color w:val="auto"/>
          <w:highlight w:val="yellow"/>
        </w:rPr>
      </w:pPr>
    </w:p>
    <w:p w:rsidR="006349C5" w:rsidRPr="00985145" w:rsidRDefault="009E0876" w:rsidP="006349C5">
      <w:pPr>
        <w:pStyle w:val="MDPI62BackMatter"/>
        <w:spacing w:before="240"/>
        <w:rPr>
          <w:color w:val="auto"/>
          <w:highlight w:val="yellow"/>
        </w:rPr>
      </w:pPr>
      <w:r>
        <w:rPr>
          <w:noProof/>
          <w:snapToGrid/>
          <w:color w:val="auto"/>
          <w:lang w:val="it-IT" w:eastAsia="it-IT" w:bidi="ar-SA"/>
        </w:rPr>
        <w:lastRenderedPageBreak/>
        <w:drawing>
          <wp:inline distT="0" distB="0" distL="0" distR="0">
            <wp:extent cx="4777571" cy="6051128"/>
            <wp:effectExtent l="19050" t="0" r="3979" b="0"/>
            <wp:docPr id="3" name="Immagine 2" descr="Masson ZF_RACK1_Cell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son ZF_RACK1_Cells.tif"/>
                    <pic:cNvPicPr/>
                  </pic:nvPicPr>
                  <pic:blipFill>
                    <a:blip r:embed="rId7" cstate="print"/>
                    <a:stretch>
                      <a:fillRect/>
                    </a:stretch>
                  </pic:blipFill>
                  <pic:spPr>
                    <a:xfrm>
                      <a:off x="0" y="0"/>
                      <a:ext cx="4778222" cy="6051953"/>
                    </a:xfrm>
                    <a:prstGeom prst="rect">
                      <a:avLst/>
                    </a:prstGeom>
                  </pic:spPr>
                </pic:pic>
              </a:graphicData>
            </a:graphic>
          </wp:inline>
        </w:drawing>
      </w:r>
    </w:p>
    <w:p w:rsidR="006349C5" w:rsidRPr="00985145" w:rsidRDefault="00701F6A" w:rsidP="006349C5">
      <w:pPr>
        <w:pStyle w:val="MDPI62BackMatter"/>
        <w:spacing w:before="240"/>
        <w:rPr>
          <w:color w:val="auto"/>
        </w:rPr>
      </w:pPr>
      <w:r w:rsidRPr="00985145">
        <w:rPr>
          <w:b/>
          <w:color w:val="auto"/>
        </w:rPr>
        <w:t>Figure S1</w:t>
      </w:r>
      <w:r w:rsidRPr="00985145">
        <w:rPr>
          <w:color w:val="auto"/>
        </w:rPr>
        <w:t xml:space="preserve">. </w:t>
      </w:r>
      <w:r w:rsidRPr="00985145">
        <w:rPr>
          <w:b/>
          <w:color w:val="auto"/>
        </w:rPr>
        <w:t>Masson</w:t>
      </w:r>
      <w:r w:rsidR="001C42B7" w:rsidRPr="00985145">
        <w:rPr>
          <w:b/>
          <w:color w:val="auto"/>
        </w:rPr>
        <w:t>’s</w:t>
      </w:r>
      <w:r w:rsidRPr="00985145">
        <w:rPr>
          <w:b/>
          <w:color w:val="auto"/>
        </w:rPr>
        <w:t xml:space="preserve"> histological staining</w:t>
      </w:r>
      <w:r w:rsidRPr="00985145">
        <w:rPr>
          <w:color w:val="auto"/>
        </w:rPr>
        <w:t>. a) The untreated heart (CTR) shows thin muscle cells (</w:t>
      </w:r>
      <w:proofErr w:type="spellStart"/>
      <w:r w:rsidRPr="00985145">
        <w:rPr>
          <w:color w:val="auto"/>
        </w:rPr>
        <w:t>Myo</w:t>
      </w:r>
      <w:proofErr w:type="spellEnd"/>
      <w:r w:rsidRPr="00985145">
        <w:rPr>
          <w:color w:val="auto"/>
        </w:rPr>
        <w:t>) with a moderate amount of myofibrils and a poorly stratified cardiac epithelium (</w:t>
      </w:r>
      <w:proofErr w:type="spellStart"/>
      <w:r w:rsidRPr="00985145">
        <w:rPr>
          <w:color w:val="auto"/>
        </w:rPr>
        <w:t>epicardium</w:t>
      </w:r>
      <w:proofErr w:type="spellEnd"/>
      <w:r w:rsidRPr="00985145">
        <w:rPr>
          <w:color w:val="auto"/>
        </w:rPr>
        <w:t xml:space="preserve">, </w:t>
      </w:r>
      <w:proofErr w:type="spellStart"/>
      <w:r w:rsidRPr="00985145">
        <w:rPr>
          <w:color w:val="auto"/>
        </w:rPr>
        <w:t>Ep</w:t>
      </w:r>
      <w:proofErr w:type="spellEnd"/>
      <w:r w:rsidRPr="00985145">
        <w:rPr>
          <w:color w:val="auto"/>
        </w:rPr>
        <w:t xml:space="preserve">); b) In the heart treated with PE, the staining shows </w:t>
      </w:r>
      <w:proofErr w:type="spellStart"/>
      <w:r w:rsidRPr="00985145">
        <w:rPr>
          <w:color w:val="auto"/>
        </w:rPr>
        <w:t>myocardiocytes</w:t>
      </w:r>
      <w:proofErr w:type="spellEnd"/>
      <w:r w:rsidRPr="00985145">
        <w:rPr>
          <w:color w:val="auto"/>
        </w:rPr>
        <w:t xml:space="preserve"> enriched, strongly reactive myofibrils and a thickened multilayered </w:t>
      </w:r>
      <w:proofErr w:type="spellStart"/>
      <w:r w:rsidRPr="00985145">
        <w:rPr>
          <w:color w:val="auto"/>
        </w:rPr>
        <w:t>epicardium</w:t>
      </w:r>
      <w:proofErr w:type="spellEnd"/>
      <w:r w:rsidRPr="00985145">
        <w:rPr>
          <w:color w:val="auto"/>
        </w:rPr>
        <w:t xml:space="preserve">; c) The heart cultured by medium supplemented with GFs shows </w:t>
      </w:r>
      <w:r w:rsidR="00377D83" w:rsidRPr="00985145">
        <w:rPr>
          <w:color w:val="auto"/>
        </w:rPr>
        <w:t>a quite hypertrophy</w:t>
      </w:r>
      <w:r w:rsidRPr="00985145">
        <w:rPr>
          <w:color w:val="auto"/>
        </w:rPr>
        <w:t xml:space="preserve"> feature as compare the CTR</w:t>
      </w:r>
      <w:r w:rsidR="00377D83" w:rsidRPr="00985145">
        <w:rPr>
          <w:color w:val="auto"/>
        </w:rPr>
        <w:t>, contrary to</w:t>
      </w:r>
      <w:r w:rsidRPr="00985145">
        <w:rPr>
          <w:color w:val="auto"/>
        </w:rPr>
        <w:t xml:space="preserve"> the </w:t>
      </w:r>
      <w:proofErr w:type="spellStart"/>
      <w:r w:rsidRPr="00985145">
        <w:rPr>
          <w:color w:val="auto"/>
        </w:rPr>
        <w:t>epicardium</w:t>
      </w:r>
      <w:proofErr w:type="spellEnd"/>
      <w:r w:rsidRPr="00985145">
        <w:rPr>
          <w:color w:val="auto"/>
        </w:rPr>
        <w:t xml:space="preserve"> that  </w:t>
      </w:r>
      <w:r w:rsidR="00377D83" w:rsidRPr="00985145">
        <w:rPr>
          <w:color w:val="auto"/>
        </w:rPr>
        <w:t>evidenced a marked hyperplasia</w:t>
      </w:r>
      <w:r w:rsidRPr="00985145">
        <w:rPr>
          <w:color w:val="auto"/>
        </w:rPr>
        <w:t xml:space="preserve">. d) The heart treated simultaneously with PE and </w:t>
      </w:r>
      <w:proofErr w:type="spellStart"/>
      <w:r w:rsidRPr="00985145">
        <w:rPr>
          <w:color w:val="auto"/>
        </w:rPr>
        <w:t>blebbistatin</w:t>
      </w:r>
      <w:proofErr w:type="spellEnd"/>
      <w:r w:rsidRPr="00985145">
        <w:rPr>
          <w:color w:val="auto"/>
        </w:rPr>
        <w:t xml:space="preserve"> (BL), indicated by the acronym PE / BL, has a tissue picture similar to that of the control; e) The sample pre-treated with PE and secondarily with BL (PE + BL) shows hypertrophy of </w:t>
      </w:r>
      <w:proofErr w:type="spellStart"/>
      <w:r w:rsidRPr="00985145">
        <w:rPr>
          <w:color w:val="auto"/>
        </w:rPr>
        <w:t>myocardiocytes</w:t>
      </w:r>
      <w:proofErr w:type="spellEnd"/>
      <w:r w:rsidRPr="00985145">
        <w:rPr>
          <w:color w:val="auto"/>
        </w:rPr>
        <w:t xml:space="preserve"> and low </w:t>
      </w:r>
      <w:proofErr w:type="spellStart"/>
      <w:r w:rsidRPr="00985145">
        <w:rPr>
          <w:color w:val="auto"/>
        </w:rPr>
        <w:t>epicardial</w:t>
      </w:r>
      <w:proofErr w:type="spellEnd"/>
      <w:r w:rsidRPr="00985145">
        <w:rPr>
          <w:color w:val="auto"/>
        </w:rPr>
        <w:t xml:space="preserve"> hyperplasia pronounced than in PE; f) similarly, in the cardiac sample pre-treated with BL and subsequently treated with PE (BL + PE), it shows hypertrophic </w:t>
      </w:r>
      <w:proofErr w:type="spellStart"/>
      <w:r w:rsidRPr="00985145">
        <w:rPr>
          <w:color w:val="auto"/>
        </w:rPr>
        <w:t>myocardiocytes</w:t>
      </w:r>
      <w:proofErr w:type="spellEnd"/>
      <w:r w:rsidRPr="00985145">
        <w:rPr>
          <w:color w:val="auto"/>
        </w:rPr>
        <w:t xml:space="preserve"> and less very low </w:t>
      </w:r>
      <w:proofErr w:type="spellStart"/>
      <w:r w:rsidRPr="00985145">
        <w:rPr>
          <w:color w:val="auto"/>
        </w:rPr>
        <w:t>epicardial</w:t>
      </w:r>
      <w:proofErr w:type="spellEnd"/>
      <w:r w:rsidRPr="00985145">
        <w:rPr>
          <w:color w:val="auto"/>
        </w:rPr>
        <w:t xml:space="preserve"> hyperplasia. </w:t>
      </w:r>
      <w:r w:rsidR="00DB6B93" w:rsidRPr="00985145">
        <w:rPr>
          <w:color w:val="auto"/>
        </w:rPr>
        <w:t>Figures a) an</w:t>
      </w:r>
      <w:r w:rsidR="00150488">
        <w:rPr>
          <w:color w:val="auto"/>
        </w:rPr>
        <w:t>d</w:t>
      </w:r>
      <w:r w:rsidR="00DB6B93" w:rsidRPr="00985145">
        <w:rPr>
          <w:color w:val="auto"/>
        </w:rPr>
        <w:t xml:space="preserve"> b) 40X of magnification</w:t>
      </w:r>
      <w:r w:rsidR="00150488">
        <w:rPr>
          <w:color w:val="auto"/>
        </w:rPr>
        <w:t xml:space="preserve"> (Bar: 250 µm)</w:t>
      </w:r>
      <w:r w:rsidR="00DB6B93" w:rsidRPr="00985145">
        <w:rPr>
          <w:color w:val="auto"/>
        </w:rPr>
        <w:t xml:space="preserve">; Figures c),d),e),f) </w:t>
      </w:r>
      <w:r w:rsidRPr="00985145">
        <w:rPr>
          <w:color w:val="auto"/>
        </w:rPr>
        <w:t>20X magnification.</w:t>
      </w:r>
      <w:r w:rsidR="00150488">
        <w:rPr>
          <w:color w:val="auto"/>
        </w:rPr>
        <w:t xml:space="preserve"> Bar: 500 µm-</w:t>
      </w:r>
    </w:p>
    <w:p w:rsidR="00432D5B" w:rsidRPr="00985145" w:rsidRDefault="00432D5B" w:rsidP="006349C5">
      <w:pPr>
        <w:pStyle w:val="MDPI62BackMatter"/>
        <w:spacing w:before="240"/>
        <w:rPr>
          <w:color w:val="auto"/>
          <w:highlight w:val="yellow"/>
        </w:rPr>
      </w:pPr>
      <w:r w:rsidRPr="00985145">
        <w:rPr>
          <w:noProof/>
          <w:snapToGrid/>
          <w:color w:val="auto"/>
          <w:lang w:val="it-IT" w:eastAsia="it-IT" w:bidi="ar-SA"/>
        </w:rPr>
        <w:lastRenderedPageBreak/>
        <w:drawing>
          <wp:inline distT="0" distB="0" distL="0" distR="0">
            <wp:extent cx="4469553" cy="5408614"/>
            <wp:effectExtent l="19050" t="0" r="7197" b="0"/>
            <wp:docPr id="2" name="Immagine 1" descr="RACK 1 DA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CK 1 DAB.tif"/>
                    <pic:cNvPicPr/>
                  </pic:nvPicPr>
                  <pic:blipFill>
                    <a:blip r:embed="rId8" cstate="print"/>
                    <a:stretch>
                      <a:fillRect/>
                    </a:stretch>
                  </pic:blipFill>
                  <pic:spPr>
                    <a:xfrm>
                      <a:off x="0" y="0"/>
                      <a:ext cx="4469342" cy="5408359"/>
                    </a:xfrm>
                    <a:prstGeom prst="rect">
                      <a:avLst/>
                    </a:prstGeom>
                  </pic:spPr>
                </pic:pic>
              </a:graphicData>
            </a:graphic>
          </wp:inline>
        </w:drawing>
      </w:r>
    </w:p>
    <w:p w:rsidR="00556623" w:rsidRPr="00985145" w:rsidRDefault="00612F53" w:rsidP="00612F53">
      <w:pPr>
        <w:spacing w:line="240" w:lineRule="auto"/>
        <w:ind w:left="2552"/>
        <w:jc w:val="both"/>
        <w:rPr>
          <w:rFonts w:ascii="Palatino Linotype" w:eastAsia="Times New Roman" w:hAnsi="Palatino Linotype" w:cs="Times New Roman"/>
          <w:snapToGrid w:val="0"/>
          <w:sz w:val="16"/>
          <w:szCs w:val="16"/>
          <w:lang w:val="en-US" w:bidi="en-US"/>
        </w:rPr>
      </w:pPr>
      <w:r w:rsidRPr="00985145">
        <w:rPr>
          <w:rFonts w:ascii="Palatino Linotype" w:eastAsia="Times New Roman" w:hAnsi="Palatino Linotype" w:cs="Times New Roman"/>
          <w:b/>
          <w:snapToGrid w:val="0"/>
          <w:sz w:val="16"/>
          <w:szCs w:val="16"/>
          <w:lang w:val="en-US" w:bidi="en-US"/>
        </w:rPr>
        <w:t xml:space="preserve">Figure S2. </w:t>
      </w:r>
      <w:proofErr w:type="spellStart"/>
      <w:r w:rsidRPr="00985145">
        <w:rPr>
          <w:rFonts w:ascii="Palatino Linotype" w:eastAsia="Times New Roman" w:hAnsi="Palatino Linotype" w:cs="Times New Roman"/>
          <w:b/>
          <w:snapToGrid w:val="0"/>
          <w:sz w:val="16"/>
          <w:szCs w:val="16"/>
          <w:lang w:val="en-US" w:bidi="en-US"/>
        </w:rPr>
        <w:t>Immunohistochemi</w:t>
      </w:r>
      <w:r w:rsidR="007D4307" w:rsidRPr="00985145">
        <w:rPr>
          <w:rFonts w:ascii="Palatino Linotype" w:eastAsia="Times New Roman" w:hAnsi="Palatino Linotype" w:cs="Times New Roman"/>
          <w:b/>
          <w:snapToGrid w:val="0"/>
          <w:sz w:val="16"/>
          <w:szCs w:val="16"/>
          <w:lang w:val="en-US" w:bidi="en-US"/>
        </w:rPr>
        <w:t>s</w:t>
      </w:r>
      <w:r w:rsidRPr="00985145">
        <w:rPr>
          <w:rFonts w:ascii="Palatino Linotype" w:eastAsia="Times New Roman" w:hAnsi="Palatino Linotype" w:cs="Times New Roman"/>
          <w:b/>
          <w:snapToGrid w:val="0"/>
          <w:sz w:val="16"/>
          <w:szCs w:val="16"/>
          <w:lang w:val="en-US" w:bidi="en-US"/>
        </w:rPr>
        <w:t>try</w:t>
      </w:r>
      <w:proofErr w:type="spellEnd"/>
      <w:r w:rsidRPr="00985145">
        <w:rPr>
          <w:rFonts w:ascii="Palatino Linotype" w:eastAsia="Times New Roman" w:hAnsi="Palatino Linotype" w:cs="Times New Roman"/>
          <w:b/>
          <w:snapToGrid w:val="0"/>
          <w:sz w:val="16"/>
          <w:szCs w:val="16"/>
          <w:lang w:val="en-US" w:bidi="en-US"/>
        </w:rPr>
        <w:t xml:space="preserve"> RACK1 and revealed by DAB-</w:t>
      </w:r>
      <w:proofErr w:type="spellStart"/>
      <w:r w:rsidRPr="00985145">
        <w:rPr>
          <w:rFonts w:ascii="Palatino Linotype" w:eastAsia="Times New Roman" w:hAnsi="Palatino Linotype" w:cs="Times New Roman"/>
          <w:b/>
          <w:snapToGrid w:val="0"/>
          <w:sz w:val="16"/>
          <w:szCs w:val="16"/>
          <w:lang w:val="en-US" w:bidi="en-US"/>
        </w:rPr>
        <w:t>nichel</w:t>
      </w:r>
      <w:proofErr w:type="spellEnd"/>
      <w:r w:rsidRPr="00985145">
        <w:rPr>
          <w:rFonts w:ascii="Palatino Linotype" w:eastAsia="Times New Roman" w:hAnsi="Palatino Linotype" w:cs="Times New Roman"/>
          <w:b/>
          <w:snapToGrid w:val="0"/>
          <w:sz w:val="16"/>
          <w:szCs w:val="16"/>
          <w:lang w:val="en-US" w:bidi="en-US"/>
        </w:rPr>
        <w:t>-enhancement</w:t>
      </w:r>
      <w:r w:rsidRPr="00985145">
        <w:rPr>
          <w:rFonts w:ascii="Palatino Linotype" w:eastAsia="Times New Roman" w:hAnsi="Palatino Linotype" w:cs="Times New Roman"/>
          <w:snapToGrid w:val="0"/>
          <w:sz w:val="16"/>
          <w:szCs w:val="16"/>
          <w:lang w:val="en-US" w:bidi="en-US"/>
        </w:rPr>
        <w:t xml:space="preserve">. </w:t>
      </w:r>
      <w:r w:rsidR="00F315F6" w:rsidRPr="00985145">
        <w:rPr>
          <w:rFonts w:ascii="Palatino Linotype" w:eastAsia="Times New Roman" w:hAnsi="Palatino Linotype" w:cs="Times New Roman"/>
          <w:snapToGrid w:val="0"/>
          <w:sz w:val="16"/>
          <w:szCs w:val="16"/>
          <w:lang w:val="en-US" w:bidi="en-US"/>
        </w:rPr>
        <w:t xml:space="preserve">RACK1 expression on untreated heart (CTR) samples, treated with PE, treated with GFs, treated with PE and BL simultaneously (PE/BL), post-treated(PE+BL), and pre-treated with BL (BL+PE). The </w:t>
      </w:r>
      <w:proofErr w:type="spellStart"/>
      <w:r w:rsidR="00F315F6" w:rsidRPr="00985145">
        <w:rPr>
          <w:rFonts w:ascii="Palatino Linotype" w:eastAsia="Times New Roman" w:hAnsi="Palatino Linotype" w:cs="Times New Roman"/>
          <w:snapToGrid w:val="0"/>
          <w:sz w:val="16"/>
          <w:szCs w:val="16"/>
          <w:lang w:val="en-US" w:bidi="en-US"/>
        </w:rPr>
        <w:t>labelling</w:t>
      </w:r>
      <w:proofErr w:type="spellEnd"/>
      <w:r w:rsidR="00F315F6" w:rsidRPr="00985145">
        <w:rPr>
          <w:rFonts w:ascii="Palatino Linotype" w:eastAsia="Times New Roman" w:hAnsi="Palatino Linotype" w:cs="Times New Roman"/>
          <w:snapToGrid w:val="0"/>
          <w:sz w:val="16"/>
          <w:szCs w:val="16"/>
          <w:lang w:val="en-US" w:bidi="en-US"/>
        </w:rPr>
        <w:t xml:space="preserve"> with RACK1 is very intense in the </w:t>
      </w:r>
      <w:r w:rsidR="00F42311" w:rsidRPr="00985145">
        <w:rPr>
          <w:rFonts w:ascii="Palatino Linotype" w:eastAsia="Times New Roman" w:hAnsi="Palatino Linotype" w:cs="Times New Roman"/>
          <w:snapToGrid w:val="0"/>
          <w:sz w:val="16"/>
          <w:szCs w:val="16"/>
          <w:lang w:val="en-US" w:bidi="en-US"/>
        </w:rPr>
        <w:t xml:space="preserve">hearts treated with PE and GFs as  compare all groups. The </w:t>
      </w:r>
      <w:r w:rsidR="00F315F6" w:rsidRPr="00985145">
        <w:rPr>
          <w:rFonts w:ascii="Palatino Linotype" w:eastAsia="Times New Roman" w:hAnsi="Palatino Linotype" w:cs="Times New Roman"/>
          <w:snapToGrid w:val="0"/>
          <w:sz w:val="16"/>
          <w:szCs w:val="16"/>
          <w:lang w:val="en-US" w:bidi="en-US"/>
        </w:rPr>
        <w:t xml:space="preserve">hearts treated simultaneously with PE and BL show a notable marking mainly at the </w:t>
      </w:r>
      <w:proofErr w:type="spellStart"/>
      <w:r w:rsidR="00F315F6" w:rsidRPr="00985145">
        <w:rPr>
          <w:rFonts w:ascii="Palatino Linotype" w:eastAsia="Times New Roman" w:hAnsi="Palatino Linotype" w:cs="Times New Roman"/>
          <w:snapToGrid w:val="0"/>
          <w:sz w:val="16"/>
          <w:szCs w:val="16"/>
          <w:lang w:val="en-US" w:bidi="en-US"/>
        </w:rPr>
        <w:t>epicardial</w:t>
      </w:r>
      <w:proofErr w:type="spellEnd"/>
      <w:r w:rsidR="00F315F6" w:rsidRPr="00985145">
        <w:rPr>
          <w:rFonts w:ascii="Palatino Linotype" w:eastAsia="Times New Roman" w:hAnsi="Palatino Linotype" w:cs="Times New Roman"/>
          <w:snapToGrid w:val="0"/>
          <w:sz w:val="16"/>
          <w:szCs w:val="16"/>
          <w:lang w:val="en-US" w:bidi="en-US"/>
        </w:rPr>
        <w:t xml:space="preserve"> and </w:t>
      </w:r>
      <w:proofErr w:type="spellStart"/>
      <w:r w:rsidR="00F315F6" w:rsidRPr="00985145">
        <w:rPr>
          <w:rFonts w:ascii="Palatino Linotype" w:eastAsia="Times New Roman" w:hAnsi="Palatino Linotype" w:cs="Times New Roman"/>
          <w:snapToGrid w:val="0"/>
          <w:sz w:val="16"/>
          <w:szCs w:val="16"/>
          <w:lang w:val="en-US" w:bidi="en-US"/>
        </w:rPr>
        <w:t>endocardial</w:t>
      </w:r>
      <w:proofErr w:type="spellEnd"/>
      <w:r w:rsidR="00F315F6" w:rsidRPr="00985145">
        <w:rPr>
          <w:rFonts w:ascii="Palatino Linotype" w:eastAsia="Times New Roman" w:hAnsi="Palatino Linotype" w:cs="Times New Roman"/>
          <w:snapToGrid w:val="0"/>
          <w:sz w:val="16"/>
          <w:szCs w:val="16"/>
          <w:lang w:val="en-US" w:bidi="en-US"/>
        </w:rPr>
        <w:t xml:space="preserve"> levels; BL post-treated hearts show an intense reaction at the level of the muscle </w:t>
      </w:r>
      <w:proofErr w:type="spellStart"/>
      <w:r w:rsidR="00F315F6" w:rsidRPr="00985145">
        <w:rPr>
          <w:rFonts w:ascii="Palatino Linotype" w:eastAsia="Times New Roman" w:hAnsi="Palatino Linotype" w:cs="Times New Roman"/>
          <w:snapToGrid w:val="0"/>
          <w:sz w:val="16"/>
          <w:szCs w:val="16"/>
          <w:lang w:val="en-US" w:bidi="en-US"/>
        </w:rPr>
        <w:t>fibres</w:t>
      </w:r>
      <w:proofErr w:type="spellEnd"/>
      <w:r w:rsidR="00F315F6" w:rsidRPr="00985145">
        <w:rPr>
          <w:rFonts w:ascii="Palatino Linotype" w:eastAsia="Times New Roman" w:hAnsi="Palatino Linotype" w:cs="Times New Roman"/>
          <w:snapToGrid w:val="0"/>
          <w:sz w:val="16"/>
          <w:szCs w:val="16"/>
          <w:lang w:val="en-US" w:bidi="en-US"/>
        </w:rPr>
        <w:t xml:space="preserve"> and partially to </w:t>
      </w:r>
      <w:proofErr w:type="spellStart"/>
      <w:r w:rsidR="00F315F6" w:rsidRPr="00985145">
        <w:rPr>
          <w:rFonts w:ascii="Palatino Linotype" w:eastAsia="Times New Roman" w:hAnsi="Palatino Linotype" w:cs="Times New Roman"/>
          <w:snapToGrid w:val="0"/>
          <w:sz w:val="16"/>
          <w:szCs w:val="16"/>
          <w:lang w:val="en-US" w:bidi="en-US"/>
        </w:rPr>
        <w:t>endocardial</w:t>
      </w:r>
      <w:proofErr w:type="spellEnd"/>
      <w:r w:rsidR="00F315F6" w:rsidRPr="00985145">
        <w:rPr>
          <w:rFonts w:ascii="Palatino Linotype" w:eastAsia="Times New Roman" w:hAnsi="Palatino Linotype" w:cs="Times New Roman"/>
          <w:snapToGrid w:val="0"/>
          <w:sz w:val="16"/>
          <w:szCs w:val="16"/>
          <w:lang w:val="en-US" w:bidi="en-US"/>
        </w:rPr>
        <w:t xml:space="preserve"> cells; hearts pre-treated with BL are slight positive on the </w:t>
      </w:r>
      <w:proofErr w:type="spellStart"/>
      <w:r w:rsidR="00F315F6" w:rsidRPr="00985145">
        <w:rPr>
          <w:rFonts w:ascii="Palatino Linotype" w:eastAsia="Times New Roman" w:hAnsi="Palatino Linotype" w:cs="Times New Roman"/>
          <w:snapToGrid w:val="0"/>
          <w:sz w:val="16"/>
          <w:szCs w:val="16"/>
          <w:lang w:val="en-US" w:bidi="en-US"/>
        </w:rPr>
        <w:t>epicardium</w:t>
      </w:r>
      <w:proofErr w:type="spellEnd"/>
      <w:r w:rsidR="00F315F6" w:rsidRPr="00985145">
        <w:rPr>
          <w:rFonts w:ascii="Palatino Linotype" w:eastAsia="Times New Roman" w:hAnsi="Palatino Linotype" w:cs="Times New Roman"/>
          <w:snapToGrid w:val="0"/>
          <w:sz w:val="16"/>
          <w:szCs w:val="16"/>
          <w:lang w:val="en-US" w:bidi="en-US"/>
        </w:rPr>
        <w:t xml:space="preserve"> (EP) and </w:t>
      </w:r>
      <w:proofErr w:type="spellStart"/>
      <w:r w:rsidR="00F315F6" w:rsidRPr="00985145">
        <w:rPr>
          <w:rFonts w:ascii="Palatino Linotype" w:eastAsia="Times New Roman" w:hAnsi="Palatino Linotype" w:cs="Times New Roman"/>
          <w:snapToGrid w:val="0"/>
          <w:sz w:val="16"/>
          <w:szCs w:val="16"/>
          <w:lang w:val="en-US" w:bidi="en-US"/>
        </w:rPr>
        <w:t>endocardium</w:t>
      </w:r>
      <w:proofErr w:type="spellEnd"/>
      <w:r w:rsidR="00F315F6" w:rsidRPr="00985145">
        <w:rPr>
          <w:rFonts w:ascii="Palatino Linotype" w:eastAsia="Times New Roman" w:hAnsi="Palatino Linotype" w:cs="Times New Roman"/>
          <w:snapToGrid w:val="0"/>
          <w:sz w:val="16"/>
          <w:szCs w:val="16"/>
          <w:lang w:val="en-US" w:bidi="en-US"/>
        </w:rPr>
        <w:t xml:space="preserve">. The reaction control </w:t>
      </w:r>
      <w:r w:rsidR="00F42311" w:rsidRPr="00985145">
        <w:rPr>
          <w:rFonts w:ascii="Palatino Linotype" w:eastAsia="Times New Roman" w:hAnsi="Palatino Linotype" w:cs="Times New Roman"/>
          <w:snapToGrid w:val="0"/>
          <w:sz w:val="16"/>
          <w:szCs w:val="16"/>
          <w:lang w:val="en-US" w:bidi="en-US"/>
        </w:rPr>
        <w:t xml:space="preserve"> (II) has been done in a section of CTR by </w:t>
      </w:r>
      <w:r w:rsidR="00F315F6" w:rsidRPr="00985145">
        <w:rPr>
          <w:rFonts w:ascii="Palatino Linotype" w:eastAsia="Times New Roman" w:hAnsi="Palatino Linotype" w:cs="Times New Roman"/>
          <w:snapToGrid w:val="0"/>
          <w:sz w:val="16"/>
          <w:szCs w:val="16"/>
          <w:lang w:val="en-US" w:bidi="en-US"/>
        </w:rPr>
        <w:t>omission of primary antibody against RACK1</w:t>
      </w:r>
      <w:r w:rsidR="00F42311" w:rsidRPr="00985145">
        <w:rPr>
          <w:rFonts w:ascii="Palatino Linotype" w:eastAsia="Times New Roman" w:hAnsi="Palatino Linotype" w:cs="Times New Roman"/>
          <w:snapToGrid w:val="0"/>
          <w:sz w:val="16"/>
          <w:szCs w:val="16"/>
          <w:lang w:val="en-US" w:bidi="en-US"/>
        </w:rPr>
        <w:t>(s</w:t>
      </w:r>
      <w:r w:rsidR="00F315F6" w:rsidRPr="00985145">
        <w:rPr>
          <w:rFonts w:ascii="Palatino Linotype" w:eastAsia="Times New Roman" w:hAnsi="Palatino Linotype" w:cs="Times New Roman"/>
          <w:snapToGrid w:val="0"/>
          <w:sz w:val="16"/>
          <w:szCs w:val="16"/>
          <w:lang w:val="en-US" w:bidi="en-US"/>
        </w:rPr>
        <w:t>hows a negative reaction</w:t>
      </w:r>
      <w:r w:rsidR="00F42311" w:rsidRPr="00985145">
        <w:rPr>
          <w:rFonts w:ascii="Palatino Linotype" w:eastAsia="Times New Roman" w:hAnsi="Palatino Linotype" w:cs="Times New Roman"/>
          <w:snapToGrid w:val="0"/>
          <w:sz w:val="16"/>
          <w:szCs w:val="16"/>
          <w:lang w:val="en-US" w:bidi="en-US"/>
        </w:rPr>
        <w:t>)</w:t>
      </w:r>
      <w:r w:rsidR="00F315F6" w:rsidRPr="00985145">
        <w:rPr>
          <w:rFonts w:ascii="Palatino Linotype" w:eastAsia="Times New Roman" w:hAnsi="Palatino Linotype" w:cs="Times New Roman"/>
          <w:snapToGrid w:val="0"/>
          <w:sz w:val="16"/>
          <w:szCs w:val="16"/>
          <w:lang w:val="en-US" w:bidi="en-US"/>
        </w:rPr>
        <w:t xml:space="preserve">. Bar: 200 µm for all images except for PE where it is 140 µm; EP= </w:t>
      </w:r>
      <w:proofErr w:type="spellStart"/>
      <w:r w:rsidR="00F315F6" w:rsidRPr="00985145">
        <w:rPr>
          <w:rFonts w:ascii="Palatino Linotype" w:eastAsia="Times New Roman" w:hAnsi="Palatino Linotype" w:cs="Times New Roman"/>
          <w:snapToGrid w:val="0"/>
          <w:sz w:val="16"/>
          <w:szCs w:val="16"/>
          <w:lang w:val="en-US" w:bidi="en-US"/>
        </w:rPr>
        <w:t>epicardium</w:t>
      </w:r>
      <w:proofErr w:type="spellEnd"/>
      <w:r w:rsidR="00F315F6" w:rsidRPr="00985145">
        <w:rPr>
          <w:rFonts w:ascii="Palatino Linotype" w:eastAsia="Times New Roman" w:hAnsi="Palatino Linotype" w:cs="Times New Roman"/>
          <w:snapToGrid w:val="0"/>
          <w:sz w:val="16"/>
          <w:szCs w:val="16"/>
          <w:lang w:val="en-US" w:bidi="en-US"/>
        </w:rPr>
        <w:t>, MYO= myocardium; Arrow=</w:t>
      </w:r>
      <w:proofErr w:type="spellStart"/>
      <w:r w:rsidR="00F315F6" w:rsidRPr="00985145">
        <w:rPr>
          <w:rFonts w:ascii="Palatino Linotype" w:eastAsia="Times New Roman" w:hAnsi="Palatino Linotype" w:cs="Times New Roman"/>
          <w:snapToGrid w:val="0"/>
          <w:sz w:val="16"/>
          <w:szCs w:val="16"/>
          <w:lang w:val="en-US" w:bidi="en-US"/>
        </w:rPr>
        <w:t>endocardium</w:t>
      </w:r>
      <w:proofErr w:type="spellEnd"/>
      <w:r w:rsidR="0050732E" w:rsidRPr="00985145">
        <w:rPr>
          <w:rFonts w:ascii="Palatino Linotype" w:eastAsia="Times New Roman" w:hAnsi="Palatino Linotype" w:cs="Times New Roman"/>
          <w:snapToGrid w:val="0"/>
          <w:sz w:val="16"/>
          <w:szCs w:val="16"/>
          <w:lang w:val="en-US" w:bidi="en-US"/>
        </w:rPr>
        <w:t>.</w:t>
      </w:r>
    </w:p>
    <w:p w:rsidR="0050732E" w:rsidRPr="00985145" w:rsidRDefault="0050732E" w:rsidP="00612F53">
      <w:pPr>
        <w:spacing w:line="240" w:lineRule="auto"/>
        <w:ind w:left="2552"/>
        <w:jc w:val="both"/>
        <w:rPr>
          <w:sz w:val="16"/>
          <w:szCs w:val="16"/>
          <w:lang w:val="en-US"/>
        </w:rPr>
      </w:pPr>
    </w:p>
    <w:p w:rsidR="0050732E" w:rsidRPr="00985145" w:rsidRDefault="0050732E" w:rsidP="0050732E">
      <w:pPr>
        <w:pStyle w:val="MDPI62BackMatter"/>
        <w:spacing w:before="240"/>
        <w:rPr>
          <w:i/>
          <w:noProof/>
          <w:snapToGrid/>
          <w:color w:val="auto"/>
          <w:lang w:val="en-GB" w:eastAsia="it-IT" w:bidi="ar-SA"/>
        </w:rPr>
      </w:pPr>
      <w:r w:rsidRPr="00985145">
        <w:rPr>
          <w:i/>
          <w:noProof/>
          <w:snapToGrid/>
          <w:color w:val="auto"/>
          <w:lang w:val="en-GB" w:eastAsia="it-IT" w:bidi="ar-SA"/>
        </w:rPr>
        <w:t>S1.2.</w:t>
      </w:r>
      <w:r w:rsidRPr="00985145">
        <w:rPr>
          <w:color w:val="auto"/>
        </w:rPr>
        <w:t xml:space="preserve"> </w:t>
      </w:r>
      <w:r w:rsidRPr="00985145">
        <w:rPr>
          <w:i/>
          <w:noProof/>
          <w:snapToGrid/>
          <w:color w:val="auto"/>
          <w:lang w:val="en-GB" w:eastAsia="it-IT" w:bidi="ar-SA"/>
        </w:rPr>
        <w:t>Immunohistochemical analysis of the presence of the RACK1and embryonal genes</w:t>
      </w:r>
    </w:p>
    <w:p w:rsidR="0050732E" w:rsidRPr="00985145" w:rsidRDefault="0000076E" w:rsidP="0050732E">
      <w:pPr>
        <w:spacing w:line="240" w:lineRule="auto"/>
        <w:ind w:left="2552"/>
        <w:jc w:val="both"/>
        <w:rPr>
          <w:rFonts w:ascii="Palatino Linotype" w:eastAsia="Times New Roman" w:hAnsi="Palatino Linotype" w:cs="Times New Roman"/>
          <w:noProof/>
          <w:sz w:val="18"/>
          <w:szCs w:val="18"/>
          <w:lang w:val="en-GB" w:eastAsia="it-IT"/>
        </w:rPr>
      </w:pPr>
      <w:r w:rsidRPr="00985145">
        <w:rPr>
          <w:rFonts w:ascii="Palatino Linotype" w:eastAsia="Times New Roman" w:hAnsi="Palatino Linotype" w:cs="Times New Roman"/>
          <w:noProof/>
          <w:sz w:val="18"/>
          <w:szCs w:val="20"/>
          <w:lang w:val="en-GB" w:eastAsia="it-IT"/>
        </w:rPr>
        <w:t xml:space="preserve">The cryosections were treated with phosphate buffer added with 2% Tween +1 mM EDTA (Sigma-Aldrich). The pre-treated slides were placed in the citrate buffer to evidence the antigens for 20 min at 40°C, subsequently washed in PBSTX (PBS+ 0.8% Triton X100, Sigma-Aldrich). The sections were treated for 12 hrs with Sudan Black 0.01% in PBSTX. The sections were then processed in a mixture of 0.1%Triton+0.1% DMSO+ 2% BSA and incubated at 4 °C with the primary antibody. The primary antibodies used: 1) Wilms Tumour (WT1, rabbit recombinant polyclonal protein antibody, Abcam) 1:100 [17] or 2) anti-GATA4 (rabbit recombinant polyclonal protein </w:t>
      </w:r>
      <w:r w:rsidRPr="00985145">
        <w:rPr>
          <w:rFonts w:ascii="Palatino Linotype" w:eastAsia="Times New Roman" w:hAnsi="Palatino Linotype" w:cs="Times New Roman"/>
          <w:noProof/>
          <w:sz w:val="18"/>
          <w:szCs w:val="20"/>
          <w:lang w:val="en-GB" w:eastAsia="it-IT"/>
        </w:rPr>
        <w:lastRenderedPageBreak/>
        <w:t xml:space="preserve">antibody, Abcam) 1:100 [21] or 3) NFAT2 (rabbit recombinant polyclonal protein antibody, Abcam) 1:1500 [17]. These antibodies were used in contemporary with the RACK1 anti-mouse IgM antibody (BD, Bioscience, USA). The antibodies were diluted in PBST + 1% normal goat serum (NGS, Sigma-Aldrich). After 48 hrs of incubation/ 4°C, the slides were washed in PBSTX and incubated with PBSTX + 1% NGS + 2%BSA before the incubation of ﬂuorophore-conjugate secondary antibody: 1) red fluorescent goat anti-mouse IgM (GAM, 1:200, Alexa-conjugates 594 wavelength, Invitrogen) and 2) green florescent goat anti-rabbit (GAR, 1:200, Invitrogen, 488nm wavelength) for 1 h at room temperature. The nuclei were counterstained with DAPI (1:1000, Vectastain). Slides were mounted with Fluoreshield Mounting medium. The confocal analysis was done by using ZEISS LSM 710- Scanning module with 34 spectral R/FL detection channels, 6 laser lines (405,458, 488, 514, and 633 nm) with at least six analysis plans for each sample. The analysis of WT1/RACK1/DAPI; NFAT2/RACK1/DAPI and GATA4/RACK1/DAPI immunostaining was carried out on a single section. Each image acquired from the relative fluorescent canal has been converted to RGB, merged for the three color canals, and normalized to the background by Adobe Photoshop 6 program, (Adobe Systems, Mountain View, CA, USA). The resolution of each image has been selected to be 1024 × </w:t>
      </w:r>
      <w:r w:rsidRPr="00985145">
        <w:rPr>
          <w:rFonts w:ascii="Palatino Linotype" w:eastAsia="Times New Roman" w:hAnsi="Palatino Linotype" w:cs="Times New Roman"/>
          <w:noProof/>
          <w:sz w:val="18"/>
          <w:szCs w:val="18"/>
          <w:lang w:val="en-GB" w:eastAsia="it-IT"/>
        </w:rPr>
        <w:t>1024 pixels (single stack).</w:t>
      </w:r>
    </w:p>
    <w:p w:rsidR="0000076E" w:rsidRPr="00985145" w:rsidRDefault="0000076E" w:rsidP="0000076E">
      <w:pPr>
        <w:spacing w:line="240" w:lineRule="auto"/>
        <w:ind w:left="2552"/>
        <w:jc w:val="both"/>
        <w:rPr>
          <w:rFonts w:ascii="Palatino Linotype" w:hAnsi="Palatino Linotype"/>
          <w:sz w:val="18"/>
          <w:szCs w:val="18"/>
          <w:lang w:val="en-GB"/>
        </w:rPr>
      </w:pPr>
      <w:r w:rsidRPr="00985145">
        <w:rPr>
          <w:rFonts w:ascii="Palatino Linotype" w:hAnsi="Palatino Linotype"/>
          <w:sz w:val="18"/>
          <w:szCs w:val="18"/>
          <w:lang w:val="en-GB"/>
        </w:rPr>
        <w:t xml:space="preserve">In the treated heart specimens with GFs, the staining of these proteins was very similar to the PE group, but embryonic markers displayed lower intensity. In the PE/BL group (treated simultaneously with PE and BL) a RACK1 positivity was greater than control. This positivity seems localized mainly around the </w:t>
      </w:r>
      <w:proofErr w:type="spellStart"/>
      <w:r w:rsidRPr="00985145">
        <w:rPr>
          <w:rFonts w:ascii="Palatino Linotype" w:hAnsi="Palatino Linotype"/>
          <w:sz w:val="18"/>
          <w:szCs w:val="18"/>
          <w:lang w:val="en-GB"/>
        </w:rPr>
        <w:t>fibers</w:t>
      </w:r>
      <w:proofErr w:type="spellEnd"/>
      <w:r w:rsidRPr="00985145">
        <w:rPr>
          <w:rFonts w:ascii="Palatino Linotype" w:hAnsi="Palatino Linotype"/>
          <w:sz w:val="18"/>
          <w:szCs w:val="18"/>
          <w:lang w:val="en-GB"/>
        </w:rPr>
        <w:t xml:space="preserve"> (in </w:t>
      </w:r>
      <w:proofErr w:type="spellStart"/>
      <w:r w:rsidRPr="00985145">
        <w:rPr>
          <w:rFonts w:ascii="Palatino Linotype" w:hAnsi="Palatino Linotype"/>
          <w:sz w:val="18"/>
          <w:szCs w:val="18"/>
          <w:lang w:val="en-GB"/>
        </w:rPr>
        <w:t>cardiomyocytes</w:t>
      </w:r>
      <w:proofErr w:type="spellEnd"/>
      <w:r w:rsidRPr="00985145">
        <w:rPr>
          <w:rFonts w:ascii="Palatino Linotype" w:hAnsi="Palatino Linotype"/>
          <w:sz w:val="18"/>
          <w:szCs w:val="18"/>
          <w:lang w:val="en-GB"/>
        </w:rPr>
        <w:t xml:space="preserve">) where it co-localizes with GATA4 and NFAT2. Furthermore, the positivity of WT1 in the </w:t>
      </w:r>
      <w:proofErr w:type="spellStart"/>
      <w:r w:rsidRPr="00985145">
        <w:rPr>
          <w:rFonts w:ascii="Palatino Linotype" w:hAnsi="Palatino Linotype"/>
          <w:sz w:val="18"/>
          <w:szCs w:val="18"/>
          <w:lang w:val="en-GB"/>
        </w:rPr>
        <w:t>epicardium</w:t>
      </w:r>
      <w:proofErr w:type="spellEnd"/>
      <w:r w:rsidRPr="00985145">
        <w:rPr>
          <w:rFonts w:ascii="Palatino Linotype" w:hAnsi="Palatino Linotype"/>
          <w:sz w:val="18"/>
          <w:szCs w:val="18"/>
          <w:lang w:val="en-GB"/>
        </w:rPr>
        <w:t xml:space="preserve"> was less marked. In hearts pre-treated with PE, on the contrary, GATA4 staining was intense and greater than the positivity of RACK1. By contrast, WT1 and NFAT2 showed a less intense reaction, on the </w:t>
      </w:r>
      <w:proofErr w:type="spellStart"/>
      <w:r w:rsidRPr="00985145">
        <w:rPr>
          <w:rFonts w:ascii="Palatino Linotype" w:hAnsi="Palatino Linotype"/>
          <w:sz w:val="18"/>
          <w:szCs w:val="18"/>
          <w:lang w:val="en-GB"/>
        </w:rPr>
        <w:t>epicardium</w:t>
      </w:r>
      <w:proofErr w:type="spellEnd"/>
      <w:r w:rsidRPr="00985145">
        <w:rPr>
          <w:rFonts w:ascii="Palatino Linotype" w:hAnsi="Palatino Linotype"/>
          <w:sz w:val="18"/>
          <w:szCs w:val="18"/>
          <w:lang w:val="en-GB"/>
        </w:rPr>
        <w:t xml:space="preserve"> and </w:t>
      </w:r>
      <w:proofErr w:type="spellStart"/>
      <w:r w:rsidRPr="00985145">
        <w:rPr>
          <w:rFonts w:ascii="Palatino Linotype" w:hAnsi="Palatino Linotype"/>
          <w:sz w:val="18"/>
          <w:szCs w:val="18"/>
          <w:lang w:val="en-GB"/>
        </w:rPr>
        <w:t>endocardium</w:t>
      </w:r>
      <w:proofErr w:type="spellEnd"/>
      <w:r w:rsidRPr="00985145">
        <w:rPr>
          <w:rFonts w:ascii="Palatino Linotype" w:hAnsi="Palatino Linotype"/>
          <w:sz w:val="18"/>
          <w:szCs w:val="18"/>
          <w:lang w:val="en-GB"/>
        </w:rPr>
        <w:t>, respectively, compared to the PE and GFs. The post-PE-treated hearts show a less intense reaction for RACK1 and a very low signal for cardiac markers.</w:t>
      </w:r>
    </w:p>
    <w:p w:rsidR="000F0B0F" w:rsidRPr="00985145" w:rsidRDefault="000F0B0F" w:rsidP="0000076E">
      <w:pPr>
        <w:spacing w:line="240" w:lineRule="auto"/>
        <w:ind w:left="2552"/>
        <w:jc w:val="both"/>
        <w:rPr>
          <w:rFonts w:ascii="Palatino Linotype" w:hAnsi="Palatino Linotype"/>
          <w:sz w:val="18"/>
          <w:szCs w:val="18"/>
          <w:lang w:val="en-GB"/>
        </w:rPr>
      </w:pPr>
      <w:r w:rsidRPr="00985145">
        <w:rPr>
          <w:rFonts w:ascii="Palatino Linotype" w:hAnsi="Palatino Linotype"/>
          <w:noProof/>
          <w:sz w:val="18"/>
          <w:szCs w:val="18"/>
          <w:lang w:eastAsia="it-IT"/>
        </w:rPr>
        <w:lastRenderedPageBreak/>
        <w:drawing>
          <wp:inline distT="0" distB="0" distL="0" distR="0">
            <wp:extent cx="5760720" cy="7559802"/>
            <wp:effectExtent l="19050" t="0" r="0" b="0"/>
            <wp:docPr id="4" name="Immagine 7" descr="CONFOCALE RACK1_Emarkers final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FOCALE RACK1_Emarkers finale.tif"/>
                    <pic:cNvPicPr/>
                  </pic:nvPicPr>
                  <pic:blipFill>
                    <a:blip r:embed="rId9" cstate="print"/>
                    <a:stretch>
                      <a:fillRect/>
                    </a:stretch>
                  </pic:blipFill>
                  <pic:spPr>
                    <a:xfrm>
                      <a:off x="0" y="0"/>
                      <a:ext cx="5760720" cy="7559802"/>
                    </a:xfrm>
                    <a:prstGeom prst="rect">
                      <a:avLst/>
                    </a:prstGeom>
                  </pic:spPr>
                </pic:pic>
              </a:graphicData>
            </a:graphic>
          </wp:inline>
        </w:drawing>
      </w:r>
    </w:p>
    <w:p w:rsidR="000F0B0F" w:rsidRPr="00985145" w:rsidRDefault="000F0B0F" w:rsidP="000F0B0F">
      <w:pPr>
        <w:pStyle w:val="MDPI22heading2"/>
        <w:spacing w:before="240"/>
        <w:jc w:val="both"/>
        <w:rPr>
          <w:i w:val="0"/>
          <w:noProof w:val="0"/>
          <w:color w:val="auto"/>
          <w:sz w:val="18"/>
          <w:szCs w:val="18"/>
        </w:rPr>
      </w:pPr>
      <w:r w:rsidRPr="00985145">
        <w:rPr>
          <w:b/>
          <w:i w:val="0"/>
          <w:noProof w:val="0"/>
          <w:color w:val="auto"/>
          <w:sz w:val="18"/>
          <w:szCs w:val="18"/>
        </w:rPr>
        <w:t xml:space="preserve">Figure S3. RACK1 and </w:t>
      </w:r>
      <w:proofErr w:type="spellStart"/>
      <w:r w:rsidRPr="00985145">
        <w:rPr>
          <w:b/>
          <w:i w:val="0"/>
          <w:noProof w:val="0"/>
          <w:color w:val="auto"/>
          <w:sz w:val="18"/>
          <w:szCs w:val="18"/>
        </w:rPr>
        <w:t>embryonal</w:t>
      </w:r>
      <w:proofErr w:type="spellEnd"/>
      <w:r w:rsidRPr="00985145">
        <w:rPr>
          <w:b/>
          <w:i w:val="0"/>
          <w:noProof w:val="0"/>
          <w:color w:val="auto"/>
          <w:sz w:val="18"/>
          <w:szCs w:val="18"/>
        </w:rPr>
        <w:t xml:space="preserve"> markers localization by </w:t>
      </w:r>
      <w:proofErr w:type="spellStart"/>
      <w:r w:rsidRPr="00985145">
        <w:rPr>
          <w:b/>
          <w:i w:val="0"/>
          <w:noProof w:val="0"/>
          <w:color w:val="auto"/>
          <w:sz w:val="18"/>
          <w:szCs w:val="18"/>
        </w:rPr>
        <w:t>confocal</w:t>
      </w:r>
      <w:proofErr w:type="spellEnd"/>
      <w:r w:rsidRPr="00985145">
        <w:rPr>
          <w:b/>
          <w:i w:val="0"/>
          <w:noProof w:val="0"/>
          <w:color w:val="auto"/>
          <w:sz w:val="18"/>
          <w:szCs w:val="18"/>
        </w:rPr>
        <w:t xml:space="preserve"> microscopy analysis. </w:t>
      </w:r>
      <w:r w:rsidRPr="00985145">
        <w:rPr>
          <w:i w:val="0"/>
          <w:noProof w:val="0"/>
          <w:color w:val="auto"/>
          <w:sz w:val="18"/>
          <w:szCs w:val="18"/>
        </w:rPr>
        <w:t xml:space="preserve">RACK1 (red fluorescence) is fundamentally expressed in the </w:t>
      </w:r>
      <w:r w:rsidRPr="00985145">
        <w:rPr>
          <w:noProof w:val="0"/>
          <w:color w:val="auto"/>
          <w:sz w:val="18"/>
          <w:szCs w:val="18"/>
        </w:rPr>
        <w:t>myocardium</w:t>
      </w:r>
      <w:r w:rsidRPr="00985145">
        <w:rPr>
          <w:i w:val="0"/>
          <w:noProof w:val="0"/>
          <w:color w:val="auto"/>
          <w:sz w:val="18"/>
          <w:szCs w:val="18"/>
        </w:rPr>
        <w:t xml:space="preserve"> of CTR. In all experimental groups, the RACK1 is enhanced and co-localize with the </w:t>
      </w:r>
      <w:proofErr w:type="spellStart"/>
      <w:r w:rsidRPr="00985145">
        <w:rPr>
          <w:i w:val="0"/>
          <w:noProof w:val="0"/>
          <w:color w:val="auto"/>
          <w:sz w:val="18"/>
          <w:szCs w:val="18"/>
        </w:rPr>
        <w:t>embryonal</w:t>
      </w:r>
      <w:proofErr w:type="spellEnd"/>
      <w:r w:rsidRPr="00985145">
        <w:rPr>
          <w:i w:val="0"/>
          <w:noProof w:val="0"/>
          <w:color w:val="auto"/>
          <w:sz w:val="18"/>
          <w:szCs w:val="18"/>
        </w:rPr>
        <w:t xml:space="preserve"> makers. </w:t>
      </w:r>
      <w:proofErr w:type="spellStart"/>
      <w:r w:rsidRPr="00985145">
        <w:rPr>
          <w:i w:val="0"/>
          <w:noProof w:val="0"/>
          <w:color w:val="auto"/>
          <w:sz w:val="18"/>
          <w:szCs w:val="18"/>
        </w:rPr>
        <w:t>Embryonal</w:t>
      </w:r>
      <w:proofErr w:type="spellEnd"/>
      <w:r w:rsidRPr="00985145">
        <w:rPr>
          <w:i w:val="0"/>
          <w:noProof w:val="0"/>
          <w:color w:val="auto"/>
          <w:sz w:val="18"/>
          <w:szCs w:val="18"/>
        </w:rPr>
        <w:t xml:space="preserve"> markers (green fluorescence), like GATA4, WT1-epicardium marker; and NFAT2-</w:t>
      </w:r>
      <w:r w:rsidRPr="00985145">
        <w:rPr>
          <w:noProof w:val="0"/>
          <w:color w:val="auto"/>
          <w:sz w:val="18"/>
          <w:szCs w:val="18"/>
        </w:rPr>
        <w:t>endocardium</w:t>
      </w:r>
      <w:r w:rsidRPr="00985145">
        <w:rPr>
          <w:i w:val="0"/>
          <w:noProof w:val="0"/>
          <w:color w:val="auto"/>
          <w:sz w:val="18"/>
          <w:szCs w:val="18"/>
        </w:rPr>
        <w:t xml:space="preserve"> marker, are strongly expressed in PE and GFs; and, moderately expressed in PE+BL, PE/BL. Moreover, they are less expressed in BL+PE.. Blue fluorescence: DAPI (nuclear marker); Bar: 500µm</w:t>
      </w:r>
    </w:p>
    <w:p w:rsidR="0000076E" w:rsidRPr="00985145" w:rsidRDefault="0000076E" w:rsidP="0000076E">
      <w:pPr>
        <w:spacing w:line="240" w:lineRule="auto"/>
        <w:ind w:left="2552"/>
        <w:jc w:val="both"/>
        <w:rPr>
          <w:rFonts w:ascii="Palatino Linotype" w:hAnsi="Palatino Linotype"/>
          <w:sz w:val="18"/>
          <w:szCs w:val="18"/>
          <w:lang w:val="en-GB"/>
        </w:rPr>
      </w:pPr>
    </w:p>
    <w:sectPr w:rsidR="0000076E" w:rsidRPr="00985145" w:rsidSect="00B458C8">
      <w:headerReference w:type="default" r:id="rId10"/>
      <w:pgSz w:w="11906" w:h="16838"/>
      <w:pgMar w:top="1418"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5C77" w:rsidRPr="00E61091" w:rsidRDefault="00125C77" w:rsidP="00B458C8">
      <w:pPr>
        <w:spacing w:after="0" w:line="240" w:lineRule="auto"/>
        <w:rPr>
          <w:sz w:val="16"/>
        </w:rPr>
      </w:pPr>
      <w:r>
        <w:separator/>
      </w:r>
    </w:p>
  </w:endnote>
  <w:endnote w:type="continuationSeparator" w:id="0">
    <w:p w:rsidR="00125C77" w:rsidRPr="00E61091" w:rsidRDefault="00125C77" w:rsidP="00B458C8">
      <w:pPr>
        <w:spacing w:after="0" w:line="240" w:lineRule="auto"/>
        <w:rPr>
          <w:sz w:val="16"/>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5C77" w:rsidRPr="00E61091" w:rsidRDefault="00125C77" w:rsidP="00B458C8">
      <w:pPr>
        <w:spacing w:after="0" w:line="240" w:lineRule="auto"/>
        <w:rPr>
          <w:sz w:val="16"/>
        </w:rPr>
      </w:pPr>
      <w:r>
        <w:separator/>
      </w:r>
    </w:p>
  </w:footnote>
  <w:footnote w:type="continuationSeparator" w:id="0">
    <w:p w:rsidR="00125C77" w:rsidRPr="00E61091" w:rsidRDefault="00125C77" w:rsidP="00B458C8">
      <w:pPr>
        <w:spacing w:after="0" w:line="240" w:lineRule="auto"/>
        <w:rPr>
          <w:sz w:val="16"/>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i/>
        <w:lang w:val="en-GB"/>
      </w:rPr>
      <w:alias w:val="Titolo"/>
      <w:id w:val="77738743"/>
      <w:placeholder>
        <w:docPart w:val="A232C01D8956433C8AD8C8A35E876CC1"/>
      </w:placeholder>
      <w:dataBinding w:prefixMappings="xmlns:ns0='http://schemas.openxmlformats.org/package/2006/metadata/core-properties' xmlns:ns1='http://purl.org/dc/elements/1.1/'" w:xpath="/ns0:coreProperties[1]/ns1:title[1]" w:storeItemID="{6C3C8BC8-F283-45AE-878A-BAB7291924A1}"/>
      <w:text/>
    </w:sdtPr>
    <w:sdtContent>
      <w:p w:rsidR="002E600A" w:rsidRPr="00B458C8" w:rsidRDefault="00B14DC6">
        <w:pPr>
          <w:pStyle w:val="Intestazione"/>
          <w:pBdr>
            <w:bottom w:val="thickThinSmallGap" w:sz="24" w:space="1" w:color="622423" w:themeColor="accent2" w:themeShade="7F"/>
          </w:pBdr>
          <w:jc w:val="center"/>
          <w:rPr>
            <w:rFonts w:asciiTheme="majorHAnsi" w:eastAsiaTheme="majorEastAsia" w:hAnsiTheme="majorHAnsi" w:cstheme="majorBidi"/>
            <w:sz w:val="32"/>
            <w:szCs w:val="32"/>
            <w:lang w:val="en-GB"/>
          </w:rPr>
        </w:pPr>
        <w:r w:rsidRPr="00B14DC6">
          <w:rPr>
            <w:i/>
            <w:lang w:val="en-GB"/>
          </w:rPr>
          <w:t xml:space="preserve">Rack1 Contributes To The </w:t>
        </w:r>
        <w:proofErr w:type="spellStart"/>
        <w:r w:rsidR="0006035D">
          <w:rPr>
            <w:i/>
            <w:lang w:val="en-GB"/>
          </w:rPr>
          <w:t>Upr</w:t>
        </w:r>
        <w:r w:rsidRPr="00B14DC6">
          <w:rPr>
            <w:i/>
            <w:lang w:val="en-GB"/>
          </w:rPr>
          <w:t>egulation</w:t>
        </w:r>
        <w:proofErr w:type="spellEnd"/>
        <w:r w:rsidRPr="00B14DC6">
          <w:rPr>
            <w:i/>
            <w:lang w:val="en-GB"/>
          </w:rPr>
          <w:t xml:space="preserve"> Of Embryonic Genes In A Model Of Cardiac Hypertrophy -Supplementary Data</w:t>
        </w:r>
      </w:p>
    </w:sdtContent>
  </w:sdt>
  <w:p w:rsidR="002E600A" w:rsidRPr="00B458C8" w:rsidRDefault="002E600A">
    <w:pPr>
      <w:pStyle w:val="Intestazione"/>
      <w:rPr>
        <w:lang w:val="en-GB"/>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283"/>
  <w:characterSpacingControl w:val="doNotCompress"/>
  <w:footnotePr>
    <w:footnote w:id="-1"/>
    <w:footnote w:id="0"/>
  </w:footnotePr>
  <w:endnotePr>
    <w:endnote w:id="-1"/>
    <w:endnote w:id="0"/>
  </w:endnotePr>
  <w:compat/>
  <w:rsids>
    <w:rsidRoot w:val="006349C5"/>
    <w:rsid w:val="0000076E"/>
    <w:rsid w:val="00036766"/>
    <w:rsid w:val="0006035D"/>
    <w:rsid w:val="000D1EC3"/>
    <w:rsid w:val="000E2419"/>
    <w:rsid w:val="000F0B0F"/>
    <w:rsid w:val="00125C77"/>
    <w:rsid w:val="00150488"/>
    <w:rsid w:val="0015407D"/>
    <w:rsid w:val="001775BA"/>
    <w:rsid w:val="00193066"/>
    <w:rsid w:val="001951C3"/>
    <w:rsid w:val="001C42B7"/>
    <w:rsid w:val="001F6847"/>
    <w:rsid w:val="002506AB"/>
    <w:rsid w:val="002E3A51"/>
    <w:rsid w:val="002E600A"/>
    <w:rsid w:val="00336685"/>
    <w:rsid w:val="0034286F"/>
    <w:rsid w:val="00377D83"/>
    <w:rsid w:val="00401740"/>
    <w:rsid w:val="00432D5B"/>
    <w:rsid w:val="00490649"/>
    <w:rsid w:val="004A5F9C"/>
    <w:rsid w:val="004C09B5"/>
    <w:rsid w:val="0050732E"/>
    <w:rsid w:val="0055103D"/>
    <w:rsid w:val="005551C4"/>
    <w:rsid w:val="0055553E"/>
    <w:rsid w:val="00556623"/>
    <w:rsid w:val="005759A1"/>
    <w:rsid w:val="005C6316"/>
    <w:rsid w:val="00612F53"/>
    <w:rsid w:val="006349C5"/>
    <w:rsid w:val="006376DA"/>
    <w:rsid w:val="00647E7F"/>
    <w:rsid w:val="00682AD0"/>
    <w:rsid w:val="00701F6A"/>
    <w:rsid w:val="0073648C"/>
    <w:rsid w:val="00772F46"/>
    <w:rsid w:val="0078676F"/>
    <w:rsid w:val="0079332B"/>
    <w:rsid w:val="007A6B14"/>
    <w:rsid w:val="007B44BC"/>
    <w:rsid w:val="007D4307"/>
    <w:rsid w:val="008219BB"/>
    <w:rsid w:val="00822A50"/>
    <w:rsid w:val="008615D1"/>
    <w:rsid w:val="00871D78"/>
    <w:rsid w:val="008763E9"/>
    <w:rsid w:val="008860BD"/>
    <w:rsid w:val="008C1719"/>
    <w:rsid w:val="008D1436"/>
    <w:rsid w:val="008F2212"/>
    <w:rsid w:val="00926C49"/>
    <w:rsid w:val="0096683A"/>
    <w:rsid w:val="00985145"/>
    <w:rsid w:val="00993752"/>
    <w:rsid w:val="009D4457"/>
    <w:rsid w:val="009E0876"/>
    <w:rsid w:val="00A6367B"/>
    <w:rsid w:val="00A711DF"/>
    <w:rsid w:val="00AE3871"/>
    <w:rsid w:val="00AE5FAF"/>
    <w:rsid w:val="00B14DC6"/>
    <w:rsid w:val="00B17923"/>
    <w:rsid w:val="00B27071"/>
    <w:rsid w:val="00B36920"/>
    <w:rsid w:val="00B458C8"/>
    <w:rsid w:val="00BC53D4"/>
    <w:rsid w:val="00C3214D"/>
    <w:rsid w:val="00CB26D6"/>
    <w:rsid w:val="00CE69C8"/>
    <w:rsid w:val="00D10B88"/>
    <w:rsid w:val="00DA3FAD"/>
    <w:rsid w:val="00DB6B93"/>
    <w:rsid w:val="00E6014D"/>
    <w:rsid w:val="00EE23CB"/>
    <w:rsid w:val="00EE29B7"/>
    <w:rsid w:val="00F0288D"/>
    <w:rsid w:val="00F15CF7"/>
    <w:rsid w:val="00F169F8"/>
    <w:rsid w:val="00F315F6"/>
    <w:rsid w:val="00F42311"/>
    <w:rsid w:val="00FA0A9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5662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DPI62BackMatter">
    <w:name w:val="MDPI_6.2_BackMatter"/>
    <w:qFormat/>
    <w:rsid w:val="006349C5"/>
    <w:pPr>
      <w:adjustRightInd w:val="0"/>
      <w:snapToGrid w:val="0"/>
      <w:spacing w:after="120" w:line="228" w:lineRule="auto"/>
      <w:ind w:left="2608"/>
      <w:jc w:val="both"/>
    </w:pPr>
    <w:rPr>
      <w:rFonts w:ascii="Palatino Linotype" w:eastAsia="Times New Roman" w:hAnsi="Palatino Linotype" w:cs="Times New Roman"/>
      <w:snapToGrid w:val="0"/>
      <w:color w:val="000000"/>
      <w:sz w:val="18"/>
      <w:szCs w:val="20"/>
      <w:lang w:val="en-US" w:bidi="en-US"/>
    </w:rPr>
  </w:style>
  <w:style w:type="paragraph" w:styleId="Testofumetto">
    <w:name w:val="Balloon Text"/>
    <w:basedOn w:val="Normale"/>
    <w:link w:val="TestofumettoCarattere"/>
    <w:uiPriority w:val="99"/>
    <w:semiHidden/>
    <w:unhideWhenUsed/>
    <w:rsid w:val="006349C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349C5"/>
    <w:rPr>
      <w:rFonts w:ascii="Tahoma" w:hAnsi="Tahoma" w:cs="Tahoma"/>
      <w:sz w:val="16"/>
      <w:szCs w:val="16"/>
    </w:rPr>
  </w:style>
  <w:style w:type="paragraph" w:styleId="Intestazione">
    <w:name w:val="header"/>
    <w:basedOn w:val="Normale"/>
    <w:link w:val="IntestazioneCarattere"/>
    <w:uiPriority w:val="99"/>
    <w:unhideWhenUsed/>
    <w:rsid w:val="00B458C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458C8"/>
  </w:style>
  <w:style w:type="paragraph" w:styleId="Pidipagina">
    <w:name w:val="footer"/>
    <w:basedOn w:val="Normale"/>
    <w:link w:val="PidipaginaCarattere"/>
    <w:uiPriority w:val="99"/>
    <w:unhideWhenUsed/>
    <w:rsid w:val="00B458C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458C8"/>
  </w:style>
  <w:style w:type="paragraph" w:customStyle="1" w:styleId="MDPI22heading2">
    <w:name w:val="MDPI_2.2_heading2"/>
    <w:qFormat/>
    <w:rsid w:val="0000076E"/>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val="en-US" w:eastAsia="de-DE"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232C01D8956433C8AD8C8A35E876CC1"/>
        <w:category>
          <w:name w:val="Generale"/>
          <w:gallery w:val="placeholder"/>
        </w:category>
        <w:types>
          <w:type w:val="bbPlcHdr"/>
        </w:types>
        <w:behaviors>
          <w:behavior w:val="content"/>
        </w:behaviors>
        <w:guid w:val="{3D2BACB5-4799-4430-9A07-963CC026A62B}"/>
      </w:docPartPr>
      <w:docPartBody>
        <w:p w:rsidR="000712F4" w:rsidRDefault="001C2F25" w:rsidP="001C2F25">
          <w:pPr>
            <w:pStyle w:val="A232C01D8956433C8AD8C8A35E876CC1"/>
          </w:pPr>
          <w:r>
            <w:rPr>
              <w:rFonts w:asciiTheme="majorHAnsi" w:eastAsiaTheme="majorEastAsia" w:hAnsiTheme="majorHAnsi" w:cstheme="majorBidi"/>
              <w:sz w:val="32"/>
              <w:szCs w:val="32"/>
            </w:rPr>
            <w:t>[Digitare il titolo del documento]</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283"/>
  <w:characterSpacingControl w:val="doNotCompress"/>
  <w:compat>
    <w:useFELayout/>
  </w:compat>
  <w:rsids>
    <w:rsidRoot w:val="001C2F25"/>
    <w:rsid w:val="000712F4"/>
    <w:rsid w:val="001C2F25"/>
    <w:rsid w:val="00315765"/>
    <w:rsid w:val="003A7A98"/>
    <w:rsid w:val="00631966"/>
    <w:rsid w:val="00652A17"/>
    <w:rsid w:val="00726C00"/>
    <w:rsid w:val="00753FA8"/>
    <w:rsid w:val="00A938B2"/>
    <w:rsid w:val="00B1616F"/>
    <w:rsid w:val="00B81C8D"/>
    <w:rsid w:val="00C85548"/>
    <w:rsid w:val="00D86A2B"/>
    <w:rsid w:val="00DD6751"/>
    <w:rsid w:val="00FD4C5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712F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A232C01D8956433C8AD8C8A35E876CC1">
    <w:name w:val="A232C01D8956433C8AD8C8A35E876CC1"/>
    <w:rsid w:val="001C2F25"/>
  </w:style>
  <w:style w:type="paragraph" w:customStyle="1" w:styleId="9433B0A776014ED1B55645E48159AA2F">
    <w:name w:val="9433B0A776014ED1B55645E48159AA2F"/>
    <w:rsid w:val="00753FA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AC2A1E-345C-4EE2-9A6E-E4C0601CF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1714</Words>
  <Characters>9773</Characters>
  <Application>Microsoft Office Word</Application>
  <DocSecurity>0</DocSecurity>
  <Lines>81</Lines>
  <Paragraphs>22</Paragraphs>
  <ScaleCrop>false</ScaleCrop>
  <HeadingPairs>
    <vt:vector size="2" baseType="variant">
      <vt:variant>
        <vt:lpstr>Titolo</vt:lpstr>
      </vt:variant>
      <vt:variant>
        <vt:i4>1</vt:i4>
      </vt:variant>
    </vt:vector>
  </HeadingPairs>
  <TitlesOfParts>
    <vt:vector size="1" baseType="lpstr">
      <vt:lpstr>Involvement of RACK1 In Embryonic Genes Expression In Hyperthrophy-Supplementary Data</vt:lpstr>
    </vt:vector>
  </TitlesOfParts>
  <Company/>
  <LinksUpToDate>false</LinksUpToDate>
  <CharactersWithSpaces>11465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Rack1 Contributes To The Upregulation Of Embryonic Genes In A Model Of Cardiac Hypertrophy -Supplementary Data</dc:title>
  <dc:creator>user</dc:creator>
  <cp:lastModifiedBy>user</cp:lastModifiedBy>
  <cp:revision>3</cp:revision>
  <cp:lastPrinted>2024-03-18T13:49:00Z</cp:lastPrinted>
  <dcterms:created xsi:type="dcterms:W3CDTF">2024-06-19T07:13:00Z</dcterms:created>
  <dcterms:modified xsi:type="dcterms:W3CDTF">2024-07-15T19:06:00Z</dcterms:modified>
</cp:coreProperties>
</file>