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285AE4" w14:textId="77777777" w:rsidR="00CF7416" w:rsidRPr="000B361E" w:rsidRDefault="00CF7416" w:rsidP="00CF7416">
      <w:pPr>
        <w:widowControl/>
        <w:spacing w:line="480" w:lineRule="auto"/>
        <w:rPr>
          <w:color w:val="000000" w:themeColor="text1"/>
          <w:sz w:val="24"/>
        </w:rPr>
      </w:pPr>
      <w:r w:rsidRPr="000B361E">
        <w:rPr>
          <w:b/>
          <w:color w:val="000000" w:themeColor="text1"/>
          <w:sz w:val="24"/>
        </w:rPr>
        <w:t>Supplementa</w:t>
      </w:r>
      <w:r>
        <w:rPr>
          <w:b/>
          <w:color w:val="000000" w:themeColor="text1"/>
          <w:sz w:val="24"/>
        </w:rPr>
        <w:t>ry</w:t>
      </w:r>
      <w:r w:rsidRPr="000B361E">
        <w:rPr>
          <w:b/>
          <w:color w:val="000000" w:themeColor="text1"/>
          <w:sz w:val="24"/>
        </w:rPr>
        <w:t xml:space="preserve"> Material</w:t>
      </w:r>
    </w:p>
    <w:p w14:paraId="0033A716" w14:textId="77777777" w:rsidR="00CF7416" w:rsidRPr="000B361E" w:rsidRDefault="00CF7416" w:rsidP="00CF7416">
      <w:pPr>
        <w:widowControl/>
        <w:spacing w:line="480" w:lineRule="auto"/>
        <w:rPr>
          <w:color w:val="000000" w:themeColor="text1"/>
          <w:sz w:val="24"/>
        </w:rPr>
      </w:pPr>
      <w:r w:rsidRPr="000B361E">
        <w:rPr>
          <w:color w:val="000000" w:themeColor="text1"/>
          <w:sz w:val="24"/>
        </w:rPr>
        <w:t xml:space="preserve">Supplementary Table 1. Metadata of 580 </w:t>
      </w:r>
      <w:r w:rsidRPr="000B361E">
        <w:rPr>
          <w:i/>
          <w:color w:val="000000" w:themeColor="text1"/>
          <w:sz w:val="24"/>
        </w:rPr>
        <w:t>S. aureus</w:t>
      </w:r>
      <w:r w:rsidRPr="000B361E">
        <w:rPr>
          <w:color w:val="000000" w:themeColor="text1"/>
          <w:sz w:val="24"/>
        </w:rPr>
        <w:t xml:space="preserve"> isolates in JARBS-SA (2019</w:t>
      </w:r>
      <w:r w:rsidRPr="000B361E">
        <w:rPr>
          <w:b/>
          <w:color w:val="000000" w:themeColor="text1"/>
          <w:sz w:val="24"/>
        </w:rPr>
        <w:t>–</w:t>
      </w:r>
      <w:r w:rsidRPr="000B361E">
        <w:rPr>
          <w:color w:val="000000" w:themeColor="text1"/>
          <w:sz w:val="24"/>
        </w:rPr>
        <w:t>2020).</w:t>
      </w:r>
    </w:p>
    <w:p w14:paraId="589DAAB1" w14:textId="77777777" w:rsidR="00CF7416" w:rsidRPr="000B361E" w:rsidRDefault="00CF7416" w:rsidP="00CF7416">
      <w:pPr>
        <w:widowControl/>
        <w:spacing w:line="480" w:lineRule="auto"/>
        <w:rPr>
          <w:color w:val="000000" w:themeColor="text1"/>
          <w:sz w:val="24"/>
        </w:rPr>
      </w:pPr>
    </w:p>
    <w:p w14:paraId="33AA2EE1" w14:textId="77777777" w:rsidR="00CF7416" w:rsidRPr="000B361E" w:rsidRDefault="00CF7416" w:rsidP="00CF7416">
      <w:pPr>
        <w:widowControl/>
        <w:spacing w:line="480" w:lineRule="auto"/>
        <w:rPr>
          <w:color w:val="000000" w:themeColor="text1"/>
          <w:sz w:val="24"/>
        </w:rPr>
      </w:pPr>
      <w:r w:rsidRPr="000B361E">
        <w:rPr>
          <w:color w:val="000000" w:themeColor="text1"/>
          <w:sz w:val="24"/>
        </w:rPr>
        <w:t xml:space="preserve">Supplementary Table 2. Metadata of 183 </w:t>
      </w:r>
      <w:r w:rsidRPr="000B361E">
        <w:rPr>
          <w:i/>
          <w:color w:val="000000" w:themeColor="text1"/>
          <w:sz w:val="24"/>
        </w:rPr>
        <w:t>S. aureus</w:t>
      </w:r>
      <w:r w:rsidRPr="000B361E">
        <w:rPr>
          <w:color w:val="000000" w:themeColor="text1"/>
          <w:sz w:val="24"/>
        </w:rPr>
        <w:t xml:space="preserve"> isolates in YK-collection (1994</w:t>
      </w:r>
      <w:r w:rsidRPr="000B361E">
        <w:rPr>
          <w:b/>
          <w:color w:val="000000" w:themeColor="text1"/>
          <w:sz w:val="24"/>
        </w:rPr>
        <w:t>–</w:t>
      </w:r>
      <w:r w:rsidRPr="000B361E">
        <w:rPr>
          <w:color w:val="000000" w:themeColor="text1"/>
          <w:sz w:val="24"/>
        </w:rPr>
        <w:t>2000).</w:t>
      </w:r>
    </w:p>
    <w:p w14:paraId="22D54927" w14:textId="77777777" w:rsidR="00CF7416" w:rsidRDefault="00CF7416" w:rsidP="00CF7416">
      <w:pPr>
        <w:widowControl/>
        <w:spacing w:line="480" w:lineRule="auto"/>
        <w:rPr>
          <w:color w:val="000000" w:themeColor="text1"/>
          <w:sz w:val="24"/>
        </w:rPr>
      </w:pPr>
    </w:p>
    <w:p w14:paraId="6B6427B8" w14:textId="77777777" w:rsidR="00CF7416" w:rsidRPr="000B361E" w:rsidRDefault="00CF7416" w:rsidP="00CF7416">
      <w:pPr>
        <w:widowControl/>
        <w:spacing w:line="480" w:lineRule="auto"/>
        <w:rPr>
          <w:color w:val="000000" w:themeColor="text1"/>
          <w:sz w:val="24"/>
        </w:rPr>
      </w:pPr>
      <w:r w:rsidRPr="000B361E">
        <w:rPr>
          <w:color w:val="000000" w:themeColor="text1"/>
          <w:sz w:val="24"/>
        </w:rPr>
        <w:t xml:space="preserve">Supplementary Table </w:t>
      </w:r>
      <w:r>
        <w:rPr>
          <w:color w:val="000000" w:themeColor="text1"/>
          <w:sz w:val="24"/>
        </w:rPr>
        <w:t>3</w:t>
      </w:r>
      <w:r w:rsidRPr="000B361E">
        <w:rPr>
          <w:color w:val="000000" w:themeColor="text1"/>
          <w:sz w:val="24"/>
        </w:rPr>
        <w:t xml:space="preserve">. Comparison of quinolone resistance QRDR mutations in </w:t>
      </w:r>
      <w:r w:rsidRPr="000B361E">
        <w:rPr>
          <w:i/>
          <w:color w:val="000000" w:themeColor="text1"/>
          <w:sz w:val="24"/>
        </w:rPr>
        <w:t>S. aureus</w:t>
      </w:r>
      <w:r w:rsidRPr="000B361E">
        <w:rPr>
          <w:color w:val="000000" w:themeColor="text1"/>
          <w:sz w:val="24"/>
        </w:rPr>
        <w:t xml:space="preserve"> isolates during the two periods.</w:t>
      </w:r>
    </w:p>
    <w:p w14:paraId="7C54B3C7" w14:textId="77777777" w:rsidR="00CF7416" w:rsidRDefault="00CF7416" w:rsidP="00CF7416">
      <w:pPr>
        <w:spacing w:line="480" w:lineRule="auto"/>
        <w:rPr>
          <w:color w:val="000000" w:themeColor="text1"/>
          <w:sz w:val="24"/>
        </w:rPr>
      </w:pPr>
    </w:p>
    <w:p w14:paraId="5881D5E6" w14:textId="77777777" w:rsidR="00CF7416" w:rsidRPr="000B361E" w:rsidRDefault="00CF7416" w:rsidP="00CF7416">
      <w:pPr>
        <w:widowControl/>
        <w:spacing w:line="480" w:lineRule="auto"/>
        <w:rPr>
          <w:color w:val="000000" w:themeColor="text1"/>
          <w:sz w:val="24"/>
        </w:rPr>
      </w:pPr>
      <w:r w:rsidRPr="000B361E">
        <w:rPr>
          <w:color w:val="000000" w:themeColor="text1"/>
          <w:sz w:val="24"/>
        </w:rPr>
        <w:t xml:space="preserve">Supplementary Table </w:t>
      </w:r>
      <w:r>
        <w:rPr>
          <w:color w:val="000000" w:themeColor="text1"/>
          <w:sz w:val="24"/>
        </w:rPr>
        <w:t>4</w:t>
      </w:r>
      <w:r w:rsidRPr="000B361E">
        <w:rPr>
          <w:color w:val="000000" w:themeColor="text1"/>
          <w:sz w:val="24"/>
        </w:rPr>
        <w:t xml:space="preserve">. Metadata of NCBI public dataset of </w:t>
      </w:r>
      <w:r w:rsidRPr="000B361E">
        <w:rPr>
          <w:i/>
          <w:color w:val="000000" w:themeColor="text1"/>
          <w:sz w:val="24"/>
        </w:rPr>
        <w:t>S. aureus</w:t>
      </w:r>
      <w:r w:rsidRPr="000B361E">
        <w:rPr>
          <w:color w:val="000000" w:themeColor="text1"/>
          <w:sz w:val="24"/>
        </w:rPr>
        <w:t xml:space="preserve"> used for comparative analysis.</w:t>
      </w:r>
    </w:p>
    <w:p w14:paraId="07F7B518" w14:textId="77777777" w:rsidR="00CF7416" w:rsidRPr="000B361E" w:rsidRDefault="00CF7416" w:rsidP="00CF7416">
      <w:pPr>
        <w:spacing w:line="480" w:lineRule="auto"/>
        <w:rPr>
          <w:color w:val="000000" w:themeColor="text1"/>
          <w:sz w:val="24"/>
        </w:rPr>
      </w:pPr>
    </w:p>
    <w:p w14:paraId="44EB19B5" w14:textId="77777777" w:rsidR="00CF7416" w:rsidRPr="000B361E" w:rsidRDefault="00CF7416" w:rsidP="00CF7416">
      <w:pPr>
        <w:widowControl/>
        <w:spacing w:line="480" w:lineRule="auto"/>
        <w:rPr>
          <w:color w:val="000000" w:themeColor="text1"/>
          <w:sz w:val="24"/>
        </w:rPr>
      </w:pPr>
      <w:r w:rsidRPr="000B361E">
        <w:rPr>
          <w:color w:val="000000" w:themeColor="text1"/>
          <w:sz w:val="24"/>
        </w:rPr>
        <w:t xml:space="preserve">Supplementary Table </w:t>
      </w:r>
      <w:r>
        <w:rPr>
          <w:color w:val="000000" w:themeColor="text1"/>
          <w:sz w:val="24"/>
        </w:rPr>
        <w:t>5</w:t>
      </w:r>
      <w:r w:rsidRPr="000B361E">
        <w:rPr>
          <w:color w:val="000000" w:themeColor="text1"/>
          <w:sz w:val="24"/>
        </w:rPr>
        <w:t xml:space="preserve">. Comparison of the number and proportion of </w:t>
      </w:r>
      <w:r w:rsidRPr="000B361E">
        <w:rPr>
          <w:i/>
          <w:color w:val="000000" w:themeColor="text1"/>
          <w:sz w:val="24"/>
        </w:rPr>
        <w:t xml:space="preserve">S. aureus </w:t>
      </w:r>
      <w:r w:rsidRPr="000B361E">
        <w:rPr>
          <w:color w:val="000000" w:themeColor="text1"/>
          <w:sz w:val="24"/>
        </w:rPr>
        <w:t>isolates resistant to six (OXA, GEN, ERY, CLI, MNO, and LVX) and three drugs (OXA, ERY, and LVX) between 1994</w:t>
      </w:r>
      <w:r w:rsidRPr="000B361E">
        <w:rPr>
          <w:b/>
          <w:color w:val="000000" w:themeColor="text1"/>
          <w:sz w:val="24"/>
        </w:rPr>
        <w:t>–</w:t>
      </w:r>
      <w:r w:rsidRPr="000B361E">
        <w:rPr>
          <w:color w:val="000000" w:themeColor="text1"/>
          <w:sz w:val="24"/>
        </w:rPr>
        <w:t>2000 and 2019</w:t>
      </w:r>
      <w:r w:rsidRPr="000B361E">
        <w:rPr>
          <w:b/>
          <w:color w:val="000000" w:themeColor="text1"/>
          <w:sz w:val="24"/>
        </w:rPr>
        <w:t>–</w:t>
      </w:r>
      <w:r w:rsidRPr="000B361E">
        <w:rPr>
          <w:color w:val="000000" w:themeColor="text1"/>
          <w:sz w:val="24"/>
        </w:rPr>
        <w:t>2020.</w:t>
      </w:r>
    </w:p>
    <w:p w14:paraId="0A46133E" w14:textId="77777777" w:rsidR="00CF7416" w:rsidRPr="000B361E" w:rsidRDefault="00CF7416" w:rsidP="00CF7416">
      <w:pPr>
        <w:widowControl/>
        <w:spacing w:line="480" w:lineRule="auto"/>
        <w:rPr>
          <w:color w:val="000000" w:themeColor="text1"/>
          <w:sz w:val="24"/>
        </w:rPr>
      </w:pPr>
    </w:p>
    <w:p w14:paraId="3D5CE6DF" w14:textId="77777777" w:rsidR="00CF7416" w:rsidRDefault="00CF7416" w:rsidP="00CF7416">
      <w:pPr>
        <w:widowControl/>
        <w:spacing w:line="480" w:lineRule="auto"/>
        <w:rPr>
          <w:color w:val="000000" w:themeColor="text1"/>
          <w:sz w:val="24"/>
        </w:rPr>
      </w:pPr>
      <w:r w:rsidRPr="000B361E">
        <w:rPr>
          <w:color w:val="000000" w:themeColor="text1"/>
          <w:sz w:val="24"/>
        </w:rPr>
        <w:t>Supplementary Table 6. Synteny analysis of 147 complete ST5 genomes in the NCBI public database.</w:t>
      </w:r>
    </w:p>
    <w:p w14:paraId="3011DF71" w14:textId="77777777" w:rsidR="00CF7416" w:rsidRPr="000B361E" w:rsidRDefault="00CF7416" w:rsidP="00CF7416">
      <w:pPr>
        <w:widowControl/>
        <w:spacing w:line="480" w:lineRule="auto"/>
        <w:rPr>
          <w:color w:val="000000" w:themeColor="text1"/>
          <w:sz w:val="24"/>
        </w:rPr>
      </w:pPr>
    </w:p>
    <w:p w14:paraId="38B5B124" w14:textId="77777777" w:rsidR="00CF7416" w:rsidRPr="000B361E" w:rsidRDefault="00CF7416" w:rsidP="00CF7416">
      <w:pPr>
        <w:widowControl/>
        <w:spacing w:line="480" w:lineRule="auto"/>
        <w:rPr>
          <w:color w:val="000000" w:themeColor="text1"/>
          <w:sz w:val="24"/>
        </w:rPr>
      </w:pPr>
      <w:r w:rsidRPr="000B361E">
        <w:rPr>
          <w:color w:val="000000" w:themeColor="text1"/>
          <w:sz w:val="24"/>
        </w:rPr>
        <w:t xml:space="preserve">Supplementary Fig. 1 | Comparison of geographic proportions of STs </w:t>
      </w:r>
      <w:r>
        <w:rPr>
          <w:color w:val="000000" w:themeColor="text1"/>
          <w:sz w:val="24"/>
        </w:rPr>
        <w:t>between</w:t>
      </w:r>
      <w:r w:rsidRPr="000B361E">
        <w:rPr>
          <w:color w:val="000000" w:themeColor="text1"/>
          <w:sz w:val="24"/>
        </w:rPr>
        <w:t xml:space="preserve"> MRSA (n=269) </w:t>
      </w:r>
      <w:r>
        <w:rPr>
          <w:color w:val="000000" w:themeColor="text1"/>
          <w:sz w:val="24"/>
        </w:rPr>
        <w:t>and</w:t>
      </w:r>
      <w:r w:rsidRPr="000B361E">
        <w:rPr>
          <w:color w:val="000000" w:themeColor="text1"/>
          <w:sz w:val="24"/>
        </w:rPr>
        <w:t xml:space="preserve"> MSSA (n=311). ST with less than 3 isolates are included in “other.” The color tone shown is the same pattern used in Fig. 1.</w:t>
      </w:r>
    </w:p>
    <w:p w14:paraId="2D5989AC" w14:textId="77777777" w:rsidR="00CF7416" w:rsidRPr="000B361E" w:rsidRDefault="00CF7416" w:rsidP="00CF7416">
      <w:pPr>
        <w:widowControl/>
        <w:spacing w:line="480" w:lineRule="auto"/>
        <w:rPr>
          <w:color w:val="000000" w:themeColor="text1"/>
          <w:sz w:val="24"/>
        </w:rPr>
      </w:pPr>
    </w:p>
    <w:p w14:paraId="5F034BEC" w14:textId="77777777" w:rsidR="00CF7416" w:rsidRPr="000B361E" w:rsidRDefault="00CF7416" w:rsidP="00CF7416">
      <w:pPr>
        <w:widowControl/>
        <w:spacing w:line="480" w:lineRule="auto"/>
        <w:rPr>
          <w:color w:val="000000" w:themeColor="text1"/>
          <w:sz w:val="24"/>
        </w:rPr>
      </w:pPr>
      <w:r w:rsidRPr="000B361E">
        <w:rPr>
          <w:color w:val="000000" w:themeColor="text1"/>
          <w:sz w:val="24"/>
        </w:rPr>
        <w:t xml:space="preserve">Supplementary Fig. 2 | Population structure of BSI-derived </w:t>
      </w:r>
      <w:r w:rsidRPr="000B361E">
        <w:rPr>
          <w:i/>
          <w:color w:val="000000" w:themeColor="text1"/>
          <w:sz w:val="24"/>
        </w:rPr>
        <w:t>S. aureus</w:t>
      </w:r>
      <w:r w:rsidRPr="000B361E">
        <w:rPr>
          <w:color w:val="000000" w:themeColor="text1"/>
          <w:sz w:val="24"/>
        </w:rPr>
        <w:t xml:space="preserve"> in 1994</w:t>
      </w:r>
      <w:r w:rsidRPr="000B361E">
        <w:rPr>
          <w:b/>
          <w:color w:val="000000" w:themeColor="text1"/>
          <w:sz w:val="24"/>
        </w:rPr>
        <w:t>–</w:t>
      </w:r>
      <w:r w:rsidRPr="000B361E">
        <w:rPr>
          <w:color w:val="000000" w:themeColor="text1"/>
          <w:sz w:val="24"/>
        </w:rPr>
        <w:t>2000.</w:t>
      </w:r>
      <w:r w:rsidRPr="000B361E">
        <w:rPr>
          <w:b/>
          <w:color w:val="000000" w:themeColor="text1"/>
          <w:sz w:val="24"/>
        </w:rPr>
        <w:t xml:space="preserve"> </w:t>
      </w:r>
      <w:r w:rsidRPr="000B361E">
        <w:rPr>
          <w:color w:val="000000" w:themeColor="text1"/>
          <w:sz w:val="24"/>
        </w:rPr>
        <w:t xml:space="preserve">Midpoint-rooted ML tree showing the phylogenetic structure of 183 </w:t>
      </w:r>
      <w:r w:rsidRPr="000B361E">
        <w:rPr>
          <w:i/>
          <w:color w:val="000000" w:themeColor="text1"/>
          <w:sz w:val="24"/>
        </w:rPr>
        <w:t>S. aureus</w:t>
      </w:r>
      <w:r w:rsidRPr="000B361E">
        <w:rPr>
          <w:color w:val="000000" w:themeColor="text1"/>
          <w:sz w:val="24"/>
        </w:rPr>
        <w:t xml:space="preserve"> isolates in 1994</w:t>
      </w:r>
      <w:r w:rsidRPr="000B361E">
        <w:rPr>
          <w:b/>
          <w:color w:val="000000" w:themeColor="text1"/>
          <w:sz w:val="24"/>
        </w:rPr>
        <w:t>–</w:t>
      </w:r>
      <w:r w:rsidRPr="000B361E">
        <w:rPr>
          <w:color w:val="000000" w:themeColor="text1"/>
          <w:sz w:val="24"/>
        </w:rPr>
        <w:t>2000. Scale bar represents the number of nucleotide substitutions per site. Matrix of metadata 1, 2, and 4 show</w:t>
      </w:r>
      <w:r>
        <w:rPr>
          <w:color w:val="000000" w:themeColor="text1"/>
          <w:sz w:val="24"/>
        </w:rPr>
        <w:t>s</w:t>
      </w:r>
      <w:r w:rsidRPr="000B361E">
        <w:rPr>
          <w:color w:val="000000" w:themeColor="text1"/>
          <w:sz w:val="24"/>
        </w:rPr>
        <w:t xml:space="preserve"> the same as those </w:t>
      </w:r>
      <w:r>
        <w:rPr>
          <w:color w:val="000000" w:themeColor="text1"/>
          <w:sz w:val="24"/>
        </w:rPr>
        <w:t>in</w:t>
      </w:r>
      <w:r w:rsidRPr="000B361E">
        <w:rPr>
          <w:color w:val="000000" w:themeColor="text1"/>
          <w:sz w:val="24"/>
        </w:rPr>
        <w:t xml:space="preserve"> Fig. 1. Metadata 3 indicates </w:t>
      </w:r>
      <w:r w:rsidRPr="000B361E">
        <w:rPr>
          <w:i/>
          <w:color w:val="000000" w:themeColor="text1"/>
          <w:sz w:val="24"/>
        </w:rPr>
        <w:t>S. aureus</w:t>
      </w:r>
      <w:r w:rsidRPr="000B361E">
        <w:rPr>
          <w:color w:val="000000" w:themeColor="text1"/>
          <w:sz w:val="24"/>
        </w:rPr>
        <w:t xml:space="preserve"> isolation year. The color tone is shown in the same pattern as </w:t>
      </w:r>
      <w:r>
        <w:rPr>
          <w:color w:val="000000" w:themeColor="text1"/>
          <w:sz w:val="24"/>
        </w:rPr>
        <w:t xml:space="preserve">in </w:t>
      </w:r>
      <w:r w:rsidRPr="000B361E">
        <w:rPr>
          <w:color w:val="000000" w:themeColor="text1"/>
          <w:sz w:val="24"/>
        </w:rPr>
        <w:t xml:space="preserve">Fig. 1. Metadata information of 183 </w:t>
      </w:r>
      <w:r w:rsidRPr="000B361E">
        <w:rPr>
          <w:i/>
          <w:color w:val="000000" w:themeColor="text1"/>
          <w:sz w:val="24"/>
        </w:rPr>
        <w:t>S. aureus</w:t>
      </w:r>
      <w:r w:rsidRPr="000B361E">
        <w:rPr>
          <w:color w:val="000000" w:themeColor="text1"/>
          <w:sz w:val="24"/>
        </w:rPr>
        <w:t xml:space="preserve"> isolates in 1994</w:t>
      </w:r>
      <w:r w:rsidRPr="000B361E">
        <w:rPr>
          <w:b/>
          <w:color w:val="000000" w:themeColor="text1"/>
          <w:sz w:val="24"/>
        </w:rPr>
        <w:t>–</w:t>
      </w:r>
      <w:r w:rsidRPr="000B361E">
        <w:rPr>
          <w:color w:val="000000" w:themeColor="text1"/>
          <w:sz w:val="24"/>
        </w:rPr>
        <w:t>2000 is summarized in Supplementary Table 2.</w:t>
      </w:r>
    </w:p>
    <w:p w14:paraId="1C847EAB" w14:textId="77777777" w:rsidR="00CF7416" w:rsidRPr="000B361E" w:rsidRDefault="00CF7416" w:rsidP="00CF7416">
      <w:pPr>
        <w:widowControl/>
        <w:spacing w:line="480" w:lineRule="auto"/>
        <w:rPr>
          <w:color w:val="000000" w:themeColor="text1"/>
          <w:sz w:val="24"/>
        </w:rPr>
      </w:pPr>
    </w:p>
    <w:p w14:paraId="21FC291C" w14:textId="77777777" w:rsidR="00CF7416" w:rsidRPr="000B361E" w:rsidRDefault="00CF7416" w:rsidP="00CF7416">
      <w:pPr>
        <w:widowControl/>
        <w:spacing w:line="480" w:lineRule="auto"/>
        <w:rPr>
          <w:color w:val="000000" w:themeColor="text1"/>
          <w:sz w:val="24"/>
        </w:rPr>
      </w:pPr>
      <w:r w:rsidRPr="000B361E">
        <w:rPr>
          <w:color w:val="000000" w:themeColor="text1"/>
          <w:sz w:val="24"/>
        </w:rPr>
        <w:t>Supplementary Fig. 3 | Shift of ST proportion in 1994</w:t>
      </w:r>
      <w:r w:rsidRPr="000B361E">
        <w:rPr>
          <w:b/>
          <w:color w:val="000000" w:themeColor="text1"/>
          <w:sz w:val="24"/>
        </w:rPr>
        <w:t>–</w:t>
      </w:r>
      <w:r w:rsidRPr="000B361E">
        <w:rPr>
          <w:color w:val="000000" w:themeColor="text1"/>
          <w:sz w:val="24"/>
        </w:rPr>
        <w:t>2000 and 2019</w:t>
      </w:r>
      <w:r w:rsidRPr="000B361E">
        <w:rPr>
          <w:b/>
          <w:color w:val="000000" w:themeColor="text1"/>
          <w:sz w:val="24"/>
        </w:rPr>
        <w:t>–</w:t>
      </w:r>
      <w:r w:rsidRPr="000B361E">
        <w:rPr>
          <w:color w:val="000000" w:themeColor="text1"/>
          <w:sz w:val="24"/>
        </w:rPr>
        <w:t xml:space="preserve">2020. STs with less than 3 isolates are included in “other.” The color tone is shown in the same pattern as </w:t>
      </w:r>
      <w:r>
        <w:rPr>
          <w:color w:val="000000" w:themeColor="text1"/>
          <w:sz w:val="24"/>
        </w:rPr>
        <w:t xml:space="preserve">in </w:t>
      </w:r>
      <w:r w:rsidRPr="000B361E">
        <w:rPr>
          <w:color w:val="000000" w:themeColor="text1"/>
          <w:sz w:val="24"/>
        </w:rPr>
        <w:t>Fig 1.</w:t>
      </w:r>
    </w:p>
    <w:p w14:paraId="61C1D97B" w14:textId="77777777" w:rsidR="00CF7416" w:rsidRPr="000B361E" w:rsidRDefault="00CF7416" w:rsidP="00CF7416">
      <w:pPr>
        <w:widowControl/>
        <w:spacing w:line="480" w:lineRule="auto"/>
        <w:rPr>
          <w:color w:val="000000" w:themeColor="text1"/>
          <w:sz w:val="24"/>
        </w:rPr>
      </w:pPr>
    </w:p>
    <w:p w14:paraId="64C13A5E" w14:textId="77777777" w:rsidR="00CF7416" w:rsidRPr="000B361E" w:rsidRDefault="00CF7416" w:rsidP="00CF7416">
      <w:pPr>
        <w:spacing w:line="480" w:lineRule="auto"/>
        <w:rPr>
          <w:color w:val="000000" w:themeColor="text1"/>
          <w:sz w:val="24"/>
        </w:rPr>
      </w:pPr>
      <w:r w:rsidRPr="000B361E">
        <w:rPr>
          <w:color w:val="000000" w:themeColor="text1"/>
          <w:sz w:val="24"/>
        </w:rPr>
        <w:t xml:space="preserve">Supplementary Fig. 4 | Comparison of ARG distribution and antimicrobial resistance </w:t>
      </w:r>
      <w:r w:rsidRPr="000B361E">
        <w:rPr>
          <w:color w:val="000000" w:themeColor="text1"/>
          <w:sz w:val="24"/>
        </w:rPr>
        <w:lastRenderedPageBreak/>
        <w:t>levels in 1994</w:t>
      </w:r>
      <w:r w:rsidRPr="000B361E">
        <w:rPr>
          <w:b/>
          <w:color w:val="000000" w:themeColor="text1"/>
          <w:sz w:val="24"/>
        </w:rPr>
        <w:t>–</w:t>
      </w:r>
      <w:r w:rsidRPr="000B361E">
        <w:rPr>
          <w:color w:val="000000" w:themeColor="text1"/>
          <w:sz w:val="24"/>
        </w:rPr>
        <w:t>2000 and 2019</w:t>
      </w:r>
      <w:r w:rsidRPr="000B361E">
        <w:rPr>
          <w:b/>
          <w:color w:val="000000" w:themeColor="text1"/>
          <w:sz w:val="24"/>
        </w:rPr>
        <w:t>–</w:t>
      </w:r>
      <w:r w:rsidRPr="000B361E">
        <w:rPr>
          <w:color w:val="000000" w:themeColor="text1"/>
          <w:sz w:val="24"/>
        </w:rPr>
        <w:t>2020. In 1994</w:t>
      </w:r>
      <w:r w:rsidRPr="000B361E">
        <w:rPr>
          <w:b/>
          <w:color w:val="000000" w:themeColor="text1"/>
          <w:sz w:val="24"/>
        </w:rPr>
        <w:t>–</w:t>
      </w:r>
      <w:r w:rsidRPr="000B361E">
        <w:rPr>
          <w:color w:val="000000" w:themeColor="text1"/>
          <w:sz w:val="24"/>
        </w:rPr>
        <w:t>2000: total (n=183), MRSA (n=104), and MSSA (n=79). In 2019</w:t>
      </w:r>
      <w:r w:rsidRPr="000B361E">
        <w:rPr>
          <w:b/>
          <w:color w:val="000000" w:themeColor="text1"/>
          <w:sz w:val="24"/>
        </w:rPr>
        <w:t>–</w:t>
      </w:r>
      <w:r w:rsidRPr="000B361E">
        <w:rPr>
          <w:color w:val="000000" w:themeColor="text1"/>
          <w:sz w:val="24"/>
        </w:rPr>
        <w:t xml:space="preserve">2020: total (n=580), MRSA (n=269), MSSA (n=311). </w:t>
      </w:r>
      <w:r w:rsidRPr="000B361E">
        <w:rPr>
          <w:b/>
          <w:color w:val="000000" w:themeColor="text1"/>
          <w:sz w:val="24"/>
        </w:rPr>
        <w:t>a.</w:t>
      </w:r>
      <w:r w:rsidRPr="000B361E">
        <w:rPr>
          <w:color w:val="000000" w:themeColor="text1"/>
          <w:sz w:val="24"/>
        </w:rPr>
        <w:t xml:space="preserve"> Number of ARGs per strain. Black dots indicate isolates in 1994</w:t>
      </w:r>
      <w:r w:rsidRPr="000B361E">
        <w:rPr>
          <w:b/>
          <w:color w:val="000000" w:themeColor="text1"/>
          <w:sz w:val="24"/>
        </w:rPr>
        <w:t>–</w:t>
      </w:r>
      <w:r w:rsidRPr="000B361E">
        <w:rPr>
          <w:color w:val="000000" w:themeColor="text1"/>
          <w:sz w:val="24"/>
        </w:rPr>
        <w:t>2000 or 2019</w:t>
      </w:r>
      <w:r w:rsidRPr="000B361E">
        <w:rPr>
          <w:b/>
          <w:color w:val="000000" w:themeColor="text1"/>
          <w:sz w:val="24"/>
        </w:rPr>
        <w:t>–</w:t>
      </w:r>
      <w:r w:rsidRPr="000B361E">
        <w:rPr>
          <w:color w:val="000000" w:themeColor="text1"/>
          <w:sz w:val="24"/>
        </w:rPr>
        <w:t xml:space="preserve">2020. * </w:t>
      </w:r>
      <w:r w:rsidRPr="000B361E">
        <w:rPr>
          <w:i/>
          <w:color w:val="000000" w:themeColor="text1"/>
          <w:sz w:val="24"/>
        </w:rPr>
        <w:t>p</w:t>
      </w:r>
      <w:r w:rsidRPr="000B361E">
        <w:rPr>
          <w:color w:val="000000" w:themeColor="text1"/>
          <w:sz w:val="24"/>
        </w:rPr>
        <w:t xml:space="preserve"> &lt; 0.01. </w:t>
      </w:r>
      <w:r w:rsidRPr="000B361E">
        <w:rPr>
          <w:b/>
          <w:color w:val="000000" w:themeColor="text1"/>
          <w:sz w:val="24"/>
        </w:rPr>
        <w:t>b.</w:t>
      </w:r>
      <w:r w:rsidRPr="000B361E">
        <w:rPr>
          <w:color w:val="000000" w:themeColor="text1"/>
          <w:sz w:val="24"/>
        </w:rPr>
        <w:t xml:space="preserve"> Prevalence heatmap of major ARGs and QRDR mutations identified. </w:t>
      </w:r>
      <w:r w:rsidRPr="000B361E">
        <w:rPr>
          <w:b/>
          <w:color w:val="000000" w:themeColor="text1"/>
          <w:sz w:val="24"/>
        </w:rPr>
        <w:t xml:space="preserve">c. </w:t>
      </w:r>
      <w:r w:rsidRPr="000B361E">
        <w:rPr>
          <w:color w:val="000000" w:themeColor="text1"/>
          <w:sz w:val="24"/>
        </w:rPr>
        <w:t xml:space="preserve">Antimicrobial susceptibility profile of blood-derived </w:t>
      </w:r>
      <w:r w:rsidRPr="000B361E">
        <w:rPr>
          <w:i/>
          <w:color w:val="000000" w:themeColor="text1"/>
          <w:sz w:val="24"/>
        </w:rPr>
        <w:t>S. aureus</w:t>
      </w:r>
      <w:r w:rsidRPr="000B361E">
        <w:rPr>
          <w:color w:val="000000" w:themeColor="text1"/>
          <w:sz w:val="24"/>
        </w:rPr>
        <w:t>. The radar chart shows the resistance rates of isolates in 1994</w:t>
      </w:r>
      <w:r w:rsidRPr="000B361E">
        <w:rPr>
          <w:b/>
          <w:color w:val="000000" w:themeColor="text1"/>
          <w:sz w:val="24"/>
        </w:rPr>
        <w:t>–</w:t>
      </w:r>
      <w:r w:rsidRPr="000B361E">
        <w:rPr>
          <w:color w:val="000000" w:themeColor="text1"/>
          <w:sz w:val="24"/>
        </w:rPr>
        <w:t>2000 and 2019</w:t>
      </w:r>
      <w:r w:rsidRPr="000B361E">
        <w:rPr>
          <w:b/>
          <w:color w:val="000000" w:themeColor="text1"/>
          <w:sz w:val="24"/>
        </w:rPr>
        <w:t>–</w:t>
      </w:r>
      <w:r w:rsidRPr="000B361E">
        <w:rPr>
          <w:color w:val="000000" w:themeColor="text1"/>
          <w:sz w:val="24"/>
        </w:rPr>
        <w:t>2020. Blue dotted and red lines indicate isolates of 1994</w:t>
      </w:r>
      <w:r w:rsidRPr="000B361E">
        <w:rPr>
          <w:b/>
          <w:color w:val="000000" w:themeColor="text1"/>
          <w:sz w:val="24"/>
        </w:rPr>
        <w:t>–</w:t>
      </w:r>
      <w:r w:rsidRPr="000B361E">
        <w:rPr>
          <w:color w:val="000000" w:themeColor="text1"/>
          <w:sz w:val="24"/>
        </w:rPr>
        <w:t>2000 and 2019</w:t>
      </w:r>
      <w:r w:rsidRPr="000B361E">
        <w:rPr>
          <w:b/>
          <w:color w:val="000000" w:themeColor="text1"/>
          <w:sz w:val="24"/>
        </w:rPr>
        <w:t>–</w:t>
      </w:r>
      <w:r w:rsidRPr="000B361E">
        <w:rPr>
          <w:color w:val="000000" w:themeColor="text1"/>
          <w:sz w:val="24"/>
        </w:rPr>
        <w:t xml:space="preserve">2020, respectively. </w:t>
      </w:r>
      <w:r w:rsidRPr="000B361E">
        <w:rPr>
          <w:b/>
          <w:color w:val="000000" w:themeColor="text1"/>
          <w:sz w:val="24"/>
        </w:rPr>
        <w:t>d.</w:t>
      </w:r>
      <w:r w:rsidRPr="000B361E">
        <w:rPr>
          <w:color w:val="000000" w:themeColor="text1"/>
          <w:sz w:val="24"/>
        </w:rPr>
        <w:t xml:space="preserve"> Heatmap of VFG distribution in 1994</w:t>
      </w:r>
      <w:r w:rsidRPr="000B361E">
        <w:rPr>
          <w:b/>
          <w:color w:val="000000" w:themeColor="text1"/>
          <w:sz w:val="24"/>
        </w:rPr>
        <w:t>–</w:t>
      </w:r>
      <w:r w:rsidRPr="000B361E">
        <w:rPr>
          <w:color w:val="000000" w:themeColor="text1"/>
          <w:sz w:val="24"/>
        </w:rPr>
        <w:t>2000 and 2019</w:t>
      </w:r>
      <w:r w:rsidRPr="000B361E">
        <w:rPr>
          <w:b/>
          <w:color w:val="000000" w:themeColor="text1"/>
          <w:sz w:val="24"/>
        </w:rPr>
        <w:t>–</w:t>
      </w:r>
      <w:r w:rsidRPr="000B361E">
        <w:rPr>
          <w:color w:val="000000" w:themeColor="text1"/>
          <w:sz w:val="24"/>
        </w:rPr>
        <w:t>2020.</w:t>
      </w:r>
      <w:r w:rsidRPr="000B361E">
        <w:rPr>
          <w:b/>
          <w:color w:val="000000" w:themeColor="text1"/>
          <w:sz w:val="24"/>
        </w:rPr>
        <w:t xml:space="preserve"> </w:t>
      </w:r>
      <w:r w:rsidRPr="000B361E">
        <w:rPr>
          <w:color w:val="000000" w:themeColor="text1"/>
          <w:sz w:val="24"/>
        </w:rPr>
        <w:t>In 1994</w:t>
      </w:r>
      <w:r w:rsidRPr="000B361E">
        <w:rPr>
          <w:b/>
          <w:color w:val="000000" w:themeColor="text1"/>
          <w:sz w:val="24"/>
        </w:rPr>
        <w:t>–</w:t>
      </w:r>
      <w:r w:rsidRPr="000B361E">
        <w:rPr>
          <w:color w:val="000000" w:themeColor="text1"/>
          <w:sz w:val="24"/>
        </w:rPr>
        <w:t>2000: total (n=183), MRSA (n=104), and MSSA (n=79). In 2019</w:t>
      </w:r>
      <w:r w:rsidRPr="000B361E">
        <w:rPr>
          <w:b/>
          <w:color w:val="000000" w:themeColor="text1"/>
          <w:sz w:val="24"/>
        </w:rPr>
        <w:t>–</w:t>
      </w:r>
      <w:r w:rsidRPr="000B361E">
        <w:rPr>
          <w:color w:val="000000" w:themeColor="text1"/>
          <w:sz w:val="24"/>
        </w:rPr>
        <w:t>2020: total (n=580), MRSA (n=269), and MSSA (n=311). Prevalence heatmap of major VFGs identified.</w:t>
      </w:r>
    </w:p>
    <w:p w14:paraId="63E91D8F" w14:textId="77777777" w:rsidR="00CF7416" w:rsidRPr="000B361E" w:rsidRDefault="00CF7416" w:rsidP="00CF7416">
      <w:pPr>
        <w:widowControl/>
        <w:spacing w:line="480" w:lineRule="auto"/>
        <w:rPr>
          <w:color w:val="000000" w:themeColor="text1"/>
          <w:sz w:val="24"/>
        </w:rPr>
      </w:pPr>
    </w:p>
    <w:p w14:paraId="011FE8FF" w14:textId="77777777" w:rsidR="00CF7416" w:rsidRPr="000B361E" w:rsidRDefault="00CF7416" w:rsidP="00CF7416">
      <w:pPr>
        <w:widowControl/>
        <w:spacing w:line="480" w:lineRule="auto"/>
        <w:rPr>
          <w:color w:val="000000" w:themeColor="text1"/>
          <w:sz w:val="24"/>
        </w:rPr>
      </w:pPr>
      <w:r w:rsidRPr="000B361E">
        <w:rPr>
          <w:color w:val="000000" w:themeColor="text1"/>
          <w:sz w:val="24"/>
        </w:rPr>
        <w:t>Supplementary Fig. 5 | ML tree of SC1, SC3, and SC8 groups. Datasets of CC1 (n=390), CC8 (n=283), and CC5 (n=338), including isolates from this study and public databases with isolate date records. Supplementary Table 5 shows the list of those NCBI public database isolates.</w:t>
      </w:r>
    </w:p>
    <w:p w14:paraId="403A1D48" w14:textId="77777777" w:rsidR="00CF7416" w:rsidRPr="000B361E" w:rsidRDefault="00CF7416" w:rsidP="00CF7416">
      <w:pPr>
        <w:spacing w:line="480" w:lineRule="auto"/>
        <w:rPr>
          <w:color w:val="000000" w:themeColor="text1"/>
          <w:sz w:val="24"/>
        </w:rPr>
      </w:pPr>
    </w:p>
    <w:p w14:paraId="1082382A" w14:textId="77777777" w:rsidR="00CF7416" w:rsidRPr="000B361E" w:rsidRDefault="00CF7416" w:rsidP="00CF7416">
      <w:pPr>
        <w:spacing w:line="480" w:lineRule="auto"/>
        <w:rPr>
          <w:color w:val="000000" w:themeColor="text1"/>
          <w:sz w:val="24"/>
        </w:rPr>
      </w:pPr>
      <w:r w:rsidRPr="000B361E">
        <w:rPr>
          <w:color w:val="000000" w:themeColor="text1"/>
          <w:sz w:val="24"/>
        </w:rPr>
        <w:t>Supplementary Fig. 6 | Regressions of sampling time vs. root-to-tip genetic distance in a. CC1, b. CC8, and c. CC5 lineages.</w:t>
      </w:r>
    </w:p>
    <w:p w14:paraId="6EB15C80" w14:textId="77777777" w:rsidR="00CF7416" w:rsidRPr="000B361E" w:rsidRDefault="00CF7416" w:rsidP="00CF7416">
      <w:pPr>
        <w:spacing w:line="480" w:lineRule="auto"/>
        <w:rPr>
          <w:color w:val="000000" w:themeColor="text1"/>
          <w:sz w:val="24"/>
        </w:rPr>
      </w:pPr>
    </w:p>
    <w:p w14:paraId="25369203" w14:textId="77777777" w:rsidR="00CF7416" w:rsidRPr="000B361E" w:rsidRDefault="00CF7416" w:rsidP="00CF7416">
      <w:pPr>
        <w:spacing w:line="480" w:lineRule="auto"/>
        <w:rPr>
          <w:color w:val="000000" w:themeColor="text1"/>
          <w:sz w:val="24"/>
        </w:rPr>
      </w:pPr>
      <w:r w:rsidRPr="000B361E">
        <w:rPr>
          <w:color w:val="000000" w:themeColor="text1"/>
          <w:sz w:val="24"/>
        </w:rPr>
        <w:t xml:space="preserve">Supplementary Fig. 7 | Acquisition of genomic islands or </w:t>
      </w:r>
      <w:r w:rsidRPr="000B361E">
        <w:rPr>
          <w:i/>
          <w:color w:val="000000" w:themeColor="text1"/>
          <w:sz w:val="24"/>
        </w:rPr>
        <w:t>se1</w:t>
      </w:r>
      <w:r w:rsidRPr="000B361E">
        <w:rPr>
          <w:color w:val="000000" w:themeColor="text1"/>
          <w:sz w:val="24"/>
        </w:rPr>
        <w:t>-carrying plasmid during the replacement of ST8 ancestor by ST8-SCC</w:t>
      </w:r>
      <w:r w:rsidRPr="000B361E">
        <w:rPr>
          <w:i/>
          <w:color w:val="000000" w:themeColor="text1"/>
          <w:sz w:val="24"/>
        </w:rPr>
        <w:t>mec</w:t>
      </w:r>
      <w:r w:rsidRPr="000B361E">
        <w:rPr>
          <w:color w:val="000000" w:themeColor="text1"/>
          <w:sz w:val="24"/>
        </w:rPr>
        <w:t xml:space="preserve">IVl (MRSA/J). </w:t>
      </w:r>
      <w:r w:rsidRPr="000B361E">
        <w:rPr>
          <w:b/>
          <w:color w:val="000000" w:themeColor="text1"/>
          <w:sz w:val="24"/>
        </w:rPr>
        <w:t>a.</w:t>
      </w:r>
      <w:r w:rsidRPr="000B361E">
        <w:rPr>
          <w:color w:val="000000" w:themeColor="text1"/>
          <w:sz w:val="24"/>
        </w:rPr>
        <w:t xml:space="preserve"> The ancestor of ST8-SCC</w:t>
      </w:r>
      <w:r w:rsidRPr="000B361E">
        <w:rPr>
          <w:i/>
          <w:color w:val="000000" w:themeColor="text1"/>
          <w:sz w:val="24"/>
        </w:rPr>
        <w:t>mec</w:t>
      </w:r>
      <w:r w:rsidRPr="000B361E">
        <w:rPr>
          <w:color w:val="000000" w:themeColor="text1"/>
          <w:sz w:val="24"/>
        </w:rPr>
        <w:t xml:space="preserve">IVl (MRSA/J) acquired the genomic island νSa4 (carrying </w:t>
      </w:r>
      <w:r w:rsidRPr="000B361E">
        <w:rPr>
          <w:i/>
          <w:color w:val="000000" w:themeColor="text1"/>
          <w:sz w:val="24"/>
        </w:rPr>
        <w:t>sec</w:t>
      </w:r>
      <w:r w:rsidRPr="000B361E">
        <w:rPr>
          <w:color w:val="000000" w:themeColor="text1"/>
          <w:sz w:val="24"/>
        </w:rPr>
        <w:t xml:space="preserve">, </w:t>
      </w:r>
      <w:r w:rsidRPr="000B361E">
        <w:rPr>
          <w:i/>
          <w:color w:val="000000" w:themeColor="text1"/>
          <w:sz w:val="24"/>
        </w:rPr>
        <w:t>tst-1</w:t>
      </w:r>
      <w:r w:rsidRPr="000B361E">
        <w:rPr>
          <w:color w:val="000000" w:themeColor="text1"/>
          <w:sz w:val="24"/>
        </w:rPr>
        <w:t xml:space="preserve">, and </w:t>
      </w:r>
      <w:r w:rsidRPr="000B361E">
        <w:rPr>
          <w:i/>
          <w:color w:val="000000" w:themeColor="text1"/>
          <w:sz w:val="24"/>
        </w:rPr>
        <w:t>sel</w:t>
      </w:r>
      <w:r w:rsidRPr="000B361E">
        <w:rPr>
          <w:color w:val="000000" w:themeColor="text1"/>
          <w:sz w:val="24"/>
        </w:rPr>
        <w:t>) somewhere between 1957</w:t>
      </w:r>
      <w:r>
        <w:rPr>
          <w:b/>
          <w:color w:val="000000" w:themeColor="text1"/>
          <w:sz w:val="24"/>
        </w:rPr>
        <w:t xml:space="preserve"> </w:t>
      </w:r>
      <w:r w:rsidRPr="0037434A">
        <w:rPr>
          <w:bCs/>
          <w:color w:val="000000" w:themeColor="text1"/>
          <w:sz w:val="24"/>
        </w:rPr>
        <w:t>and</w:t>
      </w:r>
      <w:r>
        <w:rPr>
          <w:b/>
          <w:color w:val="000000" w:themeColor="text1"/>
          <w:sz w:val="24"/>
        </w:rPr>
        <w:t xml:space="preserve"> </w:t>
      </w:r>
      <w:r w:rsidRPr="000B361E">
        <w:rPr>
          <w:color w:val="000000" w:themeColor="text1"/>
          <w:sz w:val="24"/>
        </w:rPr>
        <w:t xml:space="preserve">1986 (see parallel with Fig. 4b). Vertical lines indicate the position of the direct repeat (DR): DR1, AATCCCGCCGTCTCCAT; DR2, AACTCCCGCCGTCTCCAT. </w:t>
      </w:r>
      <w:r w:rsidRPr="000B361E">
        <w:rPr>
          <w:b/>
          <w:color w:val="000000" w:themeColor="text1"/>
          <w:sz w:val="24"/>
        </w:rPr>
        <w:t>b.</w:t>
      </w:r>
      <w:r w:rsidRPr="000B361E">
        <w:rPr>
          <w:color w:val="000000" w:themeColor="text1"/>
          <w:sz w:val="24"/>
        </w:rPr>
        <w:t xml:space="preserve"> Plasmid map of pJSA01-harboring </w:t>
      </w:r>
      <w:r w:rsidRPr="000B361E">
        <w:rPr>
          <w:i/>
          <w:color w:val="000000" w:themeColor="text1"/>
          <w:sz w:val="24"/>
        </w:rPr>
        <w:t xml:space="preserve">S. aureus </w:t>
      </w:r>
      <w:r w:rsidRPr="000B361E">
        <w:rPr>
          <w:color w:val="000000" w:themeColor="text1"/>
          <w:sz w:val="24"/>
        </w:rPr>
        <w:t xml:space="preserve">JH4899 (accession #, AP014922), as MRSA/J. </w:t>
      </w:r>
      <w:r w:rsidRPr="000B361E">
        <w:rPr>
          <w:b/>
          <w:color w:val="000000" w:themeColor="text1"/>
          <w:sz w:val="24"/>
        </w:rPr>
        <w:t>c.</w:t>
      </w:r>
      <w:r w:rsidRPr="000B361E">
        <w:rPr>
          <w:color w:val="000000" w:themeColor="text1"/>
          <w:sz w:val="24"/>
        </w:rPr>
        <w:t xml:space="preserve"> The ancestor of ST8-SCC</w:t>
      </w:r>
      <w:r w:rsidRPr="000B361E">
        <w:rPr>
          <w:i/>
          <w:color w:val="000000" w:themeColor="text1"/>
          <w:sz w:val="24"/>
        </w:rPr>
        <w:t>mec</w:t>
      </w:r>
      <w:r w:rsidRPr="000B361E">
        <w:rPr>
          <w:color w:val="000000" w:themeColor="text1"/>
          <w:sz w:val="24"/>
        </w:rPr>
        <w:t xml:space="preserve">IVl (MRSA/J) acquired the </w:t>
      </w:r>
      <w:r w:rsidRPr="000B361E">
        <w:rPr>
          <w:i/>
          <w:color w:val="000000" w:themeColor="text1"/>
          <w:sz w:val="24"/>
        </w:rPr>
        <w:t>tet</w:t>
      </w:r>
      <w:r w:rsidRPr="000B361E">
        <w:rPr>
          <w:color w:val="000000" w:themeColor="text1"/>
          <w:sz w:val="24"/>
        </w:rPr>
        <w:t>(M)-harboring Tn</w:t>
      </w:r>
      <w:r w:rsidRPr="000B361E">
        <w:rPr>
          <w:i/>
          <w:color w:val="000000" w:themeColor="text1"/>
          <w:sz w:val="24"/>
        </w:rPr>
        <w:t>916</w:t>
      </w:r>
      <w:r w:rsidRPr="000B361E">
        <w:rPr>
          <w:color w:val="000000" w:themeColor="text1"/>
          <w:sz w:val="24"/>
        </w:rPr>
        <w:t>-like transposable unit somewhere between 1957</w:t>
      </w:r>
      <w:r>
        <w:rPr>
          <w:b/>
          <w:color w:val="000000" w:themeColor="text1"/>
          <w:sz w:val="24"/>
        </w:rPr>
        <w:t xml:space="preserve"> </w:t>
      </w:r>
      <w:r w:rsidRPr="0037434A">
        <w:rPr>
          <w:bCs/>
          <w:color w:val="000000" w:themeColor="text1"/>
          <w:sz w:val="24"/>
        </w:rPr>
        <w:t>and</w:t>
      </w:r>
      <w:r>
        <w:rPr>
          <w:b/>
          <w:color w:val="000000" w:themeColor="text1"/>
          <w:sz w:val="24"/>
        </w:rPr>
        <w:t xml:space="preserve"> </w:t>
      </w:r>
      <w:r w:rsidRPr="000B361E">
        <w:rPr>
          <w:color w:val="000000" w:themeColor="text1"/>
          <w:sz w:val="24"/>
        </w:rPr>
        <w:t>1986 (see parallel with Fig. 4b). Vertical lines indicate the position of the inverted repeat (IR): IR1, TTTGCATATTT; IR2, TTTGAATATTT.</w:t>
      </w:r>
    </w:p>
    <w:p w14:paraId="398C4C24" w14:textId="77777777" w:rsidR="00CF7416" w:rsidRPr="000B361E" w:rsidRDefault="00CF7416" w:rsidP="00CF7416">
      <w:pPr>
        <w:spacing w:line="480" w:lineRule="auto"/>
        <w:rPr>
          <w:color w:val="000000" w:themeColor="text1"/>
          <w:sz w:val="24"/>
        </w:rPr>
      </w:pPr>
    </w:p>
    <w:p w14:paraId="5651CCC1" w14:textId="77777777" w:rsidR="00CF7416" w:rsidRPr="00482F23" w:rsidRDefault="00CF7416" w:rsidP="00CF7416">
      <w:pPr>
        <w:spacing w:line="480" w:lineRule="auto"/>
        <w:rPr>
          <w:color w:val="000000" w:themeColor="text1"/>
          <w:sz w:val="24"/>
        </w:rPr>
      </w:pPr>
      <w:r w:rsidRPr="000B361E">
        <w:rPr>
          <w:color w:val="000000" w:themeColor="text1"/>
          <w:sz w:val="24"/>
        </w:rPr>
        <w:t>Supplementary Fig. 8 | Stepwise acquisition of genomic islands or SCC</w:t>
      </w:r>
      <w:r w:rsidRPr="000B361E">
        <w:rPr>
          <w:i/>
          <w:color w:val="000000" w:themeColor="text1"/>
          <w:sz w:val="24"/>
        </w:rPr>
        <w:t>mec</w:t>
      </w:r>
      <w:r w:rsidRPr="000B361E">
        <w:rPr>
          <w:color w:val="000000" w:themeColor="text1"/>
          <w:sz w:val="24"/>
        </w:rPr>
        <w:t xml:space="preserve"> composition island during the replacement of ST5-MSSA ancestor by ST764-SCC</w:t>
      </w:r>
      <w:r w:rsidRPr="000B361E">
        <w:rPr>
          <w:i/>
          <w:color w:val="000000" w:themeColor="text1"/>
          <w:sz w:val="24"/>
        </w:rPr>
        <w:t>mec</w:t>
      </w:r>
      <w:r w:rsidRPr="000B361E">
        <w:rPr>
          <w:color w:val="000000" w:themeColor="text1"/>
          <w:sz w:val="24"/>
        </w:rPr>
        <w:t xml:space="preserve">II (see parallel with Fig. 4c). </w:t>
      </w:r>
      <w:r w:rsidRPr="000B361E">
        <w:rPr>
          <w:b/>
          <w:bCs/>
          <w:color w:val="000000" w:themeColor="text1"/>
          <w:sz w:val="24"/>
        </w:rPr>
        <w:t>a</w:t>
      </w:r>
      <w:r w:rsidRPr="000B361E">
        <w:rPr>
          <w:color w:val="000000" w:themeColor="text1"/>
          <w:sz w:val="24"/>
        </w:rPr>
        <w:t xml:space="preserve">. Genetic structure around genomic island νSa3. Vertical lines indicate the position of the direct repeat (DR): DR1, GTTTTACATCATTCCCGGCAT; DR2, GTTTTACATCATTCCCGGCAT. </w:t>
      </w:r>
      <w:r w:rsidRPr="000B361E">
        <w:rPr>
          <w:b/>
          <w:color w:val="000000" w:themeColor="text1"/>
          <w:sz w:val="24"/>
        </w:rPr>
        <w:t>b.</w:t>
      </w:r>
      <w:r w:rsidRPr="000B361E">
        <w:rPr>
          <w:color w:val="000000" w:themeColor="text1"/>
          <w:sz w:val="24"/>
        </w:rPr>
        <w:t xml:space="preserve"> Genetic structure around </w:t>
      </w:r>
      <w:r w:rsidRPr="000B361E">
        <w:rPr>
          <w:i/>
          <w:color w:val="000000" w:themeColor="text1"/>
          <w:sz w:val="24"/>
        </w:rPr>
        <w:t>tet</w:t>
      </w:r>
      <w:r w:rsidRPr="000B361E">
        <w:rPr>
          <w:color w:val="000000" w:themeColor="text1"/>
          <w:sz w:val="24"/>
        </w:rPr>
        <w:t>(M)-harboring Tn</w:t>
      </w:r>
      <w:r w:rsidRPr="000B361E">
        <w:rPr>
          <w:i/>
          <w:color w:val="000000" w:themeColor="text1"/>
          <w:sz w:val="24"/>
        </w:rPr>
        <w:t>916</w:t>
      </w:r>
      <w:r w:rsidRPr="000B361E">
        <w:rPr>
          <w:color w:val="000000" w:themeColor="text1"/>
          <w:sz w:val="24"/>
        </w:rPr>
        <w:t xml:space="preserve">-like transposable unit. Vertical lines indicate the position of the inverted repeat (IR): IR1, </w:t>
      </w:r>
      <w:r w:rsidRPr="000B361E">
        <w:rPr>
          <w:color w:val="000000" w:themeColor="text1"/>
          <w:sz w:val="24"/>
        </w:rPr>
        <w:lastRenderedPageBreak/>
        <w:t xml:space="preserve">GCTTTTTTTA; IR2, GCTTTTTGTA. </w:t>
      </w:r>
      <w:r w:rsidRPr="000B361E">
        <w:rPr>
          <w:b/>
          <w:color w:val="000000" w:themeColor="text1"/>
          <w:sz w:val="24"/>
        </w:rPr>
        <w:t>c</w:t>
      </w:r>
      <w:r w:rsidRPr="000B361E">
        <w:rPr>
          <w:color w:val="000000" w:themeColor="text1"/>
          <w:sz w:val="24"/>
        </w:rPr>
        <w:t xml:space="preserve"> Genetic structure around genomic island νSa4. Vertical lines indicate the position of the direct repeat (DR): DR3, AAATCCCGCCGTCTCCAT; DR4, AACTCCCGCCGTCTCCAT. </w:t>
      </w:r>
      <w:r w:rsidRPr="000B361E">
        <w:rPr>
          <w:b/>
          <w:color w:val="000000" w:themeColor="text1"/>
          <w:sz w:val="24"/>
        </w:rPr>
        <w:t>d</w:t>
      </w:r>
      <w:r w:rsidRPr="000B361E">
        <w:rPr>
          <w:color w:val="000000" w:themeColor="text1"/>
          <w:sz w:val="24"/>
        </w:rPr>
        <w:t xml:space="preserve"> Genetic structure around genomic island νSa1. Vertical lines indicate the position of the direct repeat (DR): DR5, AAGATGATAAGAAAATCA; DR6, AAGATGCTGAGAGAATCA. </w:t>
      </w:r>
      <w:r w:rsidRPr="000B361E">
        <w:rPr>
          <w:b/>
          <w:color w:val="000000" w:themeColor="text1"/>
          <w:sz w:val="24"/>
        </w:rPr>
        <w:t>e</w:t>
      </w:r>
      <w:r w:rsidRPr="000B361E">
        <w:rPr>
          <w:color w:val="000000" w:themeColor="text1"/>
          <w:sz w:val="24"/>
        </w:rPr>
        <w:t xml:space="preserve"> Genetic structure around SCC</w:t>
      </w:r>
      <w:r w:rsidRPr="000B361E">
        <w:rPr>
          <w:i/>
          <w:color w:val="000000" w:themeColor="text1"/>
          <w:sz w:val="24"/>
        </w:rPr>
        <w:t>me</w:t>
      </w:r>
      <w:r w:rsidRPr="00482F23">
        <w:rPr>
          <w:i/>
          <w:color w:val="000000" w:themeColor="text1"/>
          <w:sz w:val="24"/>
        </w:rPr>
        <w:t>c</w:t>
      </w:r>
      <w:r w:rsidRPr="00482F23">
        <w:rPr>
          <w:color w:val="000000" w:themeColor="text1"/>
          <w:sz w:val="24"/>
        </w:rPr>
        <w:t xml:space="preserve"> region. Vertical lines indicate the position of the direct repeat (DR): DR7, GGAGAAGCATATCATAA; DR8, GCAGAGGCGTATCATAA; IR1, TAAGACATCAC; IR3, GAGATGTATTA; DR9, AGAAGCGTACCACAA; DR10, GAAGCGTATCATAAGTGA. </w:t>
      </w:r>
    </w:p>
    <w:p w14:paraId="1B28F37D" w14:textId="77777777" w:rsidR="00CF7416" w:rsidRPr="00482F23" w:rsidRDefault="00CF7416" w:rsidP="00CF7416">
      <w:pPr>
        <w:spacing w:line="480" w:lineRule="auto"/>
        <w:rPr>
          <w:color w:val="000000" w:themeColor="text1"/>
          <w:sz w:val="24"/>
        </w:rPr>
      </w:pPr>
    </w:p>
    <w:p w14:paraId="0D11C10E" w14:textId="77777777" w:rsidR="00CF7416" w:rsidRPr="000B361E" w:rsidRDefault="00CF7416" w:rsidP="00CF7416">
      <w:pPr>
        <w:spacing w:line="480" w:lineRule="auto"/>
        <w:rPr>
          <w:color w:val="000000" w:themeColor="text1"/>
          <w:sz w:val="24"/>
        </w:rPr>
      </w:pPr>
      <w:r w:rsidRPr="00482F23">
        <w:rPr>
          <w:color w:val="000000" w:themeColor="text1"/>
          <w:sz w:val="24"/>
        </w:rPr>
        <w:t>Supplementary Fig. 9 | Phylogenetic transition of BSI-derived MRSA isolates resistant to six or three drugs between the two periods.</w:t>
      </w:r>
      <w:r w:rsidRPr="00482F23">
        <w:rPr>
          <w:b/>
          <w:color w:val="000000" w:themeColor="text1"/>
          <w:sz w:val="24"/>
        </w:rPr>
        <w:t xml:space="preserve"> </w:t>
      </w:r>
      <w:r w:rsidRPr="00482F23">
        <w:rPr>
          <w:color w:val="000000" w:themeColor="text1"/>
          <w:sz w:val="24"/>
        </w:rPr>
        <w:t xml:space="preserve">Each bar graph shows the proportion of BSI-derived MRSA lineages resistant to </w:t>
      </w:r>
      <w:r w:rsidRPr="00482F23">
        <w:rPr>
          <w:b/>
          <w:color w:val="000000" w:themeColor="text1"/>
          <w:sz w:val="24"/>
        </w:rPr>
        <w:t>a</w:t>
      </w:r>
      <w:r w:rsidRPr="00482F23">
        <w:rPr>
          <w:color w:val="000000" w:themeColor="text1"/>
          <w:sz w:val="24"/>
        </w:rPr>
        <w:t xml:space="preserve"> six drugs (MPIPC, GEN, EM, C</w:t>
      </w:r>
      <w:r w:rsidRPr="000B361E">
        <w:rPr>
          <w:color w:val="000000" w:themeColor="text1"/>
          <w:sz w:val="24"/>
        </w:rPr>
        <w:t xml:space="preserve">LDM, MINO, and LVFX) or </w:t>
      </w:r>
      <w:r w:rsidRPr="000B361E">
        <w:rPr>
          <w:b/>
          <w:color w:val="000000" w:themeColor="text1"/>
          <w:sz w:val="24"/>
        </w:rPr>
        <w:t>b</w:t>
      </w:r>
      <w:r w:rsidRPr="000B361E">
        <w:rPr>
          <w:color w:val="000000" w:themeColor="text1"/>
          <w:sz w:val="24"/>
        </w:rPr>
        <w:t xml:space="preserve"> three drugs (MPIPC, EM, and LVFX).</w:t>
      </w:r>
    </w:p>
    <w:p w14:paraId="7D27E3DD" w14:textId="77777777" w:rsidR="00CF7416" w:rsidRPr="000B361E" w:rsidRDefault="00CF7416" w:rsidP="00CF7416">
      <w:pPr>
        <w:spacing w:line="480" w:lineRule="auto"/>
        <w:rPr>
          <w:color w:val="000000" w:themeColor="text1"/>
          <w:sz w:val="24"/>
        </w:rPr>
      </w:pPr>
    </w:p>
    <w:p w14:paraId="7E5D94CF" w14:textId="77777777" w:rsidR="00CF7416" w:rsidRPr="000B361E" w:rsidRDefault="00CF7416" w:rsidP="00CF7416">
      <w:pPr>
        <w:widowControl/>
        <w:spacing w:line="480" w:lineRule="auto"/>
        <w:rPr>
          <w:color w:val="000000" w:themeColor="text1"/>
          <w:sz w:val="24"/>
        </w:rPr>
      </w:pPr>
      <w:r w:rsidRPr="000B361E">
        <w:rPr>
          <w:color w:val="000000" w:themeColor="text1"/>
          <w:sz w:val="24"/>
        </w:rPr>
        <w:t>Supplementary Fig. 10</w:t>
      </w:r>
      <w:r w:rsidRPr="00482F23">
        <w:rPr>
          <w:color w:val="000000" w:themeColor="text1"/>
          <w:sz w:val="24"/>
        </w:rPr>
        <w:t xml:space="preserve"> |</w:t>
      </w:r>
      <w:r w:rsidRPr="000B361E">
        <w:rPr>
          <w:color w:val="000000" w:themeColor="text1"/>
          <w:sz w:val="24"/>
        </w:rPr>
        <w:t xml:space="preserve"> Synteny analysis of the chromosome sequence of completely sequenced ST764-SCC</w:t>
      </w:r>
      <w:r w:rsidRPr="000B361E">
        <w:rPr>
          <w:i/>
          <w:color w:val="000000" w:themeColor="text1"/>
          <w:sz w:val="24"/>
        </w:rPr>
        <w:t>mec</w:t>
      </w:r>
      <w:r w:rsidRPr="000B361E">
        <w:rPr>
          <w:color w:val="000000" w:themeColor="text1"/>
          <w:sz w:val="24"/>
        </w:rPr>
        <w:t xml:space="preserve">II isolates in this study. The chromosome sequence of N315 (accession #, BA000018) was used as reference sequence. In the chromosomes of </w:t>
      </w:r>
      <w:r>
        <w:rPr>
          <w:color w:val="000000" w:themeColor="text1"/>
          <w:sz w:val="24"/>
        </w:rPr>
        <w:t xml:space="preserve">the six </w:t>
      </w:r>
      <w:r w:rsidRPr="000B361E">
        <w:rPr>
          <w:color w:val="000000" w:themeColor="text1"/>
          <w:sz w:val="24"/>
        </w:rPr>
        <w:lastRenderedPageBreak/>
        <w:t>ST764-SCC</w:t>
      </w:r>
      <w:r w:rsidRPr="000B361E">
        <w:rPr>
          <w:i/>
          <w:color w:val="000000" w:themeColor="text1"/>
          <w:sz w:val="24"/>
        </w:rPr>
        <w:t>mec</w:t>
      </w:r>
      <w:r w:rsidRPr="000B361E">
        <w:rPr>
          <w:color w:val="000000" w:themeColor="text1"/>
          <w:sz w:val="24"/>
        </w:rPr>
        <w:t>II strains (10019-19-S014, 21016-19-S006, 34003-19-S005, 43001-19-S032, 46008-19-S004, and 48008-19-S006), blue indicates the sequence regions where the inversion originates.</w:t>
      </w:r>
    </w:p>
    <w:p w14:paraId="4FF72ED8" w14:textId="77777777" w:rsidR="00755780" w:rsidRDefault="00755780"/>
    <w:sectPr w:rsidR="00755780" w:rsidSect="00CF7416">
      <w:footerReference w:type="default" r:id="rId4"/>
      <w:pgSz w:w="11900" w:h="16840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411549851"/>
      <w:docPartObj>
        <w:docPartGallery w:val="Page Numbers (Bottom of Page)"/>
        <w:docPartUnique/>
      </w:docPartObj>
    </w:sdtPr>
    <w:sdtContent>
      <w:p w14:paraId="6722CF65" w14:textId="77777777" w:rsidR="00000000" w:rsidRPr="00A808A4" w:rsidRDefault="00000000">
        <w:pPr>
          <w:pStyle w:val="Footer"/>
          <w:jc w:val="center"/>
        </w:pPr>
        <w:r w:rsidRPr="00A808A4">
          <w:fldChar w:fldCharType="begin"/>
        </w:r>
        <w:r w:rsidRPr="00A808A4">
          <w:instrText xml:space="preserve"> PAGE   \* MERGEFORMAT </w:instrText>
        </w:r>
        <w:r w:rsidRPr="00A808A4">
          <w:fldChar w:fldCharType="separate"/>
        </w:r>
        <w:r w:rsidRPr="00A808A4">
          <w:t>2</w:t>
        </w:r>
        <w:r w:rsidRPr="00A808A4">
          <w:fldChar w:fldCharType="end"/>
        </w:r>
      </w:p>
    </w:sdtContent>
  </w:sdt>
  <w:p w14:paraId="3D7B3BD2" w14:textId="77777777" w:rsidR="00000000" w:rsidRPr="00A808A4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416"/>
    <w:rsid w:val="0014337F"/>
    <w:rsid w:val="00331A6B"/>
    <w:rsid w:val="00755780"/>
    <w:rsid w:val="00857596"/>
    <w:rsid w:val="00CF7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80087"/>
  <w15:chartTrackingRefBased/>
  <w15:docId w15:val="{EF01B0C1-52E6-414E-B31F-84E38AB09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7416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1"/>
      <w:szCs w:val="24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7416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7416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7416"/>
    <w:pPr>
      <w:keepNext/>
      <w:keepLines/>
      <w:widowControl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7416"/>
    <w:pPr>
      <w:keepNext/>
      <w:keepLines/>
      <w:widowControl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7416"/>
    <w:pPr>
      <w:keepNext/>
      <w:keepLines/>
      <w:widowControl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7416"/>
    <w:pPr>
      <w:keepNext/>
      <w:keepLines/>
      <w:widowControl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7416"/>
    <w:pPr>
      <w:keepNext/>
      <w:keepLines/>
      <w:widowControl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7416"/>
    <w:pPr>
      <w:keepNext/>
      <w:keepLines/>
      <w:widowControl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7416"/>
    <w:pPr>
      <w:keepNext/>
      <w:keepLines/>
      <w:widowControl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74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74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74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74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74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74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74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74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74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7416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F74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7416"/>
    <w:pPr>
      <w:widowControl/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F74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7416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F74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7416"/>
    <w:pPr>
      <w:widowControl/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F74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741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74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7416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rsid w:val="00CF7416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CF7416"/>
    <w:rPr>
      <w:rFonts w:ascii="Times New Roman" w:eastAsia="Times New Roman" w:hAnsi="Times New Roman" w:cs="Times New Roman"/>
      <w:sz w:val="21"/>
      <w:szCs w:val="24"/>
      <w:lang w:eastAsia="ja-JP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CF74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824</Words>
  <Characters>4699</Characters>
  <Application>Microsoft Office Word</Application>
  <DocSecurity>0</DocSecurity>
  <Lines>39</Lines>
  <Paragraphs>11</Paragraphs>
  <ScaleCrop>false</ScaleCrop>
  <Company>Springer Nature</Company>
  <LinksUpToDate>false</LinksUpToDate>
  <CharactersWithSpaces>5512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2024-08-01T05:50:00Z</dcterms:created>
  <dcterms:modified xsi:type="dcterms:W3CDTF">2024-08-01T05:51:00Z</dcterms:modified>
</cp:coreProperties>
</file>