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833BA8" w14:textId="77777777" w:rsidR="0061032D" w:rsidRDefault="0061032D">
      <w:pPr>
        <w:rPr>
          <w:rFonts w:ascii="Times New Roman" w:eastAsia="Times New Roman" w:hAnsi="Times New Roman" w:cs="Times New Roman"/>
        </w:rPr>
      </w:pPr>
    </w:p>
    <w:p w14:paraId="15946743" w14:textId="77777777" w:rsidR="0061032D" w:rsidRDefault="0061032D">
      <w:pPr>
        <w:rPr>
          <w:rFonts w:ascii="Times New Roman" w:eastAsia="Times New Roman" w:hAnsi="Times New Roman" w:cs="Times New Roman"/>
        </w:rPr>
      </w:pPr>
    </w:p>
    <w:p w14:paraId="794A36E6" w14:textId="77777777" w:rsidR="0061032D" w:rsidRDefault="0061032D">
      <w:pPr>
        <w:rPr>
          <w:rFonts w:ascii="Times New Roman" w:eastAsia="Times New Roman" w:hAnsi="Times New Roman" w:cs="Times New Roman"/>
        </w:rPr>
      </w:pPr>
    </w:p>
    <w:p w14:paraId="2F291349" w14:textId="77777777" w:rsidR="0061032D" w:rsidRDefault="0061032D">
      <w:pPr>
        <w:rPr>
          <w:rFonts w:ascii="Times New Roman" w:eastAsia="Times New Roman" w:hAnsi="Times New Roman" w:cs="Times New Roman"/>
        </w:rPr>
      </w:pPr>
    </w:p>
    <w:p w14:paraId="55D5A991" w14:textId="77777777" w:rsidR="0061032D" w:rsidRDefault="0061032D">
      <w:pPr>
        <w:rPr>
          <w:rFonts w:ascii="Times New Roman" w:eastAsia="Times New Roman" w:hAnsi="Times New Roman" w:cs="Times New Roman"/>
        </w:rPr>
      </w:pPr>
    </w:p>
    <w:p w14:paraId="5196B57A" w14:textId="0624CD96" w:rsidR="0061032D" w:rsidRDefault="00000000" w:rsidP="004845A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Table 1: </w:t>
      </w:r>
      <w:r>
        <w:rPr>
          <w:rFonts w:ascii="Times New Roman" w:eastAsia="Times New Roman" w:hAnsi="Times New Roman" w:cs="Times New Roman"/>
        </w:rPr>
        <w:t xml:space="preserve">This table includes </w:t>
      </w:r>
      <w:r>
        <w:rPr>
          <w:rFonts w:ascii="Times New Roman" w:eastAsia="Times New Roman" w:hAnsi="Times New Roman" w:cs="Times New Roman"/>
          <w:color w:val="000000"/>
        </w:rPr>
        <w:t>demographic, clinicopathological, therapeutic and follow-up data.</w:t>
      </w:r>
    </w:p>
    <w:tbl>
      <w:tblPr>
        <w:tblStyle w:val="a3"/>
        <w:tblW w:w="6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56"/>
        <w:gridCol w:w="2636"/>
        <w:gridCol w:w="1756"/>
      </w:tblGrid>
      <w:tr w:rsidR="0061032D" w14:paraId="4325551F" w14:textId="77777777">
        <w:tc>
          <w:tcPr>
            <w:tcW w:w="4792" w:type="dxa"/>
            <w:gridSpan w:val="2"/>
          </w:tcPr>
          <w:p w14:paraId="1DBCFD50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u w:val="single"/>
              </w:rPr>
              <w:t>Patient Characteristics</w:t>
            </w:r>
          </w:p>
        </w:tc>
        <w:tc>
          <w:tcPr>
            <w:tcW w:w="1756" w:type="dxa"/>
          </w:tcPr>
          <w:p w14:paraId="764EABE5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Descriptive </w:t>
            </w:r>
          </w:p>
        </w:tc>
      </w:tr>
      <w:tr w:rsidR="0061032D" w14:paraId="02BAB5A9" w14:textId="77777777">
        <w:tc>
          <w:tcPr>
            <w:tcW w:w="4792" w:type="dxa"/>
            <w:gridSpan w:val="2"/>
            <w:vAlign w:val="center"/>
          </w:tcPr>
          <w:p w14:paraId="0A3F5384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Age (year)</w:t>
            </w:r>
          </w:p>
        </w:tc>
        <w:tc>
          <w:tcPr>
            <w:tcW w:w="1756" w:type="dxa"/>
          </w:tcPr>
          <w:p w14:paraId="3A73ACD8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57.89</w:t>
            </w:r>
            <w:r>
              <w:rPr>
                <w:rFonts w:ascii="Times New Roman" w:eastAsia="Times New Roman" w:hAnsi="Times New Roman" w:cs="Times New Roman"/>
              </w:rPr>
              <w:tab/>
              <w:t>(13.026)</w:t>
            </w:r>
          </w:p>
        </w:tc>
      </w:tr>
      <w:tr w:rsidR="0061032D" w14:paraId="4D2B33CC" w14:textId="77777777">
        <w:tc>
          <w:tcPr>
            <w:tcW w:w="4792" w:type="dxa"/>
            <w:gridSpan w:val="2"/>
            <w:vAlign w:val="center"/>
          </w:tcPr>
          <w:p w14:paraId="4FD7CA0B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Sex (male)</w:t>
            </w:r>
          </w:p>
        </w:tc>
        <w:tc>
          <w:tcPr>
            <w:tcW w:w="1756" w:type="dxa"/>
          </w:tcPr>
          <w:p w14:paraId="246EE3F0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 (22.9 %)</w:t>
            </w:r>
          </w:p>
        </w:tc>
      </w:tr>
      <w:tr w:rsidR="0061032D" w14:paraId="5F9384FD" w14:textId="77777777">
        <w:tc>
          <w:tcPr>
            <w:tcW w:w="4792" w:type="dxa"/>
            <w:gridSpan w:val="2"/>
            <w:vAlign w:val="center"/>
          </w:tcPr>
          <w:p w14:paraId="0D6EE923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Aneurysm size (mm)</w:t>
            </w:r>
          </w:p>
        </w:tc>
        <w:tc>
          <w:tcPr>
            <w:tcW w:w="1756" w:type="dxa"/>
          </w:tcPr>
          <w:p w14:paraId="72F296E3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14.72 (5.049)</w:t>
            </w:r>
          </w:p>
        </w:tc>
      </w:tr>
      <w:tr w:rsidR="0061032D" w14:paraId="6BDFEB01" w14:textId="77777777">
        <w:tc>
          <w:tcPr>
            <w:tcW w:w="4792" w:type="dxa"/>
            <w:gridSpan w:val="2"/>
            <w:vAlign w:val="center"/>
          </w:tcPr>
          <w:p w14:paraId="3961C7EF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Number of coils</w:t>
            </w:r>
          </w:p>
        </w:tc>
        <w:tc>
          <w:tcPr>
            <w:tcW w:w="1756" w:type="dxa"/>
          </w:tcPr>
          <w:p w14:paraId="773FF67C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10.18 (4.309)</w:t>
            </w:r>
          </w:p>
        </w:tc>
      </w:tr>
      <w:tr w:rsidR="0061032D" w14:paraId="68D5CF4E" w14:textId="77777777">
        <w:tc>
          <w:tcPr>
            <w:tcW w:w="4792" w:type="dxa"/>
            <w:gridSpan w:val="2"/>
            <w:vAlign w:val="center"/>
          </w:tcPr>
          <w:p w14:paraId="08477E3A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Time of onset of edema after intervention</w:t>
            </w:r>
          </w:p>
        </w:tc>
        <w:tc>
          <w:tcPr>
            <w:tcW w:w="1756" w:type="dxa"/>
          </w:tcPr>
          <w:p w14:paraId="39C22A19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120 (55.5-195)</w:t>
            </w:r>
          </w:p>
        </w:tc>
      </w:tr>
      <w:tr w:rsidR="0061032D" w14:paraId="322456EB" w14:textId="77777777">
        <w:tc>
          <w:tcPr>
            <w:tcW w:w="2156" w:type="dxa"/>
            <w:vMerge w:val="restart"/>
            <w:vAlign w:val="center"/>
          </w:tcPr>
          <w:p w14:paraId="6D7ED573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 xml:space="preserve">Fisher </w:t>
            </w:r>
          </w:p>
        </w:tc>
        <w:tc>
          <w:tcPr>
            <w:tcW w:w="2636" w:type="dxa"/>
            <w:vAlign w:val="center"/>
          </w:tcPr>
          <w:p w14:paraId="35CF8F1E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I</w:t>
            </w:r>
          </w:p>
        </w:tc>
        <w:tc>
          <w:tcPr>
            <w:tcW w:w="1756" w:type="dxa"/>
            <w:vAlign w:val="center"/>
          </w:tcPr>
          <w:p w14:paraId="76B252ED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 (2.08%)</w:t>
            </w:r>
          </w:p>
        </w:tc>
      </w:tr>
      <w:tr w:rsidR="0061032D" w14:paraId="5472967A" w14:textId="77777777">
        <w:tc>
          <w:tcPr>
            <w:tcW w:w="2156" w:type="dxa"/>
            <w:vMerge/>
            <w:vAlign w:val="center"/>
          </w:tcPr>
          <w:p w14:paraId="372742EC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783F317F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2</w:t>
            </w:r>
          </w:p>
        </w:tc>
        <w:tc>
          <w:tcPr>
            <w:tcW w:w="1756" w:type="dxa"/>
            <w:vAlign w:val="center"/>
          </w:tcPr>
          <w:p w14:paraId="2B5AC635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 (14.58 %)</w:t>
            </w:r>
          </w:p>
        </w:tc>
      </w:tr>
      <w:tr w:rsidR="0061032D" w14:paraId="333166D1" w14:textId="77777777">
        <w:tc>
          <w:tcPr>
            <w:tcW w:w="2156" w:type="dxa"/>
            <w:vMerge/>
            <w:vAlign w:val="center"/>
          </w:tcPr>
          <w:p w14:paraId="4B039B24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64637F3B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3</w:t>
            </w:r>
          </w:p>
        </w:tc>
        <w:tc>
          <w:tcPr>
            <w:tcW w:w="1756" w:type="dxa"/>
            <w:vAlign w:val="center"/>
          </w:tcPr>
          <w:p w14:paraId="5814DB64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 (2.08%)</w:t>
            </w:r>
          </w:p>
        </w:tc>
      </w:tr>
      <w:tr w:rsidR="0061032D" w14:paraId="200EB5EC" w14:textId="77777777">
        <w:tc>
          <w:tcPr>
            <w:tcW w:w="2156" w:type="dxa"/>
            <w:vMerge/>
            <w:vAlign w:val="center"/>
          </w:tcPr>
          <w:p w14:paraId="09423174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4B6FD43B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Incidental</w:t>
            </w:r>
          </w:p>
        </w:tc>
        <w:tc>
          <w:tcPr>
            <w:tcW w:w="1756" w:type="dxa"/>
            <w:vAlign w:val="center"/>
          </w:tcPr>
          <w:p w14:paraId="1C2DB1E7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 (60.41)</w:t>
            </w:r>
          </w:p>
        </w:tc>
      </w:tr>
      <w:tr w:rsidR="0061032D" w14:paraId="46694BE4" w14:textId="77777777">
        <w:trPr>
          <w:trHeight w:val="77"/>
        </w:trPr>
        <w:tc>
          <w:tcPr>
            <w:tcW w:w="2156" w:type="dxa"/>
            <w:vMerge w:val="restart"/>
            <w:vAlign w:val="center"/>
          </w:tcPr>
          <w:p w14:paraId="6F65F1C1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Aneurysm location</w:t>
            </w:r>
          </w:p>
        </w:tc>
        <w:tc>
          <w:tcPr>
            <w:tcW w:w="2636" w:type="dxa"/>
            <w:vAlign w:val="center"/>
          </w:tcPr>
          <w:p w14:paraId="34F85CD8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AcomA</w:t>
            </w:r>
          </w:p>
        </w:tc>
        <w:tc>
          <w:tcPr>
            <w:tcW w:w="1756" w:type="dxa"/>
          </w:tcPr>
          <w:p w14:paraId="370E9B51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(</w:t>
            </w:r>
            <w:r>
              <w:rPr>
                <w:rFonts w:ascii="Times New Roman" w:eastAsia="Times New Roman" w:hAnsi="Times New Roman" w:cs="Times New Roman"/>
                <w:color w:val="333333"/>
              </w:rPr>
              <w:t>6.25 %)</w:t>
            </w:r>
          </w:p>
        </w:tc>
      </w:tr>
      <w:tr w:rsidR="0061032D" w14:paraId="6356B971" w14:textId="77777777">
        <w:trPr>
          <w:trHeight w:val="71"/>
        </w:trPr>
        <w:tc>
          <w:tcPr>
            <w:tcW w:w="2156" w:type="dxa"/>
            <w:vMerge/>
            <w:vAlign w:val="center"/>
          </w:tcPr>
          <w:p w14:paraId="50913F05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6F2B90CF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ICA</w:t>
            </w:r>
          </w:p>
        </w:tc>
        <w:tc>
          <w:tcPr>
            <w:tcW w:w="1756" w:type="dxa"/>
          </w:tcPr>
          <w:p w14:paraId="755F47E9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 (</w:t>
            </w:r>
            <w:r>
              <w:rPr>
                <w:rFonts w:ascii="Times New Roman" w:eastAsia="Times New Roman" w:hAnsi="Times New Roman" w:cs="Times New Roman"/>
                <w:color w:val="333333"/>
              </w:rPr>
              <w:t>37.5 %)</w:t>
            </w:r>
          </w:p>
        </w:tc>
      </w:tr>
      <w:tr w:rsidR="0061032D" w14:paraId="5E5DC5D9" w14:textId="77777777">
        <w:trPr>
          <w:trHeight w:val="71"/>
        </w:trPr>
        <w:tc>
          <w:tcPr>
            <w:tcW w:w="2156" w:type="dxa"/>
            <w:vMerge/>
            <w:vAlign w:val="center"/>
          </w:tcPr>
          <w:p w14:paraId="11151160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704843DF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MCA</w:t>
            </w:r>
          </w:p>
        </w:tc>
        <w:tc>
          <w:tcPr>
            <w:tcW w:w="1756" w:type="dxa"/>
          </w:tcPr>
          <w:p w14:paraId="1F60C477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 (</w:t>
            </w:r>
            <w:r>
              <w:rPr>
                <w:rFonts w:ascii="Times New Roman" w:eastAsia="Times New Roman" w:hAnsi="Times New Roman" w:cs="Times New Roman"/>
                <w:color w:val="333333"/>
              </w:rPr>
              <w:t>10.41 %)</w:t>
            </w:r>
          </w:p>
        </w:tc>
      </w:tr>
      <w:tr w:rsidR="0061032D" w14:paraId="738ED47B" w14:textId="77777777">
        <w:trPr>
          <w:trHeight w:val="71"/>
        </w:trPr>
        <w:tc>
          <w:tcPr>
            <w:tcW w:w="2156" w:type="dxa"/>
            <w:vMerge/>
            <w:vAlign w:val="center"/>
          </w:tcPr>
          <w:p w14:paraId="4E7BEDA6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0358CEA7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Ophthalmic</w:t>
            </w:r>
          </w:p>
        </w:tc>
        <w:tc>
          <w:tcPr>
            <w:tcW w:w="1756" w:type="dxa"/>
          </w:tcPr>
          <w:p w14:paraId="00FC8BE1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(</w:t>
            </w:r>
            <w:r>
              <w:rPr>
                <w:rFonts w:ascii="Times New Roman" w:eastAsia="Times New Roman" w:hAnsi="Times New Roman" w:cs="Times New Roman"/>
                <w:color w:val="333333"/>
              </w:rPr>
              <w:t>8.3 %)</w:t>
            </w:r>
          </w:p>
        </w:tc>
      </w:tr>
      <w:tr w:rsidR="0061032D" w14:paraId="56C560C1" w14:textId="77777777">
        <w:trPr>
          <w:trHeight w:val="71"/>
        </w:trPr>
        <w:tc>
          <w:tcPr>
            <w:tcW w:w="2156" w:type="dxa"/>
            <w:vMerge/>
            <w:vAlign w:val="center"/>
          </w:tcPr>
          <w:p w14:paraId="497A7728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7A3A244D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VA</w:t>
            </w:r>
          </w:p>
        </w:tc>
        <w:tc>
          <w:tcPr>
            <w:tcW w:w="1756" w:type="dxa"/>
          </w:tcPr>
          <w:p w14:paraId="238F97F5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(</w:t>
            </w:r>
            <w:r>
              <w:rPr>
                <w:rFonts w:ascii="Times New Roman" w:eastAsia="Times New Roman" w:hAnsi="Times New Roman" w:cs="Times New Roman"/>
                <w:color w:val="333333"/>
              </w:rPr>
              <w:t>2.08% )</w:t>
            </w:r>
          </w:p>
        </w:tc>
      </w:tr>
      <w:tr w:rsidR="0061032D" w14:paraId="37EB9F4D" w14:textId="77777777">
        <w:trPr>
          <w:trHeight w:val="71"/>
        </w:trPr>
        <w:tc>
          <w:tcPr>
            <w:tcW w:w="2156" w:type="dxa"/>
            <w:vMerge/>
            <w:vAlign w:val="center"/>
          </w:tcPr>
          <w:p w14:paraId="6D1DA247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24E779A7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Basilar</w:t>
            </w:r>
          </w:p>
        </w:tc>
        <w:tc>
          <w:tcPr>
            <w:tcW w:w="1756" w:type="dxa"/>
          </w:tcPr>
          <w:p w14:paraId="5F32B8E2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 (</w:t>
            </w:r>
            <w:r>
              <w:rPr>
                <w:rFonts w:ascii="Times New Roman" w:eastAsia="Times New Roman" w:hAnsi="Times New Roman" w:cs="Times New Roman"/>
                <w:color w:val="333333"/>
              </w:rPr>
              <w:t>20.83 %)</w:t>
            </w:r>
          </w:p>
        </w:tc>
      </w:tr>
      <w:tr w:rsidR="0061032D" w14:paraId="6BFB4018" w14:textId="77777777">
        <w:trPr>
          <w:trHeight w:val="71"/>
        </w:trPr>
        <w:tc>
          <w:tcPr>
            <w:tcW w:w="2156" w:type="dxa"/>
            <w:vMerge/>
            <w:vAlign w:val="center"/>
          </w:tcPr>
          <w:p w14:paraId="654B27B5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0F3F49B0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PICA</w:t>
            </w:r>
          </w:p>
        </w:tc>
        <w:tc>
          <w:tcPr>
            <w:tcW w:w="1756" w:type="dxa"/>
          </w:tcPr>
          <w:p w14:paraId="09FA8CE1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(</w:t>
            </w:r>
            <w:r>
              <w:rPr>
                <w:rFonts w:ascii="Times New Roman" w:eastAsia="Times New Roman" w:hAnsi="Times New Roman" w:cs="Times New Roman"/>
                <w:color w:val="333333"/>
              </w:rPr>
              <w:t>4.16 %)</w:t>
            </w:r>
          </w:p>
        </w:tc>
      </w:tr>
      <w:tr w:rsidR="0061032D" w14:paraId="05171171" w14:textId="77777777">
        <w:trPr>
          <w:trHeight w:val="71"/>
        </w:trPr>
        <w:tc>
          <w:tcPr>
            <w:tcW w:w="2156" w:type="dxa"/>
            <w:vMerge/>
            <w:vAlign w:val="center"/>
          </w:tcPr>
          <w:p w14:paraId="20D6C6F1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6A9AC684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Pcom</w:t>
            </w:r>
          </w:p>
        </w:tc>
        <w:tc>
          <w:tcPr>
            <w:tcW w:w="1756" w:type="dxa"/>
          </w:tcPr>
          <w:p w14:paraId="4EBEB448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(</w:t>
            </w:r>
            <w:r>
              <w:rPr>
                <w:rFonts w:ascii="Times New Roman" w:eastAsia="Times New Roman" w:hAnsi="Times New Roman" w:cs="Times New Roman"/>
                <w:color w:val="333333"/>
              </w:rPr>
              <w:t>4.16 %)</w:t>
            </w:r>
          </w:p>
        </w:tc>
      </w:tr>
      <w:tr w:rsidR="0061032D" w14:paraId="36E36F60" w14:textId="77777777">
        <w:trPr>
          <w:trHeight w:val="71"/>
        </w:trPr>
        <w:tc>
          <w:tcPr>
            <w:tcW w:w="2156" w:type="dxa"/>
            <w:vMerge/>
            <w:vAlign w:val="center"/>
          </w:tcPr>
          <w:p w14:paraId="6104C303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0EBA3551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highlight w:val="white"/>
              </w:rPr>
              <w:t>SCA</w:t>
            </w:r>
          </w:p>
        </w:tc>
        <w:tc>
          <w:tcPr>
            <w:tcW w:w="1756" w:type="dxa"/>
          </w:tcPr>
          <w:p w14:paraId="189C1522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 (2.08%)</w:t>
            </w:r>
          </w:p>
        </w:tc>
      </w:tr>
      <w:tr w:rsidR="0061032D" w14:paraId="36A60E53" w14:textId="77777777">
        <w:trPr>
          <w:trHeight w:val="240"/>
        </w:trPr>
        <w:tc>
          <w:tcPr>
            <w:tcW w:w="2156" w:type="dxa"/>
            <w:vMerge w:val="restart"/>
            <w:vAlign w:val="center"/>
          </w:tcPr>
          <w:p w14:paraId="4E348E4A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 xml:space="preserve">Clinical picture </w:t>
            </w:r>
          </w:p>
        </w:tc>
        <w:tc>
          <w:tcPr>
            <w:tcW w:w="2636" w:type="dxa"/>
            <w:vAlign w:val="center"/>
          </w:tcPr>
          <w:p w14:paraId="5143939C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Asymptomatic</w:t>
            </w:r>
          </w:p>
        </w:tc>
        <w:tc>
          <w:tcPr>
            <w:tcW w:w="1756" w:type="dxa"/>
          </w:tcPr>
          <w:p w14:paraId="2882A2A3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 (37.5 %)</w:t>
            </w:r>
          </w:p>
        </w:tc>
      </w:tr>
      <w:tr w:rsidR="0061032D" w14:paraId="14EF9AE2" w14:textId="77777777">
        <w:trPr>
          <w:trHeight w:val="240"/>
        </w:trPr>
        <w:tc>
          <w:tcPr>
            <w:tcW w:w="2156" w:type="dxa"/>
            <w:vMerge/>
            <w:vAlign w:val="center"/>
          </w:tcPr>
          <w:p w14:paraId="1B804817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235A6E34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Headache</w:t>
            </w:r>
          </w:p>
        </w:tc>
        <w:tc>
          <w:tcPr>
            <w:tcW w:w="1756" w:type="dxa"/>
          </w:tcPr>
          <w:p w14:paraId="5F427E2E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 (20.8%)</w:t>
            </w:r>
          </w:p>
        </w:tc>
      </w:tr>
      <w:tr w:rsidR="0061032D" w14:paraId="5D8EF4C5" w14:textId="77777777">
        <w:trPr>
          <w:trHeight w:val="240"/>
        </w:trPr>
        <w:tc>
          <w:tcPr>
            <w:tcW w:w="2156" w:type="dxa"/>
            <w:vMerge/>
            <w:vAlign w:val="center"/>
          </w:tcPr>
          <w:p w14:paraId="4715805B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1EE9FC00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Seizures</w:t>
            </w:r>
          </w:p>
        </w:tc>
        <w:tc>
          <w:tcPr>
            <w:tcW w:w="1756" w:type="dxa"/>
          </w:tcPr>
          <w:p w14:paraId="117556C8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(6.25%)</w:t>
            </w:r>
          </w:p>
        </w:tc>
      </w:tr>
      <w:tr w:rsidR="0061032D" w14:paraId="34AC98DB" w14:textId="77777777">
        <w:trPr>
          <w:trHeight w:val="240"/>
        </w:trPr>
        <w:tc>
          <w:tcPr>
            <w:tcW w:w="2156" w:type="dxa"/>
            <w:vMerge/>
            <w:vAlign w:val="center"/>
          </w:tcPr>
          <w:p w14:paraId="505119A9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5252380B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Other symptoms</w:t>
            </w:r>
          </w:p>
        </w:tc>
        <w:tc>
          <w:tcPr>
            <w:tcW w:w="1756" w:type="dxa"/>
          </w:tcPr>
          <w:p w14:paraId="373CDB0F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 (35.4)</w:t>
            </w:r>
          </w:p>
        </w:tc>
      </w:tr>
      <w:tr w:rsidR="0061032D" w14:paraId="469BCB47" w14:textId="77777777">
        <w:tc>
          <w:tcPr>
            <w:tcW w:w="4792" w:type="dxa"/>
            <w:gridSpan w:val="2"/>
            <w:vAlign w:val="center"/>
          </w:tcPr>
          <w:p w14:paraId="5C70CB32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Aneurysm expansion/ canalization</w:t>
            </w:r>
          </w:p>
        </w:tc>
        <w:tc>
          <w:tcPr>
            <w:tcW w:w="1756" w:type="dxa"/>
          </w:tcPr>
          <w:p w14:paraId="6E301B7F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  (25%)</w:t>
            </w:r>
          </w:p>
        </w:tc>
      </w:tr>
      <w:tr w:rsidR="0061032D" w14:paraId="13044BBA" w14:textId="77777777">
        <w:trPr>
          <w:trHeight w:val="215"/>
        </w:trPr>
        <w:tc>
          <w:tcPr>
            <w:tcW w:w="2156" w:type="dxa"/>
            <w:vMerge w:val="restart"/>
            <w:vAlign w:val="center"/>
          </w:tcPr>
          <w:p w14:paraId="61D22B3F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Outcome</w:t>
            </w:r>
          </w:p>
        </w:tc>
        <w:tc>
          <w:tcPr>
            <w:tcW w:w="2636" w:type="dxa"/>
            <w:vAlign w:val="center"/>
          </w:tcPr>
          <w:p w14:paraId="56D20287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Decline</w:t>
            </w:r>
          </w:p>
        </w:tc>
        <w:tc>
          <w:tcPr>
            <w:tcW w:w="1756" w:type="dxa"/>
          </w:tcPr>
          <w:p w14:paraId="51B7CB6F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(8.3%)</w:t>
            </w:r>
          </w:p>
        </w:tc>
      </w:tr>
      <w:tr w:rsidR="0061032D" w14:paraId="7DB06E88" w14:textId="77777777">
        <w:trPr>
          <w:trHeight w:val="215"/>
        </w:trPr>
        <w:tc>
          <w:tcPr>
            <w:tcW w:w="2156" w:type="dxa"/>
            <w:vMerge/>
            <w:vAlign w:val="center"/>
          </w:tcPr>
          <w:p w14:paraId="26D9CF5A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0CF46CB1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Improved</w:t>
            </w:r>
          </w:p>
        </w:tc>
        <w:tc>
          <w:tcPr>
            <w:tcW w:w="1756" w:type="dxa"/>
          </w:tcPr>
          <w:p w14:paraId="17FA703C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 (60.41%)</w:t>
            </w:r>
          </w:p>
        </w:tc>
      </w:tr>
      <w:tr w:rsidR="0061032D" w14:paraId="13B514FF" w14:textId="77777777">
        <w:trPr>
          <w:trHeight w:val="215"/>
        </w:trPr>
        <w:tc>
          <w:tcPr>
            <w:tcW w:w="2156" w:type="dxa"/>
            <w:vMerge/>
            <w:vAlign w:val="center"/>
          </w:tcPr>
          <w:p w14:paraId="748D5535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6D0AD18E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Stable</w:t>
            </w:r>
          </w:p>
        </w:tc>
        <w:tc>
          <w:tcPr>
            <w:tcW w:w="1756" w:type="dxa"/>
          </w:tcPr>
          <w:p w14:paraId="531625CD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 (37.5%)</w:t>
            </w:r>
          </w:p>
        </w:tc>
      </w:tr>
      <w:tr w:rsidR="0061032D" w14:paraId="2896BC04" w14:textId="77777777">
        <w:tc>
          <w:tcPr>
            <w:tcW w:w="4792" w:type="dxa"/>
            <w:gridSpan w:val="2"/>
            <w:vAlign w:val="center"/>
          </w:tcPr>
          <w:p w14:paraId="24F34737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Aneurysmal wall enhancement</w:t>
            </w:r>
          </w:p>
        </w:tc>
        <w:tc>
          <w:tcPr>
            <w:tcW w:w="1756" w:type="dxa"/>
          </w:tcPr>
          <w:p w14:paraId="23FFD4E3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 (33.3 %)</w:t>
            </w:r>
          </w:p>
        </w:tc>
      </w:tr>
      <w:tr w:rsidR="0061032D" w14:paraId="1AE27F83" w14:textId="77777777">
        <w:tc>
          <w:tcPr>
            <w:tcW w:w="4792" w:type="dxa"/>
            <w:gridSpan w:val="2"/>
            <w:vAlign w:val="center"/>
          </w:tcPr>
          <w:p w14:paraId="39B7BE18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Post-intervention hydrocephalus</w:t>
            </w:r>
          </w:p>
        </w:tc>
        <w:tc>
          <w:tcPr>
            <w:tcW w:w="1756" w:type="dxa"/>
          </w:tcPr>
          <w:p w14:paraId="590473FC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  (25%)</w:t>
            </w:r>
          </w:p>
        </w:tc>
      </w:tr>
      <w:tr w:rsidR="0061032D" w14:paraId="4688F303" w14:textId="77777777">
        <w:tc>
          <w:tcPr>
            <w:tcW w:w="4792" w:type="dxa"/>
            <w:gridSpan w:val="2"/>
            <w:vAlign w:val="center"/>
          </w:tcPr>
          <w:p w14:paraId="7E428CD1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Parenchymal embedding</w:t>
            </w:r>
          </w:p>
        </w:tc>
        <w:tc>
          <w:tcPr>
            <w:tcW w:w="1756" w:type="dxa"/>
          </w:tcPr>
          <w:p w14:paraId="5A213206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 (50%)</w:t>
            </w:r>
          </w:p>
        </w:tc>
      </w:tr>
      <w:tr w:rsidR="0061032D" w14:paraId="22C85410" w14:textId="77777777">
        <w:trPr>
          <w:trHeight w:val="215"/>
        </w:trPr>
        <w:tc>
          <w:tcPr>
            <w:tcW w:w="2156" w:type="dxa"/>
            <w:vMerge w:val="restart"/>
            <w:vAlign w:val="center"/>
          </w:tcPr>
          <w:p w14:paraId="0EDF83F9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Coil type</w:t>
            </w:r>
          </w:p>
        </w:tc>
        <w:tc>
          <w:tcPr>
            <w:tcW w:w="2636" w:type="dxa"/>
            <w:vAlign w:val="center"/>
          </w:tcPr>
          <w:p w14:paraId="2FD69EAE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Platinum type</w:t>
            </w:r>
          </w:p>
        </w:tc>
        <w:tc>
          <w:tcPr>
            <w:tcW w:w="1756" w:type="dxa"/>
          </w:tcPr>
          <w:p w14:paraId="57924E07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 (64.58%)</w:t>
            </w:r>
          </w:p>
        </w:tc>
      </w:tr>
      <w:tr w:rsidR="0061032D" w14:paraId="31E5C12E" w14:textId="77777777">
        <w:trPr>
          <w:trHeight w:val="215"/>
        </w:trPr>
        <w:tc>
          <w:tcPr>
            <w:tcW w:w="2156" w:type="dxa"/>
            <w:vMerge/>
            <w:vAlign w:val="center"/>
          </w:tcPr>
          <w:p w14:paraId="7A4DA467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0FA90546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highlight w:val="white"/>
              </w:rPr>
              <w:t>Hydrophilic type</w:t>
            </w:r>
          </w:p>
        </w:tc>
        <w:tc>
          <w:tcPr>
            <w:tcW w:w="1756" w:type="dxa"/>
          </w:tcPr>
          <w:p w14:paraId="623BF9A9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5 (10.4%)</w:t>
            </w:r>
          </w:p>
        </w:tc>
      </w:tr>
      <w:tr w:rsidR="0061032D" w14:paraId="780F5913" w14:textId="77777777">
        <w:trPr>
          <w:trHeight w:val="215"/>
        </w:trPr>
        <w:tc>
          <w:tcPr>
            <w:tcW w:w="2156" w:type="dxa"/>
            <w:vMerge/>
            <w:vAlign w:val="center"/>
          </w:tcPr>
          <w:p w14:paraId="5630D40E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2636" w:type="dxa"/>
            <w:vAlign w:val="center"/>
          </w:tcPr>
          <w:p w14:paraId="2A440ED4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Mixed type</w:t>
            </w:r>
          </w:p>
        </w:tc>
        <w:tc>
          <w:tcPr>
            <w:tcW w:w="1756" w:type="dxa"/>
          </w:tcPr>
          <w:p w14:paraId="0FF9AA85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(6.25%)</w:t>
            </w:r>
          </w:p>
        </w:tc>
      </w:tr>
      <w:tr w:rsidR="0061032D" w14:paraId="775C706C" w14:textId="77777777">
        <w:trPr>
          <w:trHeight w:val="162"/>
        </w:trPr>
        <w:tc>
          <w:tcPr>
            <w:tcW w:w="2156" w:type="dxa"/>
            <w:vMerge w:val="restart"/>
            <w:vAlign w:val="center"/>
          </w:tcPr>
          <w:p w14:paraId="7FD926E8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Coiling method</w:t>
            </w:r>
          </w:p>
        </w:tc>
        <w:tc>
          <w:tcPr>
            <w:tcW w:w="2636" w:type="dxa"/>
            <w:vAlign w:val="center"/>
          </w:tcPr>
          <w:p w14:paraId="48B69FF8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Flow diversion</w:t>
            </w:r>
          </w:p>
        </w:tc>
        <w:tc>
          <w:tcPr>
            <w:tcW w:w="1756" w:type="dxa"/>
          </w:tcPr>
          <w:p w14:paraId="2123D984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(8.3%)</w:t>
            </w:r>
          </w:p>
        </w:tc>
      </w:tr>
      <w:tr w:rsidR="0061032D" w14:paraId="485BDEF4" w14:textId="77777777">
        <w:trPr>
          <w:trHeight w:val="161"/>
        </w:trPr>
        <w:tc>
          <w:tcPr>
            <w:tcW w:w="2156" w:type="dxa"/>
            <w:vMerge/>
            <w:vAlign w:val="center"/>
          </w:tcPr>
          <w:p w14:paraId="3051C669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4C3588A1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Balloon assisted coiling</w:t>
            </w:r>
          </w:p>
        </w:tc>
        <w:tc>
          <w:tcPr>
            <w:tcW w:w="1756" w:type="dxa"/>
          </w:tcPr>
          <w:p w14:paraId="3CC76433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 (14.58 %)</w:t>
            </w:r>
          </w:p>
        </w:tc>
      </w:tr>
      <w:tr w:rsidR="0061032D" w14:paraId="493C356E" w14:textId="77777777">
        <w:trPr>
          <w:trHeight w:val="161"/>
        </w:trPr>
        <w:tc>
          <w:tcPr>
            <w:tcW w:w="2156" w:type="dxa"/>
            <w:vMerge/>
            <w:vAlign w:val="center"/>
          </w:tcPr>
          <w:p w14:paraId="07851C19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18939C50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Simple coiling</w:t>
            </w:r>
          </w:p>
        </w:tc>
        <w:tc>
          <w:tcPr>
            <w:tcW w:w="1756" w:type="dxa"/>
          </w:tcPr>
          <w:p w14:paraId="71E06980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 (62.5 %)</w:t>
            </w:r>
          </w:p>
        </w:tc>
      </w:tr>
      <w:tr w:rsidR="0061032D" w14:paraId="6E3A7FC7" w14:textId="77777777">
        <w:trPr>
          <w:trHeight w:val="161"/>
        </w:trPr>
        <w:tc>
          <w:tcPr>
            <w:tcW w:w="2156" w:type="dxa"/>
            <w:vMerge/>
            <w:vAlign w:val="center"/>
          </w:tcPr>
          <w:p w14:paraId="25DAA663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  <w:vAlign w:val="center"/>
          </w:tcPr>
          <w:p w14:paraId="502DED3E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t>Stent assisted coiling</w:t>
            </w:r>
          </w:p>
        </w:tc>
        <w:tc>
          <w:tcPr>
            <w:tcW w:w="1756" w:type="dxa"/>
          </w:tcPr>
          <w:p w14:paraId="0CF35618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 (</w:t>
            </w:r>
            <w:r>
              <w:rPr>
                <w:rFonts w:ascii="Times New Roman" w:eastAsia="Times New Roman" w:hAnsi="Times New Roman" w:cs="Times New Roman"/>
                <w:color w:val="333333"/>
              </w:rPr>
              <w:t>10.41 %)</w:t>
            </w:r>
          </w:p>
        </w:tc>
      </w:tr>
      <w:tr w:rsidR="0061032D" w14:paraId="5629A907" w14:textId="77777777">
        <w:trPr>
          <w:trHeight w:val="423"/>
        </w:trPr>
        <w:tc>
          <w:tcPr>
            <w:tcW w:w="2156" w:type="dxa"/>
            <w:vMerge w:val="restart"/>
            <w:vAlign w:val="center"/>
          </w:tcPr>
          <w:p w14:paraId="5544E3D0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</w:rPr>
              <w:lastRenderedPageBreak/>
              <w:t>Treatment</w:t>
            </w:r>
          </w:p>
        </w:tc>
        <w:tc>
          <w:tcPr>
            <w:tcW w:w="2636" w:type="dxa"/>
            <w:vMerge w:val="restart"/>
          </w:tcPr>
          <w:p w14:paraId="4EE47967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Expectant management</w:t>
            </w:r>
          </w:p>
          <w:p w14:paraId="2E125244" w14:textId="77777777" w:rsidR="0061032D" w:rsidRDefault="0061032D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</w:p>
          <w:p w14:paraId="0FEAB91F" w14:textId="77777777" w:rsidR="0061032D" w:rsidRDefault="0061032D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</w:p>
        </w:tc>
        <w:tc>
          <w:tcPr>
            <w:tcW w:w="1756" w:type="dxa"/>
            <w:vMerge w:val="restart"/>
            <w:vAlign w:val="center"/>
          </w:tcPr>
          <w:p w14:paraId="3ACC9980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17 (35.41 %)</w:t>
            </w:r>
          </w:p>
        </w:tc>
      </w:tr>
      <w:tr w:rsidR="0061032D" w14:paraId="3EFF014A" w14:textId="77777777">
        <w:trPr>
          <w:trHeight w:val="317"/>
        </w:trPr>
        <w:tc>
          <w:tcPr>
            <w:tcW w:w="2156" w:type="dxa"/>
            <w:vMerge/>
            <w:vAlign w:val="center"/>
          </w:tcPr>
          <w:p w14:paraId="1746501B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333333"/>
              </w:rPr>
            </w:pPr>
          </w:p>
        </w:tc>
        <w:tc>
          <w:tcPr>
            <w:tcW w:w="2636" w:type="dxa"/>
            <w:vMerge/>
          </w:tcPr>
          <w:p w14:paraId="7F7BD81F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333333"/>
              </w:rPr>
            </w:pPr>
          </w:p>
        </w:tc>
        <w:tc>
          <w:tcPr>
            <w:tcW w:w="1756" w:type="dxa"/>
            <w:vMerge/>
            <w:vAlign w:val="center"/>
          </w:tcPr>
          <w:p w14:paraId="4D1F25EE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333333"/>
              </w:rPr>
            </w:pPr>
          </w:p>
        </w:tc>
      </w:tr>
      <w:tr w:rsidR="0061032D" w14:paraId="4FD3289A" w14:textId="77777777">
        <w:trPr>
          <w:trHeight w:val="161"/>
        </w:trPr>
        <w:tc>
          <w:tcPr>
            <w:tcW w:w="2156" w:type="dxa"/>
            <w:vMerge/>
            <w:vAlign w:val="center"/>
          </w:tcPr>
          <w:p w14:paraId="57E147F4" w14:textId="77777777" w:rsidR="0061032D" w:rsidRDefault="006103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333333"/>
              </w:rPr>
            </w:pPr>
          </w:p>
        </w:tc>
        <w:tc>
          <w:tcPr>
            <w:tcW w:w="2636" w:type="dxa"/>
          </w:tcPr>
          <w:p w14:paraId="78922DD5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Steroids</w:t>
            </w:r>
          </w:p>
        </w:tc>
        <w:tc>
          <w:tcPr>
            <w:tcW w:w="1756" w:type="dxa"/>
            <w:vAlign w:val="center"/>
          </w:tcPr>
          <w:p w14:paraId="1AF54E8D" w14:textId="77777777" w:rsidR="0061032D" w:rsidRDefault="00000000">
            <w:pPr>
              <w:jc w:val="both"/>
              <w:rPr>
                <w:rFonts w:ascii="Times New Roman" w:eastAsia="Times New Roman" w:hAnsi="Times New Roman" w:cs="Times New Roman"/>
                <w:color w:val="333333"/>
              </w:rPr>
            </w:pPr>
            <w:r>
              <w:rPr>
                <w:rFonts w:ascii="Times New Roman" w:eastAsia="Times New Roman" w:hAnsi="Times New Roman" w:cs="Times New Roman"/>
                <w:color w:val="333333"/>
              </w:rPr>
              <w:t>14 (29.16)</w:t>
            </w:r>
          </w:p>
        </w:tc>
      </w:tr>
    </w:tbl>
    <w:p w14:paraId="72C96A51" w14:textId="77777777" w:rsidR="0061032D" w:rsidRDefault="0061032D">
      <w:pPr>
        <w:spacing w:before="280" w:after="280" w:line="240" w:lineRule="auto"/>
        <w:rPr>
          <w:rFonts w:ascii="Times New Roman" w:eastAsia="Times New Roman" w:hAnsi="Times New Roman" w:cs="Times New Roman"/>
        </w:rPr>
      </w:pPr>
    </w:p>
    <w:p w14:paraId="3400A57B" w14:textId="77777777" w:rsidR="0061032D" w:rsidRDefault="0061032D">
      <w:pPr>
        <w:spacing w:before="280" w:after="280" w:line="240" w:lineRule="auto"/>
        <w:rPr>
          <w:rFonts w:ascii="Times New Roman" w:eastAsia="Times New Roman" w:hAnsi="Times New Roman" w:cs="Times New Roman"/>
        </w:rPr>
      </w:pPr>
    </w:p>
    <w:p w14:paraId="17D9237F" w14:textId="77777777" w:rsidR="0061032D" w:rsidRDefault="0061032D">
      <w:pPr>
        <w:spacing w:before="280" w:after="280" w:line="240" w:lineRule="auto"/>
        <w:rPr>
          <w:rFonts w:ascii="Times New Roman" w:eastAsia="Times New Roman" w:hAnsi="Times New Roman" w:cs="Times New Roman"/>
        </w:rPr>
      </w:pPr>
    </w:p>
    <w:p w14:paraId="00338161" w14:textId="77777777" w:rsidR="0061032D" w:rsidRDefault="00000000">
      <w:pPr>
        <w:spacing w:before="280" w:after="28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Table 2: </w:t>
      </w:r>
      <w:r>
        <w:rPr>
          <w:rFonts w:ascii="Times New Roman" w:eastAsia="Times New Roman" w:hAnsi="Times New Roman" w:cs="Times New Roman"/>
        </w:rPr>
        <w:t>This table summarizes our included studies.</w:t>
      </w:r>
    </w:p>
    <w:sdt>
      <w:sdtPr>
        <w:tag w:val="goog_rdk_0"/>
        <w:id w:val="110787781"/>
        <w:lock w:val="contentLocked"/>
      </w:sdtPr>
      <w:sdtContent>
        <w:tbl>
          <w:tblPr>
            <w:tblStyle w:val="a4"/>
            <w:tblW w:w="12345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1125"/>
            <w:gridCol w:w="450"/>
            <w:gridCol w:w="1320"/>
            <w:gridCol w:w="1050"/>
            <w:gridCol w:w="915"/>
            <w:gridCol w:w="780"/>
            <w:gridCol w:w="480"/>
            <w:gridCol w:w="2055"/>
            <w:gridCol w:w="1050"/>
            <w:gridCol w:w="3120"/>
          </w:tblGrid>
          <w:tr w:rsidR="0061032D" w14:paraId="15CA4AEE" w14:textId="77777777">
            <w:trPr>
              <w:trHeight w:val="240"/>
            </w:trPr>
            <w:tc>
              <w:tcPr>
                <w:tcW w:w="112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2F7093B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Authors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6A29EF9A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Age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D9E6F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Aneurysm location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737FAEB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Aneurysm size median/mm</w:t>
                </w:r>
              </w:p>
            </w:tc>
            <w:tc>
              <w:tcPr>
                <w:tcW w:w="2175" w:type="dxa"/>
                <w:gridSpan w:val="3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5F43E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Types of coils used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5BDCF0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MRI features suggestive of perianeurysm edema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BB7FD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C/P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D24BF4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F/U</w:t>
                </w:r>
              </w:p>
            </w:tc>
          </w:tr>
          <w:tr w:rsidR="0061032D" w14:paraId="79CF08DC" w14:textId="77777777">
            <w:trPr>
              <w:trHeight w:val="1814"/>
            </w:trPr>
            <w:tc>
              <w:tcPr>
                <w:tcW w:w="112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CA93AEC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Craven I et al 2009 [3]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53461486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51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28E39A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L MCA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6545FDB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7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922B3E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Platinum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5CE37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D8EFC5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733A3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</w:rPr>
                  <w:t>Ill-defined increased T2 signal intensity surrounding the aneurysm with contiguous extension into the external capsule and temporal strut,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8E55E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Seizures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1B82890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  <w:color w:val="2D3139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</w:rPr>
                  <w:t>One year follow up MRI showed a near-total resolution of the perianeurysmal edema</w:t>
                </w:r>
              </w:p>
            </w:tc>
          </w:tr>
          <w:tr w:rsidR="0061032D" w14:paraId="123C51D7" w14:textId="77777777">
            <w:trPr>
              <w:trHeight w:val="1253"/>
            </w:trPr>
            <w:tc>
              <w:tcPr>
                <w:tcW w:w="1125" w:type="dxa"/>
                <w:vMerge w:val="restart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693D8C9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 xml:space="preserve">White JB 2007 [11] 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40F04A0C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73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D557C9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R VA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399523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</w:rPr>
                  <w:t xml:space="preserve"> 17 × 17 × 15 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F506D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Platinum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2152D2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729F2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4FFDB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  <w:highlight w:val="white"/>
                  </w:rPr>
                </w:pPr>
                <w:r>
                  <w:rPr>
                    <w:rFonts w:ascii="Times New Roman" w:eastAsia="Times New Roman" w:hAnsi="Times New Roman" w:cs="Times New Roman"/>
                    <w:highlight w:val="white"/>
                  </w:rPr>
                  <w:t xml:space="preserve"> Axial flare MR image showing edema within the brain stem adjacent to the coiled aneurysm.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8C56D4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</w:rPr>
                  <w:t xml:space="preserve">Headache, dysequilibrium, abducens palsy, and internuclear ophthalmoplegia. 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8FE638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  <w:highlight w:val="white"/>
                  </w:rPr>
                  <w:t>Neurologic status continued to decline</w:t>
                </w:r>
              </w:p>
            </w:tc>
          </w:tr>
          <w:tr w:rsidR="0061032D" w14:paraId="41350791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F1C4FE4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6C31ACCD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55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8BF1F8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</w:rPr>
                  <w:t>Basilar apex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672A071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</w:rPr>
                  <w:t>13 × 10 × 9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25DDC6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Platinum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5DD7BB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CDEFD1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9FE91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  <w:highlight w:val="white"/>
                  </w:rPr>
                </w:pPr>
                <w:r>
                  <w:rPr>
                    <w:rFonts w:ascii="Times New Roman" w:eastAsia="Times New Roman" w:hAnsi="Times New Roman" w:cs="Times New Roman"/>
                    <w:highlight w:val="white"/>
                  </w:rPr>
                  <w:t xml:space="preserve"> Axial flare MR image showing edema within the brain stem adjacent to the coiled aneurysm.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BD143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</w:rPr>
                  <w:t>Hypersomnolence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6BDFA3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  <w:highlight w:val="white"/>
                  </w:rPr>
                  <w:t>Improved</w:t>
                </w:r>
              </w:p>
            </w:tc>
          </w:tr>
          <w:tr w:rsidR="0061032D" w14:paraId="4E7C6FA8" w14:textId="77777777">
            <w:trPr>
              <w:trHeight w:val="440"/>
            </w:trPr>
            <w:tc>
              <w:tcPr>
                <w:tcW w:w="1125" w:type="dxa"/>
                <w:vMerge w:val="restart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A701B9F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Takeshita T 2013 [23]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29E0635A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48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0503D3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Basilar bifurcation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4148AEA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60664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Platinum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9407B1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BE541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5AD5F3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FLAIR signal in the brain stem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72B48F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29A8F6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FLAIR showed worsening edema and a second embolization was done</w:t>
                </w:r>
              </w:p>
            </w:tc>
          </w:tr>
          <w:tr w:rsidR="0061032D" w14:paraId="7483E7C0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6D468EF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6DCA57B0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48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692E3F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Basilar bifurcation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4C412DD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893FA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B5C486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537E8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Mixed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42AB1D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FLAIR signal in the brain stem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4F5CEB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508FAA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FLAIR showed worsening edema and a third embolization was done</w:t>
                </w:r>
              </w:p>
            </w:tc>
          </w:tr>
          <w:tr w:rsidR="0061032D" w14:paraId="643E885D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35E94EF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5E8442C1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48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1301CD38" w14:textId="77777777" w:rsidR="0061032D" w:rsidRDefault="00000000">
                <w:pPr>
                  <w:widowControl w:val="0"/>
                  <w:ind w:left="-2100" w:right="-210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Basilar bifurcation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472A8E6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6A69E1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 Platinum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10C0F4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6B2193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97E1C5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FLAIR signal in the brain stem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611EDE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8DF940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FLAIR showed a slight improvement of the edema after 3rd embolization</w:t>
                </w:r>
              </w:p>
            </w:tc>
          </w:tr>
          <w:tr w:rsidR="0061032D" w14:paraId="06D1A3A2" w14:textId="77777777">
            <w:tc>
              <w:tcPr>
                <w:tcW w:w="112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E023DFD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Vu Dang L 2009 [31]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4710E375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46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F2E37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Rt 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1A0CE52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C1024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125 Axium Coils, 5 Guglielmi 2 Microplex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681659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D22244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1D5640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FLAIR signal in the temporal lobe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6BEE1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Seizures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989D2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1F1F1F"/>
                  </w:rPr>
                  <w:t>Follow-up MRI with contrast 6 months post-embolization showed a significant decrease of the perianeurysmal edema and a thin enhancement of the aneurysmal wall</w:t>
                </w:r>
              </w:p>
            </w:tc>
          </w:tr>
          <w:tr w:rsidR="0061032D" w14:paraId="3D8A1EA9" w14:textId="77777777">
            <w:tc>
              <w:tcPr>
                <w:tcW w:w="112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37F35D3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Misaki K, 2010 [32]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240AD6E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69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64A1D4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Lt 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14519E6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18.8×16.1×15.3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A36DA6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15 Guglielmi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65FE2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D422B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44ACB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</w:rPr>
                  <w:t xml:space="preserve">6th day post embolization MRI showed vessel wall enhancement and perianeurysmal edema.  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A1862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Gait disturbances, urinary loss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11A3373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Edema disappeared 3 m after treatment</w:t>
                </w:r>
              </w:p>
            </w:tc>
          </w:tr>
          <w:tr w:rsidR="0061032D" w14:paraId="4D8C8B5B" w14:textId="77777777">
            <w:tc>
              <w:tcPr>
                <w:tcW w:w="112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6C6FF86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lastRenderedPageBreak/>
                  <w:t>Kobayashi H, 2022 [33]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4B45B87B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77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CC329D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</w:rPr>
                  <w:t>Lt PICA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7627F65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</w:rPr>
                  <w:t>11.5 × 12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6214E8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6CE676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762F7C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Mixed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C92B4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FLAIR</w:t>
                </w:r>
              </w:p>
              <w:p w14:paraId="728EC27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 xml:space="preserve"> signal in the left medulla oblongata on 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9C6865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01C023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</w:rPr>
                  <w:t xml:space="preserve"> Perianeurysmal edema gradually changed into a perianeurysmal cyst over 3 years</w:t>
                </w:r>
              </w:p>
            </w:tc>
          </w:tr>
          <w:tr w:rsidR="0061032D" w14:paraId="4712F928" w14:textId="77777777">
            <w:tc>
              <w:tcPr>
                <w:tcW w:w="112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3CB0A70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Robinson AE 2018 [22].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F5C2D86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72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E4B486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R MCA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926097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</w:rPr>
                  <w:t>9.7  x 8.2 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344DBF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Platinum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3B84BA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3A4DB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7C4110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</w:rPr>
                  <w:t>3 cm diameter area of non-enhancing low attenuation surrounding the aneurysm with a minimal mass effect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7CD325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Headache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46124CA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  <w:color w:val="212121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</w:rPr>
                  <w:t>MRI and MRA over the next 6 years showed progressive increase in the vasogenic oedema with associated mild mass effect within the right temporal lobe</w:t>
                </w:r>
              </w:p>
            </w:tc>
          </w:tr>
          <w:tr w:rsidR="0061032D" w14:paraId="4D2EF970" w14:textId="77777777">
            <w:trPr>
              <w:trHeight w:val="440"/>
            </w:trPr>
            <w:tc>
              <w:tcPr>
                <w:tcW w:w="1125" w:type="dxa"/>
                <w:vMerge w:val="restart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DED5B9B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Cruz JP 2014 [34]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55E02E9C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71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6906B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AcomA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1C327CF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F18A5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Platinum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856022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69E63D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vMerge w:val="restart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6A2E97" w14:textId="77777777" w:rsidR="0061032D" w:rsidRDefault="00000000">
                <w:pPr>
                  <w:widowControl w:val="0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</w:rPr>
                  <w:t xml:space="preserve"> The size of the lesions ranged from 2–20 mm in diameter. Most lesions showed solid enhancement. Rim enhancement was seen only in lesions larger than 5 mm</w:t>
                </w:r>
              </w:p>
              <w:p w14:paraId="158A22C3" w14:textId="77777777" w:rsidR="0061032D" w:rsidRDefault="0061032D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F64466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Seizure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ED42F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Lesions increased in number</w:t>
                </w:r>
              </w:p>
            </w:tc>
          </w:tr>
          <w:tr w:rsidR="0061032D" w14:paraId="61B57DBC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241355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69066EF4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32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6DB86F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AcomA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1ED69DE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73B84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1, PGA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4703E3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10FFBC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vMerge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3AF0C9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3433A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Gait disturbances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AE3F0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Lesions increased in number</w:t>
                </w:r>
              </w:p>
            </w:tc>
          </w:tr>
          <w:tr w:rsidR="0061032D" w14:paraId="38AB5560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AA56EFD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079FA3A6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45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255D29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MCA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017C1EE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B9708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Platinum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21F069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4CDDD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vMerge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EE7FA94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84E40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Arm weakness, speech disturbance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2C6F0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Stable</w:t>
                </w:r>
              </w:p>
            </w:tc>
          </w:tr>
          <w:tr w:rsidR="0061032D" w14:paraId="11DF2EFA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FF71FD0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668C4387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51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07917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Basilar tip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73658DD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FFC06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Platinum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3862CE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D74835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vMerge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DE6A29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49B4F0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34B3B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Resolved</w:t>
                </w:r>
              </w:p>
            </w:tc>
          </w:tr>
          <w:tr w:rsidR="0061032D" w14:paraId="2D4F9105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A19E8D7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0F06468B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51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CCEC1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1689B43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BD2E8F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253FF67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21DE150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2055" w:type="dxa"/>
                <w:vMerge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FDAA947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29CF7E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ADF8DC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Lesions decreased in number</w:t>
                </w:r>
              </w:p>
            </w:tc>
          </w:tr>
          <w:tr w:rsidR="0061032D" w14:paraId="15C8DEED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07B3259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71476FBF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54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96F66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2677F61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328589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DDBBEA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22EA53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vMerge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28471C4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E0D36A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BF7A02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Lesions decreased in number</w:t>
                </w:r>
              </w:p>
            </w:tc>
          </w:tr>
          <w:tr w:rsidR="0061032D" w14:paraId="3C7C7B51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61CF83F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06C7409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51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AC4D5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MCA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2C20EFA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696D81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Platinum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3EC14C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2E6529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vMerge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FB3018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770B5E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FF26B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Lesions decreased in number</w:t>
                </w:r>
              </w:p>
            </w:tc>
          </w:tr>
          <w:tr w:rsidR="0061032D" w14:paraId="30BD013B" w14:textId="77777777">
            <w:trPr>
              <w:trHeight w:val="440"/>
            </w:trPr>
            <w:tc>
              <w:tcPr>
                <w:tcW w:w="1125" w:type="dxa"/>
                <w:vMerge w:val="restart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E93A78C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Pickett GE 2007 [35]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518F6686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56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5CF32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Lt ophthalmic artery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59E8FC2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25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1E4DF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Platinum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A1E8D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Hydrocoil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6ED12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2B5ABCD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  <w:color w:val="232323"/>
                  </w:rPr>
                </w:pPr>
                <w:r>
                  <w:rPr>
                    <w:rFonts w:ascii="Times New Roman" w:eastAsia="Times New Roman" w:hAnsi="Times New Roman" w:cs="Times New Roman"/>
                    <w:color w:val="232323"/>
                  </w:rPr>
                  <w:t>MRI showed irregularly enhancing left frontal lobe mass in continuity with the coil ball and significant surrounding edema.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0AEE0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Headache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65595FC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  <w:color w:val="333333"/>
                  </w:rPr>
                </w:pPr>
                <w:r>
                  <w:rPr>
                    <w:rFonts w:ascii="Times New Roman" w:eastAsia="Times New Roman" w:hAnsi="Times New Roman" w:cs="Times New Roman"/>
                    <w:color w:val="333333"/>
                  </w:rPr>
                  <w:t xml:space="preserve"> Resolution of the left frontal lobe lesion, although persistent enhancement remained in the wall of the coil ball</w:t>
                </w:r>
              </w:p>
            </w:tc>
          </w:tr>
          <w:tr w:rsidR="0061032D" w14:paraId="3BBAB6F6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DE51264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  <w:color w:val="333333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7FF7DFD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55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F912FD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Rt ophthalmic artery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5FE46E1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20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961652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Platinum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71F3A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Hydrocoil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69D959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68019E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333333"/>
                  </w:rPr>
                  <w:t xml:space="preserve">MRI showed  a partial recanalization at the neck and increased abnormal T2-weighted signal around the aneurysm, which extended posteriorly along the optic tract 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B6F2D5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Vision field affection and headache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32ACB0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Vision remained profoundly impaired 6 months after the procedure. Repeat MRI scans demonstrated partial recanalization at the neck and increased abnormal T2-weighted signal around the aneurysm</w:t>
                </w:r>
              </w:p>
            </w:tc>
          </w:tr>
          <w:tr w:rsidR="0061032D" w14:paraId="674BDD64" w14:textId="77777777">
            <w:tc>
              <w:tcPr>
                <w:tcW w:w="112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509CDCB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Marden FA 2008 [36]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642890BA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27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345215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Lt 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0E1BC99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6</w:t>
                </w:r>
                <w:r>
                  <w:rPr>
                    <w:rFonts w:ascii="Times New Roman" w:eastAsia="Times New Roman" w:hAnsi="Times New Roman" w:cs="Times New Roman"/>
                    <w:color w:val="2D3139"/>
                  </w:rPr>
                  <w:t xml:space="preserve"> ×</w:t>
                </w:r>
                <w:r>
                  <w:rPr>
                    <w:rFonts w:ascii="Times New Roman" w:eastAsia="Times New Roman" w:hAnsi="Times New Roman" w:cs="Times New Roman"/>
                  </w:rPr>
                  <w:t>6</w:t>
                </w:r>
                <w:r>
                  <w:rPr>
                    <w:rFonts w:ascii="Times New Roman" w:eastAsia="Times New Roman" w:hAnsi="Times New Roman" w:cs="Times New Roman"/>
                    <w:color w:val="2D3139"/>
                  </w:rPr>
                  <w:t xml:space="preserve"> ×</w:t>
                </w:r>
                <w:r>
                  <w:rPr>
                    <w:rFonts w:ascii="Times New Roman" w:eastAsia="Times New Roman" w:hAnsi="Times New Roman" w:cs="Times New Roman"/>
                  </w:rPr>
                  <w:t xml:space="preserve"> 8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B10687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 Matrix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F837A5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F9136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6B22C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 xml:space="preserve">Hyperintense T2-weighted signal adjacent to the aneurysm, suggestive of perianeurysmal edema. The corresponding region on the DWI was unremarkable. T1- weighted images showed a thin rim of hyperintense signal along the aneurysm wall. 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7822E30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Numbness and tingling of the distal right upper extremity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6D6C1AC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MRI examinations after 5 months, revealed hyperintenseT2-weighted signal suggested the perianeurysmal edema had resolved. A thin rim of hyperintenseT1-weighted signal remained along the dome of the aneurysm.</w:t>
                </w:r>
              </w:p>
            </w:tc>
          </w:tr>
          <w:tr w:rsidR="0061032D" w14:paraId="679B53E4" w14:textId="77777777">
            <w:trPr>
              <w:trHeight w:val="440"/>
            </w:trPr>
            <w:tc>
              <w:tcPr>
                <w:tcW w:w="1125" w:type="dxa"/>
                <w:vMerge w:val="restart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4793FD5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Horie N et al [6] 2007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1A92CDE9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27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CF21CF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Lt 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F4E07D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F8FDAB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Platinum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CC5570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A846C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vMerge w:val="restart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7B0836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 xml:space="preserve">High signal intensity was observed in the </w:t>
                </w:r>
                <w:r>
                  <w:rPr>
                    <w:rFonts w:ascii="Times New Roman" w:eastAsia="Times New Roman" w:hAnsi="Times New Roman" w:cs="Times New Roman"/>
                  </w:rPr>
                  <w:lastRenderedPageBreak/>
                  <w:t>perianeurysmal region on T2-weighted images, but no signal change was evident on diffusion weighted imaging</w:t>
                </w:r>
              </w:p>
              <w:p w14:paraId="59AE065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Gd enhanced spoiled gradient echo imaging demonstrated en- hancement of the aneurysm wall, which was not visible on non enhanced T1-weighted images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3553F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lastRenderedPageBreak/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0CE27B2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 xml:space="preserve">A follow-up MRI study performed 18 months after treatment showed marked </w:t>
                </w:r>
                <w:r>
                  <w:rPr>
                    <w:rFonts w:ascii="Times New Roman" w:eastAsia="Times New Roman" w:hAnsi="Times New Roman" w:cs="Times New Roman"/>
                  </w:rPr>
                  <w:lastRenderedPageBreak/>
                  <w:t>improvement of the edema.</w:t>
                </w:r>
              </w:p>
            </w:tc>
          </w:tr>
          <w:tr w:rsidR="0061032D" w14:paraId="5A10350A" w14:textId="77777777">
            <w:trPr>
              <w:trHeight w:val="2456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CEE5208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6DCDCE93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72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7ADD2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Basilar bifurcation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038315D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15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E95F1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1F2304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33DB3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2055" w:type="dxa"/>
                <w:vMerge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76E376F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515E5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Motor weakness and speech problems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0E9DE2B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At 24 months after treatment the edema improved markedly.</w:t>
                </w:r>
              </w:p>
            </w:tc>
          </w:tr>
          <w:tr w:rsidR="0061032D" w14:paraId="33FF40EE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ACFAC4E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4C1206D9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73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A9D9CD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ICA bifurcation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B97583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16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820544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Platinum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4F06C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C312D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vMerge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3B5F408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65FA66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6E7FB2E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After one year of treatment,  the edema markedly improved</w:t>
                </w:r>
              </w:p>
            </w:tc>
          </w:tr>
          <w:tr w:rsidR="0061032D" w14:paraId="582FDE96" w14:textId="77777777">
            <w:tc>
              <w:tcPr>
                <w:tcW w:w="112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26AAB6C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Casey Spinelli 2022 [37]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13F3A95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78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B732A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ICA bifurcation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4C1E35C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15 ×14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E023E0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13775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0D6907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271C85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1F1F1F"/>
                  </w:rPr>
                  <w:t xml:space="preserve">(FLAIR) hyperintensity suggestive of perianeurysmal edema on the adjacent </w:t>
                </w:r>
                <w:hyperlink r:id="rId8">
                  <w:r>
                    <w:rPr>
                      <w:rFonts w:ascii="Times New Roman" w:eastAsia="Times New Roman" w:hAnsi="Times New Roman" w:cs="Times New Roman"/>
                      <w:color w:val="1F1F1F"/>
                    </w:rPr>
                    <w:t>basal ganglia</w:t>
                  </w:r>
                </w:hyperlink>
                <w:r>
                  <w:rPr>
                    <w:rFonts w:ascii="Times New Roman" w:eastAsia="Times New Roman" w:hAnsi="Times New Roman" w:cs="Times New Roman"/>
                    <w:color w:val="1F1F1F"/>
                  </w:rPr>
                  <w:t xml:space="preserve"> and </w:t>
                </w:r>
                <w:hyperlink r:id="rId9">
                  <w:r>
                    <w:rPr>
                      <w:rFonts w:ascii="Times New Roman" w:eastAsia="Times New Roman" w:hAnsi="Times New Roman" w:cs="Times New Roman"/>
                      <w:color w:val="1F1F1F"/>
                    </w:rPr>
                    <w:t>thalamus</w:t>
                  </w:r>
                </w:hyperlink>
                <w:r>
                  <w:rPr>
                    <w:rFonts w:ascii="Times New Roman" w:eastAsia="Times New Roman" w:hAnsi="Times New Roman" w:cs="Times New Roman"/>
                  </w:rPr>
                  <w:t xml:space="preserve"> with optic chiasm compression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21F0BD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Progressive vision loss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16225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Resolved</w:t>
                </w:r>
              </w:p>
            </w:tc>
          </w:tr>
          <w:tr w:rsidR="0061032D" w14:paraId="4937D15E" w14:textId="77777777">
            <w:trPr>
              <w:trHeight w:val="440"/>
            </w:trPr>
            <w:tc>
              <w:tcPr>
                <w:tcW w:w="1125" w:type="dxa"/>
                <w:vMerge w:val="restart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F7AF3D0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Su IC 2014 [4]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6AE84BC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CB0DE1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Terminal 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584645C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AEF6FC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EA1187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535476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8012C1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Vessel wall enhancement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005108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D57B7E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Resolved</w:t>
                </w:r>
              </w:p>
            </w:tc>
          </w:tr>
          <w:tr w:rsidR="0061032D" w14:paraId="0F9088DE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D67EDEB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171F4A5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67453C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Terminal 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57C0025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C27A5A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0A681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247CFD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FE09C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Vessel wall enhancement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7CA15D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EB4F7B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stable</w:t>
                </w:r>
              </w:p>
            </w:tc>
          </w:tr>
          <w:tr w:rsidR="0061032D" w14:paraId="434F296B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6DF6E83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49F647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DE110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Terminal 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1F3F432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9002FA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31A0A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ED890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AEA15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Vessel wall enhancement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A70719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6C3097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Resolved</w:t>
                </w:r>
              </w:p>
            </w:tc>
          </w:tr>
          <w:tr w:rsidR="0061032D" w14:paraId="1EEF9410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EF4CC21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2047FB2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7B205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Terminal 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0293CE1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57370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BE7EBF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B54C92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B50C1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Vessel wall enhancement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29DE08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DBBF69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Resolved</w:t>
                </w:r>
              </w:p>
            </w:tc>
          </w:tr>
          <w:tr w:rsidR="0061032D" w14:paraId="11BEE47D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80FECCC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45FC36C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CE8D5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Ophthalmic artery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4A11380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9EE39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78D240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AB8E5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C804DC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Vessel wall enhancement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34077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40FEB3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stable</w:t>
                </w:r>
              </w:p>
            </w:tc>
          </w:tr>
          <w:tr w:rsidR="0061032D" w14:paraId="223DD914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3504488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19620D4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A4C1B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Ophthalmic artery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08A7C68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776C12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DC551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CB983D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02935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Vessel wall enhancement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DB1CB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DEA57F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Resolved</w:t>
                </w:r>
              </w:p>
            </w:tc>
          </w:tr>
          <w:tr w:rsidR="0061032D" w14:paraId="710C083D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9BDA437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B51A48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46229581" w14:textId="77777777" w:rsidR="0061032D" w:rsidRDefault="00000000">
                <w:pPr>
                  <w:widowControl w:val="0"/>
                  <w:ind w:left="-2100" w:right="-210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MCA bifurcation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7CE5F5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32D430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A71785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E22E47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A4B7C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2B067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2A3CD6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stable</w:t>
                </w:r>
              </w:p>
            </w:tc>
          </w:tr>
          <w:tr w:rsidR="0061032D" w14:paraId="7EA5844E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5A4F6DB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549F229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FE345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Basilar tip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6E2B171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621C8C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91FC0F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3AEC0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7D544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Vessel wall enhancement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818220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DE63B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</w:tr>
          <w:tr w:rsidR="0061032D" w14:paraId="68554B14" w14:textId="77777777">
            <w:trPr>
              <w:trHeight w:val="460"/>
            </w:trPr>
            <w:tc>
              <w:tcPr>
                <w:tcW w:w="1125" w:type="dxa"/>
                <w:vMerge w:val="restart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ED19016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Zammit A et al 2022 [27]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8915743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68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ACD72D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Terminal 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76BA8EB8" w14:textId="77777777" w:rsidR="0061032D" w:rsidRDefault="0061032D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E021E0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246F60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59D57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C5E3AE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  <w:highlight w:val="white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 xml:space="preserve">T2 hyperintense signal showing </w:t>
                </w:r>
                <w:r>
                  <w:rPr>
                    <w:rFonts w:ascii="Times New Roman" w:eastAsia="Times New Roman" w:hAnsi="Times New Roman" w:cs="Times New Roman"/>
                    <w:highlight w:val="white"/>
                  </w:rPr>
                  <w:t>development of progressive oedema and progressive enlargement of cystic spaces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606642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3CAA1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  <w:highlight w:val="white"/>
                  </w:rPr>
                  <w:t>21–119 months post-initial embolisation demonstrate the development of progressive oedema and progressive enlargement of cystic spaces, the largest measuring 3.5 ​cm and stabilizing at 100 months without evidence of additional growth</w:t>
                </w:r>
              </w:p>
            </w:tc>
          </w:tr>
          <w:tr w:rsidR="0061032D" w14:paraId="43175069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B2E369A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26F180D9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61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E8C29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Lt 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117D4EA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20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F3F40E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AA78E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EDD1C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494685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 xml:space="preserve">T2 hyperintense signal showing </w:t>
                </w:r>
                <w:r>
                  <w:rPr>
                    <w:rFonts w:ascii="Times New Roman" w:eastAsia="Times New Roman" w:hAnsi="Times New Roman" w:cs="Times New Roman"/>
                    <w:highlight w:val="white"/>
                  </w:rPr>
                  <w:t>development of progressive oedema and progressive enlargement of cystic spaces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730D1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Asymptomatic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CB375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Stable</w:t>
                </w:r>
              </w:p>
            </w:tc>
          </w:tr>
          <w:tr w:rsidR="0061032D" w14:paraId="7ECE7EFC" w14:textId="77777777">
            <w:tc>
              <w:tcPr>
                <w:tcW w:w="112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074A861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Stracke CP et al 2007 [38]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466C8215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46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C7286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Lt 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2651FC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</w:rPr>
                  <w:t>11 × 9 × 8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C7FF50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3E7ACB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9D9B18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5F7CB26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highlight w:val="white"/>
                  </w:rPr>
                  <w:t xml:space="preserve">T2 images show edema in both optic tracts and thickening and signal-intensity elevation in the right optic nerve and chiasm. T1-weighted </w:t>
                </w:r>
                <w:r>
                  <w:rPr>
                    <w:rFonts w:ascii="Times New Roman" w:eastAsia="Times New Roman" w:hAnsi="Times New Roman" w:cs="Times New Roman"/>
                    <w:highlight w:val="white"/>
                  </w:rPr>
                  <w:lastRenderedPageBreak/>
                  <w:t>post contrast image shows enhancement at the rim of the aneurysm and the chiasm</w:t>
                </w:r>
                <w:r>
                  <w:rPr>
                    <w:rFonts w:ascii="Times New Roman" w:eastAsia="Times New Roman" w:hAnsi="Times New Roman" w:cs="Times New Roman"/>
                    <w:shd w:val="clear" w:color="auto" w:fill="FFFCF0"/>
                  </w:rPr>
                  <w:t xml:space="preserve">. 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DD601B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lastRenderedPageBreak/>
                  <w:t xml:space="preserve">Loss of vision 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260DE9C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  <w:color w:val="2D3139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</w:rPr>
                  <w:t>MR imaging 9 days after the intervention showed a nearly complete regression of chiasmal swelling</w:t>
                </w:r>
              </w:p>
            </w:tc>
          </w:tr>
          <w:tr w:rsidR="0061032D" w14:paraId="6B915C46" w14:textId="77777777">
            <w:trPr>
              <w:trHeight w:val="440"/>
            </w:trPr>
            <w:tc>
              <w:tcPr>
                <w:tcW w:w="1125" w:type="dxa"/>
                <w:vMerge w:val="restart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2EA87E0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Marchan EM et al 2008 [39]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0A6B7FCF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46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912DD1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PCoA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43B8EB1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</w:rPr>
                  <w:t>15 ×13 ×10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81E9CA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 Matrix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96BA1D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Hydrocoil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2C3DF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951576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924F2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Headache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7F34B0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</w:tr>
          <w:tr w:rsidR="0061032D" w14:paraId="6BFB2A12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28DCD62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550D0E6E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64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0EF660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Basilar tip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2B2A131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</w:rPr>
                  <w:t>7 ×6 ×7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2BB05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F183ED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Hydrocoil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0306E8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D0D7E3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AF2AB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Headache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007880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</w:tr>
          <w:tr w:rsidR="0061032D" w14:paraId="7A6AC939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D89DC2B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4CD01930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71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6632FC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Basilar tip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062D1AB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9 ×7 ×8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65EEF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08E2EF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Hydrocoil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9AC5F0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C7145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653F2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Headache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348F5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NM</w:t>
                </w:r>
              </w:p>
            </w:tc>
          </w:tr>
          <w:tr w:rsidR="0061032D" w14:paraId="56544D27" w14:textId="77777777">
            <w:trPr>
              <w:trHeight w:val="440"/>
            </w:trPr>
            <w:tc>
              <w:tcPr>
                <w:tcW w:w="1125" w:type="dxa"/>
                <w:vMerge w:val="restart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DB695C0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Ozaki M et al 2011 [19]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109BE54F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69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7B8B33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</w:rPr>
                  <w:t xml:space="preserve">PcomA 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13C0CCB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15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67AE3C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381D5F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6FB0C5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14959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  <w:highlight w:val="white"/>
                  </w:rPr>
                  <w:t xml:space="preserve"> MR imaging showed hydrocephalus (Evans index, 0.32), and there was no evidence of mechanical obstruction of CSF pathways by the coil mass.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8BB4F4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</w:rPr>
                  <w:t>Dementia and impaired coordination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DCD13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  <w:highlight w:val="white"/>
                  </w:rPr>
                  <w:t>Complete recovery</w:t>
                </w:r>
              </w:p>
            </w:tc>
          </w:tr>
          <w:tr w:rsidR="0061032D" w14:paraId="3BAA112F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B20C754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38BCC84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66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531A61E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</w:rPr>
                  <w:t>Lt 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2CBE8F4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22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58BBAD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C8A887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9A315D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089279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  <w:highlight w:val="white"/>
                  </w:rPr>
                  <w:t xml:space="preserve"> MR imaging showed hydrocephalus (Evans index, 0.32), and there was no evidence of mechanical obstruction of CSF pathways by the coil mass.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C0302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</w:rPr>
                  <w:t>Dementia and impaired coordination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0035A4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D3139"/>
                    <w:highlight w:val="white"/>
                  </w:rPr>
                  <w:t>Complete recovery</w:t>
                </w:r>
              </w:p>
            </w:tc>
          </w:tr>
          <w:tr w:rsidR="0061032D" w14:paraId="45AE2CC5" w14:textId="77777777">
            <w:tc>
              <w:tcPr>
                <w:tcW w:w="112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661F9F1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Sato M et al  2012 [40]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77BE3910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76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A0029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Basilar tip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090245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17.8 × 14.1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4CFBE8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2 Matrix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CD2A7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9E306D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8B8B9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FLAIR showed high signal around the aneurysm with transependymal permeation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5767C3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Drowsiness, memory loss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D872BF4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Improved</w:t>
                </w:r>
              </w:p>
            </w:tc>
          </w:tr>
          <w:tr w:rsidR="0061032D" w14:paraId="5F51B192" w14:textId="77777777">
            <w:tc>
              <w:tcPr>
                <w:tcW w:w="112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5F86898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Takahashi S 2024 [41]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65D15FB1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60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C50E64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Rt 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369F685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16 ×15 × 15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71D78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Platinum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66F3D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6A4909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324BA76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MRI showed edema along the optic tract, lateral geniculate body, inferior horn of the lateral ventricles, and even the contralateral posterior horn of the lateral ventricles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61FD4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Vision loss, memory loss, urinary incontinence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3D4A2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1F1F1F"/>
                  </w:rPr>
                  <w:t>FLAIR MRI showed  the edema clearly decreased, and the ventricles were no longer enlarged</w:t>
                </w:r>
              </w:p>
            </w:tc>
          </w:tr>
          <w:tr w:rsidR="0061032D" w14:paraId="3400D0DB" w14:textId="77777777">
            <w:trPr>
              <w:trHeight w:val="440"/>
            </w:trPr>
            <w:tc>
              <w:tcPr>
                <w:tcW w:w="1125" w:type="dxa"/>
                <w:vMerge w:val="restart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C162938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Tomokiyo M 2007 [2]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59383ADC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60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D36EAE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</w:rPr>
                  <w:t>AcomA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1EDD953A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15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5B2A39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 GDC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3AC9A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757A1F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7ECD8A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Hyperintense FLAIR signal surrounding the aneurysm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4004F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Headache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670B351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MRI signal disappeared after 4 m</w:t>
                </w:r>
              </w:p>
            </w:tc>
          </w:tr>
          <w:tr w:rsidR="0061032D" w14:paraId="2F866712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59340F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5F2ED666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39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2E3F4A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</w:rPr>
                  <w:t>Rt SCA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1E2E60B9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22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4164C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 GDC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C53D9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8D9261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D96544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Hyperintense T2 signal surrounding the aneurysm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2D3762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Headache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10B29EE5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T2 signal disappeared after 5 m</w:t>
                </w:r>
              </w:p>
            </w:tc>
          </w:tr>
          <w:tr w:rsidR="0061032D" w14:paraId="6BF05D04" w14:textId="77777777">
            <w:trPr>
              <w:trHeight w:val="440"/>
            </w:trPr>
            <w:tc>
              <w:tcPr>
                <w:tcW w:w="1125" w:type="dxa"/>
                <w:vMerge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22CFA00" w14:textId="77777777" w:rsidR="0061032D" w:rsidRDefault="0061032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227FB163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67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7C4DF36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212121"/>
                  </w:rPr>
                  <w:t>Lt PICA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76B3CF9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15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B2FBDC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 GDC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915BA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07705F0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12BBF5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  <w:highlight w:val="white"/>
                  </w:rPr>
                </w:pPr>
                <w:r>
                  <w:rPr>
                    <w:rFonts w:ascii="Times New Roman" w:eastAsia="Times New Roman" w:hAnsi="Times New Roman" w:cs="Times New Roman"/>
                    <w:color w:val="333333"/>
                    <w:highlight w:val="white"/>
                  </w:rPr>
                  <w:t>T1 and FLAIR showed a high intensity rim surrounding the aneurysmal sac and the perianeurysmal edema with aneurysmal wall thickness.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657A5A7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Drowsiness, memory loss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3B7AAA9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color w:val="333333"/>
                    <w:highlight w:val="white"/>
                  </w:rPr>
                  <w:t xml:space="preserve">T1 and FLAIR signal </w:t>
                </w:r>
                <w:r>
                  <w:rPr>
                    <w:rFonts w:ascii="Times New Roman" w:eastAsia="Times New Roman" w:hAnsi="Times New Roman" w:cs="Times New Roman"/>
                  </w:rPr>
                  <w:t>disappeared after 4 m</w:t>
                </w:r>
              </w:p>
            </w:tc>
          </w:tr>
          <w:tr w:rsidR="0061032D" w14:paraId="25280CED" w14:textId="77777777">
            <w:tc>
              <w:tcPr>
                <w:tcW w:w="112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F2D58B0" w14:textId="77777777" w:rsidR="0061032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="Times New Roman" w:eastAsia="Times New Roman" w:hAnsi="Times New Roman" w:cs="Times New Roman"/>
                    <w:b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color w:val="212121"/>
                    <w:highlight w:val="white"/>
                  </w:rPr>
                  <w:t>Jawid M et al 2014 [42]</w:t>
                </w:r>
              </w:p>
            </w:tc>
            <w:tc>
              <w:tcPr>
                <w:tcW w:w="4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09B04A0F" w14:textId="77777777" w:rsidR="0061032D" w:rsidRDefault="00000000">
                <w:pPr>
                  <w:widowControl w:val="0"/>
                  <w:spacing w:line="276" w:lineRule="auto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43</w:t>
                </w:r>
              </w:p>
            </w:tc>
            <w:tc>
              <w:tcPr>
                <w:tcW w:w="13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15C72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Lt ICA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center"/>
              </w:tcPr>
              <w:p w14:paraId="1D85719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6.8×3.4×3.3</w:t>
                </w:r>
              </w:p>
            </w:tc>
            <w:tc>
              <w:tcPr>
                <w:tcW w:w="91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3629813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 GDC</w:t>
                </w:r>
              </w:p>
            </w:tc>
            <w:tc>
              <w:tcPr>
                <w:tcW w:w="7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70E6EC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48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E57B34B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0</w:t>
                </w:r>
              </w:p>
            </w:tc>
            <w:tc>
              <w:tcPr>
                <w:tcW w:w="2055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8609A1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 xml:space="preserve">MRI T2 demonstrated perianeurysmal hyperintense signal of brain edema and </w:t>
                </w:r>
                <w:r>
                  <w:rPr>
                    <w:rFonts w:ascii="Times New Roman" w:eastAsia="Times New Roman" w:hAnsi="Times New Roman" w:cs="Times New Roman"/>
                  </w:rPr>
                  <w:lastRenderedPageBreak/>
                  <w:t>wall enhancement of the aneurysm in the left ICA</w:t>
                </w:r>
              </w:p>
              <w:p w14:paraId="422C46F8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MR-spectroscopy showed elevated levels for choline and lactate, consistent with an inflammation</w:t>
                </w:r>
              </w:p>
            </w:tc>
            <w:tc>
              <w:tcPr>
                <w:tcW w:w="105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CCCCCC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7AB7DFF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lastRenderedPageBreak/>
                  <w:t>Headache</w:t>
                </w:r>
              </w:p>
            </w:tc>
            <w:tc>
              <w:tcPr>
                <w:tcW w:w="3120" w:type="dxa"/>
                <w:tcBorders>
                  <w:top w:val="single" w:sz="5" w:space="0" w:color="CCCCCC"/>
                  <w:left w:val="single" w:sz="5" w:space="0" w:color="CCCCCC"/>
                  <w:bottom w:val="single" w:sz="5" w:space="0" w:color="CCCCCC"/>
                  <w:right w:val="single" w:sz="5" w:space="0" w:color="000000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490D7AAD" w14:textId="77777777" w:rsidR="0061032D" w:rsidRDefault="00000000">
                <w:pPr>
                  <w:widowControl w:val="0"/>
                  <w:jc w:val="center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Follow-up MRI, after one  week and again after 3 weeks, showed complete resolution of the brain edema and aneurysmal wall enhancement</w:t>
                </w:r>
              </w:p>
            </w:tc>
          </w:tr>
        </w:tbl>
      </w:sdtContent>
    </w:sdt>
    <w:p w14:paraId="56AAEE3A" w14:textId="789624C8" w:rsidR="0061032D" w:rsidRDefault="0061032D" w:rsidP="004845A9">
      <w:pPr>
        <w:rPr>
          <w:rFonts w:ascii="Times New Roman" w:eastAsia="Times New Roman" w:hAnsi="Times New Roman" w:cs="Times New Roman"/>
        </w:rPr>
      </w:pPr>
    </w:p>
    <w:sectPr w:rsidR="0061032D">
      <w:footerReference w:type="default" r:id="rId10"/>
      <w:pgSz w:w="16838" w:h="23811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FB7A82" w14:textId="77777777" w:rsidR="00F3059F" w:rsidRDefault="00F3059F">
      <w:pPr>
        <w:spacing w:after="0" w:line="240" w:lineRule="auto"/>
      </w:pPr>
      <w:r>
        <w:separator/>
      </w:r>
    </w:p>
  </w:endnote>
  <w:endnote w:type="continuationSeparator" w:id="0">
    <w:p w14:paraId="78F1E265" w14:textId="77777777" w:rsidR="00F3059F" w:rsidRDefault="00F305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55C1FCFF-9E7E-4B1D-8E9F-67219A4885EF}"/>
    <w:embedItalic r:id="rId2" w:fontKey="{ACD63B89-AA67-442D-83EE-74C454D8C15A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168FF9C1-1C03-4EAB-AE1B-DBD6625E5AB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87ADEF" w14:textId="77777777" w:rsidR="0061032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845A9">
      <w:rPr>
        <w:noProof/>
        <w:color w:val="000000"/>
      </w:rPr>
      <w:t>1</w:t>
    </w:r>
    <w:r>
      <w:rPr>
        <w:color w:val="000000"/>
      </w:rPr>
      <w:fldChar w:fldCharType="end"/>
    </w:r>
  </w:p>
  <w:p w14:paraId="2028A861" w14:textId="77777777" w:rsidR="0061032D" w:rsidRDefault="0061032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C53263" w14:textId="77777777" w:rsidR="00F3059F" w:rsidRDefault="00F3059F">
      <w:pPr>
        <w:spacing w:after="0" w:line="240" w:lineRule="auto"/>
      </w:pPr>
      <w:r>
        <w:separator/>
      </w:r>
    </w:p>
  </w:footnote>
  <w:footnote w:type="continuationSeparator" w:id="0">
    <w:p w14:paraId="4F2569A1" w14:textId="77777777" w:rsidR="00F3059F" w:rsidRDefault="00F305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A61308D"/>
    <w:multiLevelType w:val="multilevel"/>
    <w:tmpl w:val="B1745DA4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11652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032D"/>
    <w:rsid w:val="004845A9"/>
    <w:rsid w:val="0061032D"/>
    <w:rsid w:val="00F3059F"/>
    <w:rsid w:val="00F51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9BD80"/>
  <w15:docId w15:val="{1512C57F-5749-4F6B-8548-87F4DD744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ptos"/>
        <w:sz w:val="24"/>
        <w:szCs w:val="24"/>
        <w:lang w:val="en-U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3209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2092"/>
  </w:style>
  <w:style w:type="paragraph" w:styleId="Footer">
    <w:name w:val="footer"/>
    <w:basedOn w:val="Normal"/>
    <w:link w:val="FooterChar"/>
    <w:uiPriority w:val="99"/>
    <w:unhideWhenUsed/>
    <w:rsid w:val="0003209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2092"/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iencedirect.com/topics/medicine-and-dentistry/basal-gangli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sciencedirect.com/topics/medicine-and-dentistry/thalamus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dQ/Wc+gKEn0Ny+0986v/T0lcFw==">CgMxLjAaHwoBMBIaChgICVIUChJ0YWJsZS5wbXU3NjZ1czB0anE4AHIhMXYwcVRQS09SREdLU0lKczdVd2Z4eDBrRWw1OEo2THhO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1531</Words>
  <Characters>8733</Characters>
  <Application>Microsoft Office Word</Application>
  <DocSecurity>0</DocSecurity>
  <Lines>72</Lines>
  <Paragraphs>20</Paragraphs>
  <ScaleCrop>false</ScaleCrop>
  <Company>SpringerNature</Company>
  <LinksUpToDate>false</LinksUpToDate>
  <CharactersWithSpaces>10244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Azab, Mohammed Atef Abdelghafar</dc:creator>
  <cp:lastModifiedBy>Nilesh Nawale</cp:lastModifiedBy>
  <cp:revision>2</cp:revision>
  <dcterms:created xsi:type="dcterms:W3CDTF">2024-07-31T06:15:00Z</dcterms:created>
  <dcterms:modified xsi:type="dcterms:W3CDTF">2024-07-31T06:15:00Z</dcterms:modified>
</cp:coreProperties>
</file>