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2AECB" w14:textId="1641A135" w:rsidR="002037C8" w:rsidRDefault="002037C8" w:rsidP="002037C8">
      <w:pPr>
        <w:rPr>
          <w:rFonts w:ascii="Times New Roman" w:hAnsi="Times New Roman"/>
          <w:b/>
          <w:sz w:val="20"/>
          <w:szCs w:val="20"/>
        </w:rPr>
      </w:pPr>
      <w:bookmarkStart w:id="0" w:name="_Hlk68623756"/>
      <w:r w:rsidRPr="005F681C">
        <w:rPr>
          <w:rFonts w:ascii="Times New Roman" w:hAnsi="Times New Roman"/>
          <w:b/>
          <w:sz w:val="20"/>
          <w:szCs w:val="20"/>
        </w:rPr>
        <w:t xml:space="preserve">Table </w:t>
      </w:r>
      <w:r w:rsidR="00B86999">
        <w:rPr>
          <w:rFonts w:ascii="Times New Roman" w:hAnsi="Times New Roman"/>
          <w:b/>
          <w:sz w:val="20"/>
          <w:szCs w:val="20"/>
        </w:rPr>
        <w:t>S5</w:t>
      </w:r>
      <w:bookmarkEnd w:id="0"/>
      <w:r w:rsidR="00B86999">
        <w:rPr>
          <w:rFonts w:ascii="Times New Roman" w:hAnsi="Times New Roman"/>
          <w:b/>
          <w:sz w:val="20"/>
          <w:szCs w:val="20"/>
        </w:rPr>
        <w:t>.</w:t>
      </w:r>
      <w:r w:rsidRPr="00FB1A04">
        <w:rPr>
          <w:rFonts w:ascii="Times New Roman" w:hAnsi="Times New Roman"/>
          <w:sz w:val="20"/>
          <w:szCs w:val="20"/>
        </w:rPr>
        <w:t xml:space="preserve"> </w:t>
      </w:r>
      <w:r w:rsidR="00725D8B" w:rsidRPr="00725D8B">
        <w:rPr>
          <w:rFonts w:ascii="Times New Roman" w:hAnsi="Times New Roman"/>
          <w:sz w:val="20"/>
          <w:szCs w:val="20"/>
        </w:rPr>
        <w:t xml:space="preserve">The </w:t>
      </w:r>
      <w:r w:rsidR="000E3C10">
        <w:rPr>
          <w:rFonts w:ascii="Times New Roman" w:hAnsi="Times New Roman"/>
          <w:sz w:val="20"/>
          <w:szCs w:val="20"/>
        </w:rPr>
        <w:t>p</w:t>
      </w:r>
      <w:r w:rsidR="000E3C10" w:rsidRPr="000E3C10">
        <w:rPr>
          <w:rFonts w:ascii="Times New Roman" w:hAnsi="Times New Roman"/>
          <w:sz w:val="20"/>
          <w:szCs w:val="20"/>
        </w:rPr>
        <w:t>ercentage</w:t>
      </w:r>
      <w:r w:rsidR="000E3C10">
        <w:rPr>
          <w:rFonts w:ascii="Times New Roman" w:hAnsi="Times New Roman"/>
          <w:sz w:val="20"/>
          <w:szCs w:val="20"/>
        </w:rPr>
        <w:t xml:space="preserve"> of</w:t>
      </w:r>
      <w:r w:rsidR="000E3C10" w:rsidRPr="000E3C10">
        <w:rPr>
          <w:rFonts w:ascii="Times New Roman" w:hAnsi="Times New Roman"/>
          <w:sz w:val="20"/>
          <w:szCs w:val="20"/>
        </w:rPr>
        <w:t xml:space="preserve"> </w:t>
      </w:r>
      <w:r w:rsidR="005C5183" w:rsidRPr="005C5183">
        <w:rPr>
          <w:rFonts w:ascii="Times New Roman" w:hAnsi="Times New Roman"/>
          <w:sz w:val="20"/>
          <w:szCs w:val="20"/>
        </w:rPr>
        <w:t>genitourinary cancers</w:t>
      </w:r>
      <w:r w:rsidR="000E3C10" w:rsidRPr="000E3C10">
        <w:rPr>
          <w:rFonts w:ascii="Times New Roman" w:hAnsi="Times New Roman"/>
          <w:sz w:val="20"/>
          <w:szCs w:val="20"/>
        </w:rPr>
        <w:t xml:space="preserve"> </w:t>
      </w:r>
      <w:r w:rsidR="000E3C10">
        <w:rPr>
          <w:rFonts w:ascii="Times New Roman" w:hAnsi="Times New Roman"/>
          <w:sz w:val="20"/>
          <w:szCs w:val="20"/>
        </w:rPr>
        <w:t xml:space="preserve">deaths and </w:t>
      </w:r>
      <w:r w:rsidR="000E3C10" w:rsidRPr="000E3C10">
        <w:rPr>
          <w:rFonts w:ascii="Times New Roman" w:hAnsi="Times New Roman"/>
          <w:sz w:val="20"/>
          <w:szCs w:val="20"/>
        </w:rPr>
        <w:t xml:space="preserve">DALYs </w:t>
      </w:r>
      <w:r w:rsidR="00725D8B" w:rsidRPr="00725D8B">
        <w:rPr>
          <w:rFonts w:ascii="Times New Roman" w:hAnsi="Times New Roman"/>
          <w:sz w:val="20"/>
          <w:szCs w:val="20"/>
        </w:rPr>
        <w:t>attributable</w:t>
      </w:r>
      <w:r w:rsidR="000E3C10">
        <w:rPr>
          <w:rFonts w:ascii="Times New Roman" w:hAnsi="Times New Roman"/>
          <w:sz w:val="20"/>
          <w:szCs w:val="20"/>
        </w:rPr>
        <w:t xml:space="preserve"> to</w:t>
      </w:r>
      <w:r w:rsidR="00725D8B" w:rsidRPr="00725D8B">
        <w:rPr>
          <w:rFonts w:ascii="Times New Roman" w:hAnsi="Times New Roman"/>
          <w:sz w:val="20"/>
          <w:szCs w:val="20"/>
        </w:rPr>
        <w:t xml:space="preserve"> risk factors </w:t>
      </w:r>
      <w:r w:rsidR="000E3C10">
        <w:rPr>
          <w:rFonts w:ascii="Times New Roman" w:hAnsi="Times New Roman"/>
          <w:sz w:val="20"/>
          <w:szCs w:val="20"/>
        </w:rPr>
        <w:t>in</w:t>
      </w:r>
      <w:r>
        <w:rPr>
          <w:rFonts w:ascii="Times New Roman" w:hAnsi="Times New Roman"/>
          <w:sz w:val="20"/>
          <w:szCs w:val="20"/>
        </w:rPr>
        <w:t xml:space="preserve"> 1990 and 2019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768"/>
        <w:gridCol w:w="1982"/>
        <w:gridCol w:w="1920"/>
        <w:gridCol w:w="1908"/>
        <w:gridCol w:w="396"/>
        <w:gridCol w:w="1982"/>
        <w:gridCol w:w="1863"/>
        <w:gridCol w:w="1866"/>
        <w:gridCol w:w="265"/>
      </w:tblGrid>
      <w:tr w:rsidR="00175F32" w14:paraId="0D71261E" w14:textId="77777777" w:rsidTr="00DA6E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Merge w:val="restart"/>
            <w:vAlign w:val="center"/>
          </w:tcPr>
          <w:p w14:paraId="7EFAEBD0" w14:textId="50F55C81" w:rsidR="00175F32" w:rsidRPr="00175F32" w:rsidRDefault="00175F32" w:rsidP="00175F32">
            <w:pP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175F32">
              <w:rPr>
                <w:rFonts w:ascii="Times New Roman" w:hAnsi="Times New Roman"/>
              </w:rPr>
              <w:t>C</w:t>
            </w:r>
            <w:r w:rsidRPr="00175F32">
              <w:rPr>
                <w:rFonts w:ascii="Times New Roman" w:hAnsi="Times New Roman" w:hint="eastAsia"/>
              </w:rPr>
              <w:t>ancer</w:t>
            </w:r>
          </w:p>
        </w:tc>
        <w:tc>
          <w:tcPr>
            <w:tcW w:w="5810" w:type="dxa"/>
            <w:gridSpan w:val="3"/>
            <w:tcBorders>
              <w:top w:val="single" w:sz="4" w:space="0" w:color="000000" w:themeColor="text1"/>
              <w:bottom w:val="single" w:sz="4" w:space="0" w:color="auto"/>
            </w:tcBorders>
          </w:tcPr>
          <w:p w14:paraId="3A5E09B5" w14:textId="5E79BAAA" w:rsidR="00175F32" w:rsidRDefault="00175F32" w:rsidP="00E333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1990</w:t>
            </w:r>
          </w:p>
        </w:tc>
        <w:tc>
          <w:tcPr>
            <w:tcW w:w="396" w:type="dxa"/>
            <w:tcBorders>
              <w:bottom w:val="nil"/>
            </w:tcBorders>
          </w:tcPr>
          <w:p w14:paraId="44A72AF6" w14:textId="77777777" w:rsidR="00175F32" w:rsidRDefault="00175F32" w:rsidP="00E333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5711" w:type="dxa"/>
            <w:gridSpan w:val="3"/>
            <w:tcBorders>
              <w:top w:val="single" w:sz="4" w:space="0" w:color="000000" w:themeColor="text1"/>
              <w:bottom w:val="single" w:sz="4" w:space="0" w:color="auto"/>
            </w:tcBorders>
          </w:tcPr>
          <w:p w14:paraId="5C2800C6" w14:textId="5670D478" w:rsidR="00175F32" w:rsidRDefault="00175F32" w:rsidP="00E333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265" w:type="dxa"/>
            <w:tcBorders>
              <w:bottom w:val="nil"/>
            </w:tcBorders>
          </w:tcPr>
          <w:p w14:paraId="05B28ADE" w14:textId="77777777" w:rsidR="00175F32" w:rsidRDefault="00175F32" w:rsidP="00E333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75F32" w14:paraId="6C9C2DE5" w14:textId="77777777" w:rsidTr="003B7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F501C01" w14:textId="57CF90DD" w:rsidR="00175F32" w:rsidRPr="002037C8" w:rsidRDefault="00175F32" w:rsidP="00E33341">
            <w:pPr>
              <w:rPr>
                <w:rFonts w:ascii="Times New Roman" w:hAnsi="Times New Roman"/>
                <w:b w:val="0"/>
                <w:bCs w:val="0"/>
              </w:rPr>
            </w:pPr>
          </w:p>
        </w:tc>
        <w:tc>
          <w:tcPr>
            <w:tcW w:w="1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BEFC9E" w14:textId="7B358584" w:rsidR="00175F32" w:rsidRPr="0040315A" w:rsidRDefault="00175F32" w:rsidP="00E33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037C8">
              <w:rPr>
                <w:rFonts w:ascii="Times New Roman" w:hAnsi="Times New Roman"/>
                <w:b/>
                <w:bCs/>
              </w:rPr>
              <w:t>Leading risks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EE3E05" w14:textId="192CDC3F" w:rsidR="00175F32" w:rsidRPr="0040315A" w:rsidRDefault="00175F32" w:rsidP="00E33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037C8">
              <w:rPr>
                <w:rFonts w:ascii="Times New Roman" w:hAnsi="Times New Roman"/>
                <w:b/>
                <w:bCs/>
              </w:rPr>
              <w:t xml:space="preserve">Percentage of </w:t>
            </w:r>
            <w:r w:rsidR="007C6F4E" w:rsidRPr="002037C8">
              <w:rPr>
                <w:rFonts w:ascii="Times New Roman" w:hAnsi="Times New Roman"/>
                <w:b/>
                <w:bCs/>
              </w:rPr>
              <w:t xml:space="preserve">death </w:t>
            </w:r>
            <w:r w:rsidR="00DA6ECE" w:rsidRPr="00DA6ECE">
              <w:rPr>
                <w:rFonts w:ascii="Times New Roman" w:hAnsi="Times New Roman"/>
                <w:b/>
                <w:bCs/>
              </w:rPr>
              <w:t>(95%</w:t>
            </w:r>
            <w:r w:rsidR="00DA6ECE">
              <w:rPr>
                <w:rFonts w:ascii="Times New Roman" w:hAnsi="Times New Roman"/>
                <w:b/>
                <w:bCs/>
              </w:rPr>
              <w:t xml:space="preserve"> </w:t>
            </w:r>
            <w:r w:rsidR="00DA6ECE" w:rsidRPr="00DA6ECE">
              <w:rPr>
                <w:rFonts w:ascii="Times New Roman" w:hAnsi="Times New Roman"/>
                <w:b/>
                <w:bCs/>
              </w:rPr>
              <w:t>UI)</w:t>
            </w: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CE3322" w14:textId="3A7EEA41" w:rsidR="00175F32" w:rsidRPr="0040315A" w:rsidRDefault="00175F32" w:rsidP="00E33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037C8">
              <w:rPr>
                <w:rFonts w:ascii="Times New Roman" w:hAnsi="Times New Roman"/>
                <w:b/>
                <w:bCs/>
              </w:rPr>
              <w:t xml:space="preserve">Percentage of </w:t>
            </w:r>
            <w:r w:rsidR="007C6F4E" w:rsidRPr="002037C8">
              <w:rPr>
                <w:rFonts w:ascii="Times New Roman" w:hAnsi="Times New Roman"/>
                <w:b/>
                <w:bCs/>
              </w:rPr>
              <w:t>DALYs</w:t>
            </w:r>
            <w:r w:rsidR="007C6F4E" w:rsidRPr="00DA6ECE">
              <w:rPr>
                <w:rFonts w:ascii="Times New Roman" w:hAnsi="Times New Roman"/>
                <w:b/>
                <w:bCs/>
              </w:rPr>
              <w:t xml:space="preserve"> </w:t>
            </w:r>
            <w:r w:rsidR="00DA6ECE" w:rsidRPr="00DA6ECE">
              <w:rPr>
                <w:rFonts w:ascii="Times New Roman" w:hAnsi="Times New Roman"/>
                <w:b/>
                <w:bCs/>
              </w:rPr>
              <w:t>(95%</w:t>
            </w:r>
            <w:r w:rsidR="00DA6ECE">
              <w:rPr>
                <w:rFonts w:ascii="Times New Roman" w:hAnsi="Times New Roman"/>
                <w:b/>
                <w:bCs/>
              </w:rPr>
              <w:t xml:space="preserve"> </w:t>
            </w:r>
            <w:r w:rsidR="00DA6ECE" w:rsidRPr="00DA6ECE">
              <w:rPr>
                <w:rFonts w:ascii="Times New Roman" w:hAnsi="Times New Roman"/>
                <w:b/>
                <w:bCs/>
              </w:rPr>
              <w:t>UI)</w:t>
            </w:r>
          </w:p>
        </w:tc>
        <w:tc>
          <w:tcPr>
            <w:tcW w:w="39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88CA014" w14:textId="77777777" w:rsidR="00175F32" w:rsidRDefault="00175F32" w:rsidP="00E33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E5FB80" w14:textId="28AD973C" w:rsidR="00175F32" w:rsidRDefault="00175F32" w:rsidP="00E33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037C8">
              <w:rPr>
                <w:rFonts w:ascii="Times New Roman" w:hAnsi="Times New Roman"/>
                <w:b/>
                <w:bCs/>
              </w:rPr>
              <w:t>Leading risks</w:t>
            </w: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2EE4E57" w14:textId="48B44F19" w:rsidR="00175F32" w:rsidRDefault="00175F32" w:rsidP="00E33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037C8">
              <w:rPr>
                <w:rFonts w:ascii="Times New Roman" w:hAnsi="Times New Roman"/>
                <w:b/>
                <w:bCs/>
              </w:rPr>
              <w:t xml:space="preserve">Percentage of </w:t>
            </w:r>
            <w:r w:rsidR="007C6F4E" w:rsidRPr="002037C8">
              <w:rPr>
                <w:rFonts w:ascii="Times New Roman" w:hAnsi="Times New Roman"/>
                <w:b/>
                <w:bCs/>
              </w:rPr>
              <w:t xml:space="preserve">death </w:t>
            </w:r>
            <w:r w:rsidR="00DA6ECE" w:rsidRPr="00DA6ECE">
              <w:rPr>
                <w:rFonts w:ascii="Times New Roman" w:hAnsi="Times New Roman"/>
                <w:b/>
                <w:bCs/>
              </w:rPr>
              <w:t>(95%</w:t>
            </w:r>
            <w:r w:rsidR="00DA6ECE">
              <w:rPr>
                <w:rFonts w:ascii="Times New Roman" w:hAnsi="Times New Roman"/>
                <w:b/>
                <w:bCs/>
              </w:rPr>
              <w:t xml:space="preserve"> </w:t>
            </w:r>
            <w:r w:rsidR="00DA6ECE" w:rsidRPr="00DA6ECE">
              <w:rPr>
                <w:rFonts w:ascii="Times New Roman" w:hAnsi="Times New Roman"/>
                <w:b/>
                <w:bCs/>
              </w:rPr>
              <w:t>UI)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404E93" w14:textId="0AFD164C" w:rsidR="00175F32" w:rsidRDefault="00175F32" w:rsidP="00E33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037C8">
              <w:rPr>
                <w:rFonts w:ascii="Times New Roman" w:hAnsi="Times New Roman"/>
                <w:b/>
                <w:bCs/>
              </w:rPr>
              <w:t xml:space="preserve">Percentage of </w:t>
            </w:r>
            <w:r w:rsidR="007C6F4E" w:rsidRPr="002037C8">
              <w:rPr>
                <w:rFonts w:ascii="Times New Roman" w:hAnsi="Times New Roman"/>
                <w:b/>
                <w:bCs/>
              </w:rPr>
              <w:t>DALYs</w:t>
            </w:r>
            <w:r w:rsidR="007C6F4E" w:rsidRPr="00DA6ECE">
              <w:rPr>
                <w:rFonts w:ascii="Times New Roman" w:hAnsi="Times New Roman"/>
                <w:b/>
                <w:bCs/>
              </w:rPr>
              <w:t xml:space="preserve"> </w:t>
            </w:r>
            <w:r w:rsidR="00DA6ECE" w:rsidRPr="00DA6ECE">
              <w:rPr>
                <w:rFonts w:ascii="Times New Roman" w:hAnsi="Times New Roman"/>
                <w:b/>
                <w:bCs/>
              </w:rPr>
              <w:t>(95% UI)</w:t>
            </w:r>
          </w:p>
        </w:tc>
        <w:tc>
          <w:tcPr>
            <w:tcW w:w="26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1337B1" w14:textId="77777777" w:rsidR="00175F32" w:rsidRDefault="00175F32" w:rsidP="00E333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C6F4E" w14:paraId="254119D9" w14:textId="77777777" w:rsidTr="003B7656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tcBorders>
              <w:bottom w:val="nil"/>
            </w:tcBorders>
            <w:shd w:val="clear" w:color="auto" w:fill="auto"/>
          </w:tcPr>
          <w:p w14:paraId="7E5E85AA" w14:textId="274069AB" w:rsidR="007C6F4E" w:rsidRPr="0047179A" w:rsidRDefault="007C6F4E" w:rsidP="007C6F4E">
            <w:pPr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Kidney cancer</w:t>
            </w:r>
          </w:p>
        </w:tc>
        <w:tc>
          <w:tcPr>
            <w:tcW w:w="1982" w:type="dxa"/>
            <w:tcBorders>
              <w:bottom w:val="nil"/>
            </w:tcBorders>
            <w:shd w:val="clear" w:color="auto" w:fill="auto"/>
          </w:tcPr>
          <w:p w14:paraId="42AA32FC" w14:textId="6F2AAAF1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Smoking</w:t>
            </w:r>
          </w:p>
        </w:tc>
        <w:tc>
          <w:tcPr>
            <w:tcW w:w="1920" w:type="dxa"/>
            <w:tcBorders>
              <w:bottom w:val="nil"/>
            </w:tcBorders>
            <w:shd w:val="clear" w:color="auto" w:fill="auto"/>
          </w:tcPr>
          <w:p w14:paraId="1672B40F" w14:textId="092CBAED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20.78(15.00-26.43)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</w:tcPr>
          <w:p w14:paraId="49725401" w14:textId="655ED2A5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18.19(13.10-23.03)</w:t>
            </w:r>
          </w:p>
        </w:tc>
        <w:tc>
          <w:tcPr>
            <w:tcW w:w="396" w:type="dxa"/>
            <w:tcBorders>
              <w:bottom w:val="nil"/>
            </w:tcBorders>
            <w:shd w:val="clear" w:color="auto" w:fill="auto"/>
          </w:tcPr>
          <w:p w14:paraId="420D78D0" w14:textId="77777777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2" w:type="dxa"/>
            <w:tcBorders>
              <w:bottom w:val="nil"/>
            </w:tcBorders>
            <w:shd w:val="clear" w:color="auto" w:fill="auto"/>
          </w:tcPr>
          <w:p w14:paraId="19E0A439" w14:textId="6621A500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High body-mass index</w:t>
            </w:r>
          </w:p>
        </w:tc>
        <w:tc>
          <w:tcPr>
            <w:tcW w:w="1863" w:type="dxa"/>
            <w:tcBorders>
              <w:bottom w:val="nil"/>
            </w:tcBorders>
            <w:shd w:val="clear" w:color="auto" w:fill="auto"/>
          </w:tcPr>
          <w:p w14:paraId="5A08DE52" w14:textId="05B9763E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19.05(11.09-28.30)</w:t>
            </w:r>
          </w:p>
        </w:tc>
        <w:tc>
          <w:tcPr>
            <w:tcW w:w="1866" w:type="dxa"/>
            <w:tcBorders>
              <w:bottom w:val="nil"/>
            </w:tcBorders>
            <w:shd w:val="clear" w:color="auto" w:fill="auto"/>
          </w:tcPr>
          <w:p w14:paraId="2145D1CC" w14:textId="73BFAA36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18.55(10.92-27.37)</w:t>
            </w:r>
          </w:p>
        </w:tc>
        <w:tc>
          <w:tcPr>
            <w:tcW w:w="265" w:type="dxa"/>
            <w:tcBorders>
              <w:bottom w:val="nil"/>
            </w:tcBorders>
            <w:shd w:val="clear" w:color="auto" w:fill="auto"/>
            <w:vAlign w:val="center"/>
          </w:tcPr>
          <w:p w14:paraId="0E8E4911" w14:textId="77777777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F4E" w14:paraId="05A0AF35" w14:textId="77777777" w:rsidTr="003B7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shd w:val="clear" w:color="auto" w:fill="auto"/>
          </w:tcPr>
          <w:p w14:paraId="6AFEC04D" w14:textId="77777777" w:rsidR="007C6F4E" w:rsidRPr="0047179A" w:rsidRDefault="007C6F4E" w:rsidP="007C6F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</w:tcPr>
          <w:p w14:paraId="2B0257DC" w14:textId="51DBC938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High body-mass index</w:t>
            </w:r>
          </w:p>
        </w:tc>
        <w:tc>
          <w:tcPr>
            <w:tcW w:w="1920" w:type="dxa"/>
            <w:shd w:val="clear" w:color="auto" w:fill="auto"/>
          </w:tcPr>
          <w:p w14:paraId="13F159CF" w14:textId="2118F6E8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15.53(8.52-23.90)</w:t>
            </w:r>
          </w:p>
        </w:tc>
        <w:tc>
          <w:tcPr>
            <w:tcW w:w="1908" w:type="dxa"/>
            <w:shd w:val="clear" w:color="auto" w:fill="auto"/>
          </w:tcPr>
          <w:p w14:paraId="2D0F073C" w14:textId="53D4FFAB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13.98(7.72-21.74)</w:t>
            </w:r>
          </w:p>
        </w:tc>
        <w:tc>
          <w:tcPr>
            <w:tcW w:w="396" w:type="dxa"/>
            <w:shd w:val="clear" w:color="auto" w:fill="auto"/>
          </w:tcPr>
          <w:p w14:paraId="349542A4" w14:textId="77777777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</w:tcPr>
          <w:p w14:paraId="5D2A701B" w14:textId="50B90C82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Smoking</w:t>
            </w:r>
          </w:p>
        </w:tc>
        <w:tc>
          <w:tcPr>
            <w:tcW w:w="1863" w:type="dxa"/>
            <w:shd w:val="clear" w:color="auto" w:fill="auto"/>
          </w:tcPr>
          <w:p w14:paraId="401BB68B" w14:textId="28E46FE9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18.09(12.81-23.44)</w:t>
            </w:r>
          </w:p>
        </w:tc>
        <w:tc>
          <w:tcPr>
            <w:tcW w:w="1866" w:type="dxa"/>
            <w:shd w:val="clear" w:color="auto" w:fill="auto"/>
          </w:tcPr>
          <w:p w14:paraId="0236BA35" w14:textId="49BFD050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16.95(11.78-21.79)</w:t>
            </w:r>
          </w:p>
        </w:tc>
        <w:tc>
          <w:tcPr>
            <w:tcW w:w="265" w:type="dxa"/>
            <w:shd w:val="clear" w:color="auto" w:fill="auto"/>
            <w:vAlign w:val="center"/>
          </w:tcPr>
          <w:p w14:paraId="08923037" w14:textId="77777777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F4E" w14:paraId="48661DE1" w14:textId="77777777" w:rsidTr="003B7656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tcBorders>
              <w:bottom w:val="nil"/>
            </w:tcBorders>
            <w:shd w:val="clear" w:color="auto" w:fill="auto"/>
          </w:tcPr>
          <w:p w14:paraId="68AC86A7" w14:textId="77777777" w:rsidR="007C6F4E" w:rsidRPr="0047179A" w:rsidRDefault="007C6F4E" w:rsidP="007C6F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2" w:type="dxa"/>
            <w:tcBorders>
              <w:bottom w:val="nil"/>
            </w:tcBorders>
            <w:shd w:val="clear" w:color="auto" w:fill="auto"/>
          </w:tcPr>
          <w:p w14:paraId="20990462" w14:textId="3C6BEC78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Occupational exposure to trichloroethylene</w:t>
            </w:r>
          </w:p>
        </w:tc>
        <w:tc>
          <w:tcPr>
            <w:tcW w:w="1920" w:type="dxa"/>
            <w:tcBorders>
              <w:bottom w:val="nil"/>
            </w:tcBorders>
            <w:shd w:val="clear" w:color="auto" w:fill="auto"/>
          </w:tcPr>
          <w:p w14:paraId="2949DDAD" w14:textId="7ECFDC89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0.03(0.01-0.06)</w:t>
            </w:r>
          </w:p>
        </w:tc>
        <w:tc>
          <w:tcPr>
            <w:tcW w:w="1908" w:type="dxa"/>
            <w:tcBorders>
              <w:bottom w:val="nil"/>
            </w:tcBorders>
            <w:shd w:val="clear" w:color="auto" w:fill="auto"/>
          </w:tcPr>
          <w:p w14:paraId="11C9EC10" w14:textId="056C8655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0.04(0.01-0.07)</w:t>
            </w:r>
          </w:p>
        </w:tc>
        <w:tc>
          <w:tcPr>
            <w:tcW w:w="396" w:type="dxa"/>
            <w:tcBorders>
              <w:bottom w:val="nil"/>
            </w:tcBorders>
            <w:shd w:val="clear" w:color="auto" w:fill="auto"/>
          </w:tcPr>
          <w:p w14:paraId="0A71D21B" w14:textId="77777777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2" w:type="dxa"/>
            <w:tcBorders>
              <w:bottom w:val="nil"/>
            </w:tcBorders>
            <w:shd w:val="clear" w:color="auto" w:fill="auto"/>
          </w:tcPr>
          <w:p w14:paraId="4B961F0D" w14:textId="592C01DC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Occupational exposure to trichloroethylene</w:t>
            </w:r>
          </w:p>
        </w:tc>
        <w:tc>
          <w:tcPr>
            <w:tcW w:w="1863" w:type="dxa"/>
            <w:tcBorders>
              <w:bottom w:val="nil"/>
            </w:tcBorders>
            <w:shd w:val="clear" w:color="auto" w:fill="auto"/>
          </w:tcPr>
          <w:p w14:paraId="5932119F" w14:textId="1FE65B03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0.05(0.01-0.09)</w:t>
            </w:r>
          </w:p>
        </w:tc>
        <w:tc>
          <w:tcPr>
            <w:tcW w:w="1866" w:type="dxa"/>
            <w:tcBorders>
              <w:bottom w:val="nil"/>
            </w:tcBorders>
            <w:shd w:val="clear" w:color="auto" w:fill="auto"/>
          </w:tcPr>
          <w:p w14:paraId="70DAE576" w14:textId="550FB584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0.06(0.01-0.11)</w:t>
            </w:r>
          </w:p>
        </w:tc>
        <w:tc>
          <w:tcPr>
            <w:tcW w:w="265" w:type="dxa"/>
            <w:tcBorders>
              <w:bottom w:val="nil"/>
            </w:tcBorders>
            <w:shd w:val="clear" w:color="auto" w:fill="auto"/>
            <w:vAlign w:val="center"/>
          </w:tcPr>
          <w:p w14:paraId="18A1E4DE" w14:textId="77777777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F4E" w14:paraId="51F2BE8C" w14:textId="77777777" w:rsidTr="003B7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tcBorders>
              <w:top w:val="nil"/>
              <w:bottom w:val="nil"/>
            </w:tcBorders>
            <w:shd w:val="clear" w:color="auto" w:fill="auto"/>
          </w:tcPr>
          <w:p w14:paraId="14A08492" w14:textId="77777777" w:rsidR="007C6F4E" w:rsidRPr="00665D15" w:rsidRDefault="007C6F4E" w:rsidP="007C6F4E">
            <w:pPr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Bladder cancer</w:t>
            </w:r>
          </w:p>
        </w:tc>
        <w:tc>
          <w:tcPr>
            <w:tcW w:w="1982" w:type="dxa"/>
            <w:tcBorders>
              <w:top w:val="nil"/>
              <w:bottom w:val="nil"/>
            </w:tcBorders>
            <w:shd w:val="clear" w:color="auto" w:fill="auto"/>
          </w:tcPr>
          <w:p w14:paraId="6D0AA150" w14:textId="77777777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Smoking</w:t>
            </w:r>
          </w:p>
        </w:tc>
        <w:tc>
          <w:tcPr>
            <w:tcW w:w="1920" w:type="dxa"/>
            <w:tcBorders>
              <w:top w:val="nil"/>
              <w:bottom w:val="nil"/>
            </w:tcBorders>
            <w:shd w:val="clear" w:color="auto" w:fill="auto"/>
          </w:tcPr>
          <w:p w14:paraId="4BDB76D1" w14:textId="1C855823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41.05(32.07-49.14)</w:t>
            </w:r>
          </w:p>
        </w:tc>
        <w:tc>
          <w:tcPr>
            <w:tcW w:w="1908" w:type="dxa"/>
            <w:tcBorders>
              <w:top w:val="nil"/>
              <w:bottom w:val="nil"/>
            </w:tcBorders>
            <w:shd w:val="clear" w:color="auto" w:fill="auto"/>
          </w:tcPr>
          <w:p w14:paraId="3D6A1A66" w14:textId="17A7DD60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42.86(34.04-50.23)</w:t>
            </w:r>
          </w:p>
        </w:tc>
        <w:tc>
          <w:tcPr>
            <w:tcW w:w="396" w:type="dxa"/>
            <w:tcBorders>
              <w:top w:val="nil"/>
              <w:bottom w:val="nil"/>
            </w:tcBorders>
            <w:shd w:val="clear" w:color="auto" w:fill="auto"/>
          </w:tcPr>
          <w:p w14:paraId="2A83992B" w14:textId="77777777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nil"/>
              <w:bottom w:val="nil"/>
            </w:tcBorders>
            <w:shd w:val="clear" w:color="auto" w:fill="auto"/>
          </w:tcPr>
          <w:p w14:paraId="1597BF7F" w14:textId="77777777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Smoking</w:t>
            </w:r>
          </w:p>
        </w:tc>
        <w:tc>
          <w:tcPr>
            <w:tcW w:w="1863" w:type="dxa"/>
            <w:tcBorders>
              <w:top w:val="nil"/>
              <w:bottom w:val="nil"/>
            </w:tcBorders>
            <w:shd w:val="clear" w:color="auto" w:fill="auto"/>
          </w:tcPr>
          <w:p w14:paraId="799A1970" w14:textId="67E9C732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33.89(25.88-41.80)</w:t>
            </w:r>
          </w:p>
        </w:tc>
        <w:tc>
          <w:tcPr>
            <w:tcW w:w="1866" w:type="dxa"/>
            <w:tcBorders>
              <w:top w:val="nil"/>
              <w:bottom w:val="nil"/>
            </w:tcBorders>
            <w:shd w:val="clear" w:color="auto" w:fill="auto"/>
          </w:tcPr>
          <w:p w14:paraId="27CEE7A2" w14:textId="3A15C09A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36.76(44.00-28.46)</w:t>
            </w:r>
          </w:p>
        </w:tc>
        <w:tc>
          <w:tcPr>
            <w:tcW w:w="26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98F4C3" w14:textId="77777777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F4E" w14:paraId="38402D9C" w14:textId="77777777" w:rsidTr="003B7656">
        <w:trPr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tcBorders>
              <w:top w:val="nil"/>
            </w:tcBorders>
            <w:shd w:val="clear" w:color="auto" w:fill="auto"/>
          </w:tcPr>
          <w:p w14:paraId="6884D54D" w14:textId="77777777" w:rsidR="007C6F4E" w:rsidRPr="0047179A" w:rsidRDefault="007C6F4E" w:rsidP="007C6F4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nil"/>
            </w:tcBorders>
            <w:shd w:val="clear" w:color="auto" w:fill="auto"/>
          </w:tcPr>
          <w:p w14:paraId="4AF7E003" w14:textId="77777777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High fasting plasma glucose</w:t>
            </w:r>
          </w:p>
        </w:tc>
        <w:tc>
          <w:tcPr>
            <w:tcW w:w="1920" w:type="dxa"/>
            <w:tcBorders>
              <w:top w:val="nil"/>
            </w:tcBorders>
            <w:shd w:val="clear" w:color="auto" w:fill="auto"/>
          </w:tcPr>
          <w:p w14:paraId="2259A24B" w14:textId="1920CC1F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7.03(1.42-15.37)</w:t>
            </w:r>
          </w:p>
        </w:tc>
        <w:tc>
          <w:tcPr>
            <w:tcW w:w="1908" w:type="dxa"/>
            <w:tcBorders>
              <w:top w:val="nil"/>
            </w:tcBorders>
            <w:shd w:val="clear" w:color="auto" w:fill="auto"/>
          </w:tcPr>
          <w:p w14:paraId="63B3CA7F" w14:textId="60A30967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6.24(1.23-13.77)</w:t>
            </w:r>
          </w:p>
        </w:tc>
        <w:tc>
          <w:tcPr>
            <w:tcW w:w="396" w:type="dxa"/>
            <w:tcBorders>
              <w:top w:val="nil"/>
            </w:tcBorders>
            <w:shd w:val="clear" w:color="auto" w:fill="auto"/>
          </w:tcPr>
          <w:p w14:paraId="036C4D45" w14:textId="77777777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nil"/>
            </w:tcBorders>
            <w:shd w:val="clear" w:color="auto" w:fill="auto"/>
          </w:tcPr>
          <w:p w14:paraId="6CDD0F74" w14:textId="77777777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High fasting plasma glucose</w:t>
            </w:r>
          </w:p>
        </w:tc>
        <w:tc>
          <w:tcPr>
            <w:tcW w:w="1863" w:type="dxa"/>
            <w:tcBorders>
              <w:top w:val="nil"/>
            </w:tcBorders>
            <w:shd w:val="clear" w:color="auto" w:fill="auto"/>
          </w:tcPr>
          <w:p w14:paraId="77A6C89A" w14:textId="1FB0FB40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9.98(2.09-21.30)</w:t>
            </w:r>
          </w:p>
        </w:tc>
        <w:tc>
          <w:tcPr>
            <w:tcW w:w="1866" w:type="dxa"/>
            <w:tcBorders>
              <w:top w:val="nil"/>
            </w:tcBorders>
            <w:shd w:val="clear" w:color="auto" w:fill="auto"/>
          </w:tcPr>
          <w:p w14:paraId="546AB8B3" w14:textId="3403832B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9.11(19.59-1.87)</w:t>
            </w:r>
          </w:p>
        </w:tc>
        <w:tc>
          <w:tcPr>
            <w:tcW w:w="265" w:type="dxa"/>
            <w:tcBorders>
              <w:top w:val="nil"/>
            </w:tcBorders>
            <w:shd w:val="clear" w:color="auto" w:fill="auto"/>
            <w:vAlign w:val="center"/>
          </w:tcPr>
          <w:p w14:paraId="1D3C9581" w14:textId="77777777" w:rsidR="007C6F4E" w:rsidRPr="00665D15" w:rsidRDefault="007C6F4E" w:rsidP="007C6F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C6F4E" w14:paraId="44C8F058" w14:textId="77777777" w:rsidTr="003B76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shd w:val="clear" w:color="auto" w:fill="auto"/>
          </w:tcPr>
          <w:p w14:paraId="012169EF" w14:textId="06BAA821" w:rsidR="007C6F4E" w:rsidRPr="00175F32" w:rsidRDefault="007C6F4E" w:rsidP="007C6F4E">
            <w:pPr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Prostate cancer</w:t>
            </w:r>
          </w:p>
        </w:tc>
        <w:tc>
          <w:tcPr>
            <w:tcW w:w="1982" w:type="dxa"/>
            <w:shd w:val="clear" w:color="auto" w:fill="auto"/>
          </w:tcPr>
          <w:p w14:paraId="6F9EEE80" w14:textId="7E3998C9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Smoking</w:t>
            </w:r>
          </w:p>
        </w:tc>
        <w:tc>
          <w:tcPr>
            <w:tcW w:w="1920" w:type="dxa"/>
            <w:shd w:val="clear" w:color="auto" w:fill="auto"/>
          </w:tcPr>
          <w:p w14:paraId="3F30951E" w14:textId="2BE7858B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8.29(3.73-12.59)</w:t>
            </w:r>
          </w:p>
        </w:tc>
        <w:tc>
          <w:tcPr>
            <w:tcW w:w="1908" w:type="dxa"/>
            <w:shd w:val="clear" w:color="auto" w:fill="auto"/>
          </w:tcPr>
          <w:p w14:paraId="45D57A0A" w14:textId="206C3704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8.82(3.99-13.38)</w:t>
            </w:r>
          </w:p>
        </w:tc>
        <w:tc>
          <w:tcPr>
            <w:tcW w:w="396" w:type="dxa"/>
            <w:shd w:val="clear" w:color="auto" w:fill="auto"/>
          </w:tcPr>
          <w:p w14:paraId="29B798D1" w14:textId="77777777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2" w:type="dxa"/>
            <w:shd w:val="clear" w:color="auto" w:fill="auto"/>
          </w:tcPr>
          <w:p w14:paraId="036E52D6" w14:textId="3B9B1A5C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175F32">
              <w:rPr>
                <w:rFonts w:ascii="Times New Roman" w:hAnsi="Times New Roman"/>
                <w:sz w:val="20"/>
                <w:szCs w:val="20"/>
              </w:rPr>
              <w:t>Smoking</w:t>
            </w:r>
          </w:p>
        </w:tc>
        <w:tc>
          <w:tcPr>
            <w:tcW w:w="1863" w:type="dxa"/>
            <w:shd w:val="clear" w:color="auto" w:fill="auto"/>
          </w:tcPr>
          <w:p w14:paraId="3A6C851A" w14:textId="14AF21A5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6.01(2.71-9.29)</w:t>
            </w:r>
          </w:p>
        </w:tc>
        <w:tc>
          <w:tcPr>
            <w:tcW w:w="1866" w:type="dxa"/>
            <w:shd w:val="clear" w:color="auto" w:fill="auto"/>
          </w:tcPr>
          <w:p w14:paraId="703B1A79" w14:textId="7A9BD073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7C6F4E">
              <w:rPr>
                <w:rFonts w:ascii="Times New Roman" w:hAnsi="Times New Roman"/>
                <w:sz w:val="20"/>
                <w:szCs w:val="20"/>
              </w:rPr>
              <w:t>6.60(3.02-10.10)</w:t>
            </w:r>
          </w:p>
        </w:tc>
        <w:tc>
          <w:tcPr>
            <w:tcW w:w="265" w:type="dxa"/>
            <w:shd w:val="clear" w:color="auto" w:fill="auto"/>
          </w:tcPr>
          <w:p w14:paraId="2673809B" w14:textId="77777777" w:rsidR="007C6F4E" w:rsidRPr="00665D15" w:rsidRDefault="007C6F4E" w:rsidP="007C6F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B82A5B9" w14:textId="7393F8B6" w:rsidR="00B95567" w:rsidRDefault="00725D8B">
      <w:r w:rsidRPr="00EE5FA4">
        <w:rPr>
          <w:rFonts w:ascii="Times New Roman" w:hAnsi="Times New Roman"/>
          <w:sz w:val="20"/>
          <w:szCs w:val="20"/>
        </w:rPr>
        <w:t>DALYs</w:t>
      </w:r>
      <w:r>
        <w:rPr>
          <w:rFonts w:ascii="Times New Roman" w:hAnsi="Times New Roman"/>
          <w:sz w:val="20"/>
          <w:szCs w:val="20"/>
        </w:rPr>
        <w:t>:</w:t>
      </w:r>
      <w:r w:rsidRPr="00EE5FA4">
        <w:t xml:space="preserve"> </w:t>
      </w:r>
      <w:r w:rsidRPr="00EE5FA4">
        <w:rPr>
          <w:rFonts w:ascii="Times New Roman" w:hAnsi="Times New Roman"/>
          <w:sz w:val="20"/>
          <w:szCs w:val="20"/>
        </w:rPr>
        <w:t>disability-adjusted life-years</w:t>
      </w:r>
      <w:r w:rsidR="00DA6ECE">
        <w:rPr>
          <w:rFonts w:ascii="Times New Roman" w:hAnsi="Times New Roman"/>
          <w:sz w:val="20"/>
          <w:szCs w:val="20"/>
        </w:rPr>
        <w:t xml:space="preserve">; UI: </w:t>
      </w:r>
      <w:r w:rsidR="00DA6ECE" w:rsidRPr="00DA6ECE">
        <w:rPr>
          <w:rFonts w:ascii="Times New Roman" w:hAnsi="Times New Roman"/>
          <w:sz w:val="20"/>
          <w:szCs w:val="20"/>
        </w:rPr>
        <w:t>uncertainty interval</w:t>
      </w:r>
      <w:r>
        <w:rPr>
          <w:rFonts w:ascii="Times New Roman" w:hAnsi="Times New Roman"/>
          <w:sz w:val="20"/>
          <w:szCs w:val="20"/>
        </w:rPr>
        <w:t>.</w:t>
      </w:r>
    </w:p>
    <w:sectPr w:rsidR="00B95567" w:rsidSect="002037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F9C6CD" w14:textId="77777777" w:rsidR="009C0ED7" w:rsidRDefault="009C0ED7" w:rsidP="00725D8B">
      <w:r>
        <w:separator/>
      </w:r>
    </w:p>
  </w:endnote>
  <w:endnote w:type="continuationSeparator" w:id="0">
    <w:p w14:paraId="6EC2D6AE" w14:textId="77777777" w:rsidR="009C0ED7" w:rsidRDefault="009C0ED7" w:rsidP="00725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5114D9" w14:textId="77777777" w:rsidR="009C0ED7" w:rsidRDefault="009C0ED7" w:rsidP="00725D8B">
      <w:r>
        <w:separator/>
      </w:r>
    </w:p>
  </w:footnote>
  <w:footnote w:type="continuationSeparator" w:id="0">
    <w:p w14:paraId="131D560F" w14:textId="77777777" w:rsidR="009C0ED7" w:rsidRDefault="009C0ED7" w:rsidP="00725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54F"/>
    <w:rsid w:val="000E3C10"/>
    <w:rsid w:val="00175F32"/>
    <w:rsid w:val="001B554F"/>
    <w:rsid w:val="00202FF5"/>
    <w:rsid w:val="002037C8"/>
    <w:rsid w:val="00340AFE"/>
    <w:rsid w:val="003B7656"/>
    <w:rsid w:val="00574256"/>
    <w:rsid w:val="005B16FE"/>
    <w:rsid w:val="005C5183"/>
    <w:rsid w:val="00716BB9"/>
    <w:rsid w:val="00725D8B"/>
    <w:rsid w:val="007C6F4E"/>
    <w:rsid w:val="009C0ED7"/>
    <w:rsid w:val="009C5184"/>
    <w:rsid w:val="00B22E74"/>
    <w:rsid w:val="00B34A79"/>
    <w:rsid w:val="00B86999"/>
    <w:rsid w:val="00B95567"/>
    <w:rsid w:val="00DA6ECE"/>
    <w:rsid w:val="00F6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CC590F"/>
  <w15:chartTrackingRefBased/>
  <w15:docId w15:val="{405306A2-D2A3-44EB-87FC-B033A1991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7C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2037C8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header"/>
    <w:basedOn w:val="a"/>
    <w:link w:val="a4"/>
    <w:uiPriority w:val="99"/>
    <w:unhideWhenUsed/>
    <w:rsid w:val="00725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5D8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5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5D8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2021-03-12T02:46:00Z</dcterms:created>
  <dcterms:modified xsi:type="dcterms:W3CDTF">2021-04-21T09:17:00Z</dcterms:modified>
</cp:coreProperties>
</file>