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4E035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noProof/>
          <w:kern w:val="2"/>
          <w:sz w:val="24"/>
          <w:szCs w:val="32"/>
        </w:rPr>
        <w:drawing>
          <wp:inline distT="0" distB="0" distL="114300" distR="114300" wp14:anchorId="3022331F" wp14:editId="2B0FFDC9">
            <wp:extent cx="4531360" cy="3255645"/>
            <wp:effectExtent l="0" t="0" r="2540" b="190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271" b="13974"/>
                    <a:stretch>
                      <a:fillRect/>
                    </a:stretch>
                  </pic:blipFill>
                  <pic:spPr>
                    <a:xfrm>
                      <a:off x="0" y="0"/>
                      <a:ext cx="4531360" cy="32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A143D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Fig.S1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Analysis of pollen and female fertility of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the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dpp1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-1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mutant.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a: T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he seed-setting phenotype of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dpp1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-1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following saturated pollination with WT and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dpp1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 xml:space="preserve">-1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pollen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.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b: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The seed-setting rate of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dpp1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-1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mutant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s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following saturated pollination with WT and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dpp1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-1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pollen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. Bar: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3cm</w:t>
      </w:r>
      <w:proofErr w:type="spellEnd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(a).</w:t>
      </w:r>
    </w:p>
    <w:p w14:paraId="3C078DC0" w14:textId="5272EFD1" w:rsidR="00DF5764" w:rsidRDefault="00DF5764">
      <w:pPr>
        <w:widowControl/>
        <w:jc w:val="left"/>
        <w:rPr>
          <w:rFonts w:ascii="Times New Roman" w:eastAsia="宋体" w:hAnsi="Times New Roman" w:cs="Times New Roman"/>
          <w:kern w:val="2"/>
          <w:sz w:val="24"/>
          <w:szCs w:val="32"/>
        </w:rPr>
      </w:pPr>
      <w:r>
        <w:rPr>
          <w:rFonts w:ascii="Times New Roman" w:eastAsia="宋体" w:hAnsi="Times New Roman" w:cs="Times New Roman"/>
          <w:kern w:val="2"/>
          <w:sz w:val="24"/>
          <w:szCs w:val="32"/>
        </w:rPr>
        <w:br w:type="page"/>
      </w:r>
    </w:p>
    <w:p w14:paraId="1E670F8D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4"/>
          <w:szCs w:val="32"/>
        </w:rPr>
      </w:pPr>
    </w:p>
    <w:p w14:paraId="08D5C3EA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noProof/>
          <w:kern w:val="2"/>
          <w:sz w:val="24"/>
          <w:szCs w:val="32"/>
        </w:rPr>
        <w:drawing>
          <wp:inline distT="0" distB="0" distL="114300" distR="114300" wp14:anchorId="1F87D37A" wp14:editId="38C89F6D">
            <wp:extent cx="5292090" cy="3479165"/>
            <wp:effectExtent l="0" t="0" r="3810" b="698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" r="1726" b="8998"/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98E3A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Fig. </w:t>
      </w:r>
      <w:proofErr w:type="spellStart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S2</w:t>
      </w:r>
      <w:proofErr w:type="spellEnd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Phenotype of </w:t>
      </w:r>
      <w:proofErr w:type="spellStart"/>
      <w:r w:rsidRPr="00686F82">
        <w:rPr>
          <w:rFonts w:ascii="Times New Roman" w:eastAsia="宋体" w:hAnsi="Times New Roman" w:cs="Times New Roman" w:hint="eastAsia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-complementary transgenic plants, including panicle morphology (a), spikelet morphology (b), </w:t>
      </w:r>
      <w:proofErr w:type="spellStart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glumeless</w:t>
      </w:r>
      <w:proofErr w:type="spellEnd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anthers (d and e), and mature pollen grains stained using I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  <w:vertAlign w:val="subscript"/>
        </w:rPr>
        <w:t>2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-KI (g). Scale bars: </w:t>
      </w:r>
      <w:proofErr w:type="spellStart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2cm</w:t>
      </w:r>
      <w:proofErr w:type="spellEnd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(a); </w:t>
      </w:r>
      <w:proofErr w:type="spellStart"/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22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μm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(b);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140μm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(c-d);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0.6mm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(e);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50μm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(f-g). </w:t>
      </w:r>
    </w:p>
    <w:p w14:paraId="7855765C" w14:textId="7334B116" w:rsidR="004F2D31" w:rsidRPr="00DF5764" w:rsidRDefault="00DF5764" w:rsidP="00DF5764">
      <w:pPr>
        <w:widowControl/>
        <w:jc w:val="left"/>
        <w:rPr>
          <w:rFonts w:ascii="Times New Roman" w:eastAsia="宋体" w:hAnsi="Times New Roman" w:cs="Times New Roman"/>
          <w:kern w:val="2"/>
          <w:sz w:val="21"/>
          <w:szCs w:val="24"/>
        </w:rPr>
      </w:pPr>
      <w:r>
        <w:rPr>
          <w:rFonts w:ascii="Times New Roman" w:eastAsia="宋体" w:hAnsi="Times New Roman" w:cs="Times New Roman"/>
          <w:kern w:val="2"/>
          <w:sz w:val="21"/>
          <w:szCs w:val="24"/>
        </w:rPr>
        <w:br w:type="page"/>
      </w:r>
    </w:p>
    <w:p w14:paraId="70C3B45C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noProof/>
          <w:kern w:val="2"/>
          <w:sz w:val="24"/>
          <w:szCs w:val="32"/>
        </w:rPr>
        <w:lastRenderedPageBreak/>
        <w:drawing>
          <wp:inline distT="0" distB="0" distL="114300" distR="114300" wp14:anchorId="0398E39B" wp14:editId="1B605DF8">
            <wp:extent cx="5292090" cy="3369945"/>
            <wp:effectExtent l="0" t="0" r="3810" b="1905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2" t="2463"/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B1C05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Fig.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S3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The </w:t>
      </w:r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in vitro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dehydration analysis of fertile pollen in WT and</w:t>
      </w:r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 xml:space="preserve">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-1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from 0 second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s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to 30 minutes. Scale bars: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50μm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(a-t).</w:t>
      </w:r>
    </w:p>
    <w:p w14:paraId="3C9EA330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</w:p>
    <w:p w14:paraId="2CE74B32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18"/>
          <w:szCs w:val="21"/>
        </w:rPr>
      </w:pPr>
      <w:r w:rsidRPr="00686F82">
        <w:rPr>
          <w:rFonts w:ascii="Times New Roman" w:eastAsia="宋体" w:hAnsi="Times New Roman" w:cs="Times New Roman"/>
          <w:noProof/>
          <w:kern w:val="2"/>
          <w:sz w:val="24"/>
          <w:szCs w:val="32"/>
        </w:rPr>
        <w:lastRenderedPageBreak/>
        <w:drawing>
          <wp:inline distT="0" distB="0" distL="114300" distR="114300" wp14:anchorId="5B01B075" wp14:editId="6ADB6FA3">
            <wp:extent cx="5120005" cy="6438265"/>
            <wp:effectExtent l="0" t="0" r="4445" b="63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1"/>
                    <a:stretch>
                      <a:fillRect/>
                    </a:stretch>
                  </pic:blipFill>
                  <pic:spPr>
                    <a:xfrm>
                      <a:off x="0" y="0"/>
                      <a:ext cx="5120219" cy="6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C8013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Fig.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S4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DDP1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is highly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conserved across plant species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.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a: A phylogenetic tree of DDP1‐related homologs. b: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Protein s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equence alignment between DDP1 and its homologs.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Residues that are identical across the sequences are highlighted on a black background, while similar residues are indicated with a gray background for easy distinction. Three different colored lines indicate three conserved domains: a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FAE1_CUT1_RppA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domain,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a transmembrane region, and an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ACP_syn_III_C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domain; dashes (–) indicate gaps in the alignment.</w:t>
      </w:r>
    </w:p>
    <w:p w14:paraId="6C0A3A9B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4"/>
          <w:szCs w:val="32"/>
        </w:rPr>
      </w:pPr>
    </w:p>
    <w:p w14:paraId="5F77471D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noProof/>
          <w:kern w:val="2"/>
          <w:sz w:val="24"/>
          <w:szCs w:val="32"/>
        </w:rPr>
        <w:lastRenderedPageBreak/>
        <w:drawing>
          <wp:inline distT="0" distB="0" distL="114300" distR="114300" wp14:anchorId="7F56B912" wp14:editId="3D06E74B">
            <wp:extent cx="5292090" cy="3661410"/>
            <wp:effectExtent l="0" t="0" r="3810" b="15240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366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018A5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Fig.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S5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Predicted secondary structures and 3D models of WT,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 xml:space="preserve">-1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and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-2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. a: Predicted secondary structures of WT,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 xml:space="preserve">-1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and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2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.b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-d: Predicted 3D models of WT(b),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-1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(c) and </w:t>
      </w:r>
      <w:proofErr w:type="spellStart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ddp1</w:t>
      </w:r>
      <w:proofErr w:type="spellEnd"/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>-</w:t>
      </w:r>
      <w:r w:rsidRPr="00686F82">
        <w:rPr>
          <w:rFonts w:ascii="Times New Roman" w:eastAsia="宋体" w:hAnsi="Times New Roman" w:cs="Times New Roman" w:hint="eastAsia"/>
          <w:i/>
          <w:iCs/>
          <w:kern w:val="2"/>
          <w:sz w:val="21"/>
          <w:szCs w:val="24"/>
        </w:rPr>
        <w:t>2</w:t>
      </w:r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 xml:space="preserve">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(d).</w:t>
      </w:r>
    </w:p>
    <w:p w14:paraId="7EEE6E78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4"/>
          <w:szCs w:val="32"/>
        </w:rPr>
      </w:pPr>
    </w:p>
    <w:p w14:paraId="1C10ED9A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4"/>
          <w:szCs w:val="32"/>
        </w:rPr>
      </w:pPr>
    </w:p>
    <w:p w14:paraId="5077F819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noProof/>
          <w:kern w:val="2"/>
          <w:sz w:val="24"/>
          <w:szCs w:val="32"/>
        </w:rPr>
        <w:drawing>
          <wp:inline distT="0" distB="0" distL="114300" distR="114300" wp14:anchorId="4CE3F68C" wp14:editId="60762B94">
            <wp:extent cx="5292090" cy="1915795"/>
            <wp:effectExtent l="0" t="0" r="3810" b="825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7"/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5B80B" w14:textId="77777777" w:rsidR="004F2D31" w:rsidRPr="00686F82" w:rsidRDefault="004F2D31" w:rsidP="004F2D31">
      <w:pPr>
        <w:widowControl/>
        <w:spacing w:after="0" w:line="360" w:lineRule="auto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Fig. </w:t>
      </w:r>
      <w:proofErr w:type="spellStart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S6</w:t>
      </w:r>
      <w:proofErr w:type="spellEnd"/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 Schematic diagram of the expression of eight </w:t>
      </w:r>
      <w:r w:rsidRPr="00686F82">
        <w:rPr>
          <w:rFonts w:ascii="Times New Roman" w:eastAsia="宋体" w:hAnsi="Times New Roman" w:cs="Times New Roman"/>
          <w:i/>
          <w:iCs/>
          <w:kern w:val="2"/>
          <w:sz w:val="21"/>
          <w:szCs w:val="24"/>
        </w:rPr>
        <w:t xml:space="preserve">DDP1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homolog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s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>with unknown functions. The color intensity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 xml:space="preserve"> </w:t>
      </w:r>
      <w:r w:rsidRPr="00686F82">
        <w:rPr>
          <w:rFonts w:ascii="Times New Roman" w:eastAsia="宋体" w:hAnsi="Times New Roman" w:cs="Times New Roman"/>
          <w:kern w:val="2"/>
          <w:sz w:val="21"/>
          <w:szCs w:val="24"/>
        </w:rPr>
        <w:t xml:space="preserve">indicates the relative level of gene expression. </w:t>
      </w:r>
      <w:r w:rsidRPr="00686F82">
        <w:rPr>
          <w:rFonts w:ascii="Times New Roman" w:eastAsia="宋体" w:hAnsi="Times New Roman" w:cs="Times New Roman" w:hint="eastAsia"/>
          <w:kern w:val="2"/>
          <w:sz w:val="21"/>
          <w:szCs w:val="24"/>
        </w:rPr>
        <w:t>Darker shades correspond to higher expression levels, signifying more abundant transcript presence, whereas lighter shades represent lower expression levels, indicating less transcript abundance.</w:t>
      </w:r>
    </w:p>
    <w:p w14:paraId="42E70442" w14:textId="77777777" w:rsidR="00F70D06" w:rsidRDefault="00F70D06"/>
    <w:sectPr w:rsidR="00F70D0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A6693" w14:textId="77777777" w:rsidR="00FE5FF0" w:rsidRDefault="00FE5FF0" w:rsidP="004F2D31">
      <w:pPr>
        <w:spacing w:after="0" w:line="240" w:lineRule="auto"/>
      </w:pPr>
      <w:r>
        <w:separator/>
      </w:r>
    </w:p>
  </w:endnote>
  <w:endnote w:type="continuationSeparator" w:id="0">
    <w:p w14:paraId="3B9801E0" w14:textId="77777777" w:rsidR="00FE5FF0" w:rsidRDefault="00FE5FF0" w:rsidP="004F2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A4F8B" w14:textId="77777777" w:rsidR="00FE5FF0" w:rsidRDefault="00FE5FF0" w:rsidP="004F2D31">
      <w:pPr>
        <w:spacing w:after="0" w:line="240" w:lineRule="auto"/>
      </w:pPr>
      <w:r>
        <w:separator/>
      </w:r>
    </w:p>
  </w:footnote>
  <w:footnote w:type="continuationSeparator" w:id="0">
    <w:p w14:paraId="4B777AC4" w14:textId="77777777" w:rsidR="00FE5FF0" w:rsidRDefault="00FE5FF0" w:rsidP="004F2D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57E"/>
    <w:rsid w:val="002C7660"/>
    <w:rsid w:val="004F2D31"/>
    <w:rsid w:val="005E183C"/>
    <w:rsid w:val="009A657E"/>
    <w:rsid w:val="00DF5764"/>
    <w:rsid w:val="00F70D06"/>
    <w:rsid w:val="00FE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9304D1"/>
  <w14:defaultImageDpi w14:val="32767"/>
  <w15:chartTrackingRefBased/>
  <w15:docId w15:val="{623E7749-AFF5-472E-83A0-87D3E2862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2D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D3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F2D31"/>
  </w:style>
  <w:style w:type="paragraph" w:styleId="a5">
    <w:name w:val="footer"/>
    <w:basedOn w:val="a"/>
    <w:link w:val="a6"/>
    <w:uiPriority w:val="99"/>
    <w:unhideWhenUsed/>
    <w:rsid w:val="004F2D3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F2D31"/>
  </w:style>
  <w:style w:type="character" w:styleId="a7">
    <w:name w:val="line number"/>
    <w:basedOn w:val="a0"/>
    <w:uiPriority w:val="99"/>
    <w:semiHidden/>
    <w:unhideWhenUsed/>
    <w:rsid w:val="004F2D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景非 田</dc:creator>
  <cp:keywords/>
  <dc:description/>
  <cp:lastModifiedBy>景非 田</cp:lastModifiedBy>
  <cp:revision>3</cp:revision>
  <dcterms:created xsi:type="dcterms:W3CDTF">2024-07-29T12:03:00Z</dcterms:created>
  <dcterms:modified xsi:type="dcterms:W3CDTF">2024-07-29T12:08:00Z</dcterms:modified>
</cp:coreProperties>
</file>