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184DA" w14:textId="205132E0" w:rsidR="00CE6EAA" w:rsidRPr="00F2203D" w:rsidRDefault="00CE6EAA" w:rsidP="00B327F5">
      <w:pPr>
        <w:spacing w:before="100" w:beforeAutospacing="1" w:after="100" w:afterAutospacing="1"/>
        <w:rPr>
          <w:i/>
          <w:szCs w:val="24"/>
        </w:rPr>
      </w:pPr>
    </w:p>
    <w:p w14:paraId="2CB29489" w14:textId="0341F0B3" w:rsidR="00FF3503" w:rsidRPr="00F2203D" w:rsidRDefault="00535092" w:rsidP="00FF3503">
      <w:pPr>
        <w:spacing w:before="100" w:beforeAutospacing="1" w:after="100" w:afterAutospacing="1"/>
        <w:jc w:val="center"/>
        <w:rPr>
          <w:szCs w:val="24"/>
        </w:rPr>
      </w:pPr>
      <w:r w:rsidRPr="00F2203D">
        <w:rPr>
          <w:szCs w:val="24"/>
        </w:rPr>
        <w:t>Supp</w:t>
      </w:r>
      <w:r>
        <w:rPr>
          <w:szCs w:val="24"/>
        </w:rPr>
        <w:t>lementary</w:t>
      </w:r>
      <w:r w:rsidRPr="00F2203D">
        <w:rPr>
          <w:szCs w:val="24"/>
        </w:rPr>
        <w:t xml:space="preserve"> </w:t>
      </w:r>
      <w:r w:rsidR="00FF3503" w:rsidRPr="00F2203D">
        <w:rPr>
          <w:szCs w:val="24"/>
        </w:rPr>
        <w:t>Information for</w:t>
      </w:r>
    </w:p>
    <w:p w14:paraId="750EA2AA" w14:textId="3CF0AA92" w:rsidR="00B327F5" w:rsidRPr="001931AB" w:rsidRDefault="00B327F5" w:rsidP="00B327F5">
      <w:pPr>
        <w:spacing w:line="480" w:lineRule="auto"/>
        <w:jc w:val="center"/>
        <w:rPr>
          <w:b/>
          <w:sz w:val="40"/>
          <w:szCs w:val="40"/>
        </w:rPr>
      </w:pPr>
      <w:bookmarkStart w:id="0" w:name="_top"/>
      <w:bookmarkStart w:id="1" w:name="_Hlk162450878"/>
      <w:bookmarkEnd w:id="0"/>
      <w:r w:rsidRPr="001931AB">
        <w:rPr>
          <w:b/>
          <w:sz w:val="40"/>
          <w:szCs w:val="40"/>
        </w:rPr>
        <w:t>A Physics-Informed Stochastic Model for Long-Term Correlation of Earthquakes</w:t>
      </w:r>
    </w:p>
    <w:bookmarkEnd w:id="1"/>
    <w:p w14:paraId="0EEE5C22" w14:textId="75FA69C7" w:rsidR="00B327F5" w:rsidRPr="00C95469" w:rsidRDefault="00B327F5" w:rsidP="00B327F5">
      <w:pPr>
        <w:spacing w:line="480" w:lineRule="auto"/>
        <w:jc w:val="center"/>
        <w:rPr>
          <w:szCs w:val="24"/>
          <w:vertAlign w:val="superscript"/>
          <w:lang w:val="it-IT"/>
        </w:rPr>
      </w:pPr>
      <w:r w:rsidRPr="00C95469">
        <w:rPr>
          <w:szCs w:val="24"/>
          <w:lang w:val="it-IT"/>
        </w:rPr>
        <w:t>Simone Barani</w:t>
      </w:r>
      <w:r w:rsidRPr="00C95469">
        <w:rPr>
          <w:szCs w:val="24"/>
          <w:vertAlign w:val="superscript"/>
          <w:lang w:val="it-IT"/>
        </w:rPr>
        <w:t>1</w:t>
      </w:r>
      <w:r w:rsidRPr="00C95469">
        <w:rPr>
          <w:szCs w:val="24"/>
          <w:lang w:val="it-IT"/>
        </w:rPr>
        <w:t>, Matteo Taroni</w:t>
      </w:r>
      <w:r w:rsidRPr="00C95469">
        <w:rPr>
          <w:szCs w:val="24"/>
          <w:vertAlign w:val="superscript"/>
          <w:lang w:val="it-IT"/>
        </w:rPr>
        <w:t>2</w:t>
      </w:r>
      <w:r w:rsidRPr="00C95469">
        <w:rPr>
          <w:szCs w:val="24"/>
          <w:lang w:val="it-IT"/>
        </w:rPr>
        <w:t>, Davide Zaccagnino</w:t>
      </w:r>
      <w:r w:rsidRPr="00C95469">
        <w:rPr>
          <w:szCs w:val="24"/>
          <w:vertAlign w:val="superscript"/>
          <w:lang w:val="it-IT"/>
        </w:rPr>
        <w:t>2,3</w:t>
      </w:r>
      <w:r w:rsidRPr="00C95469">
        <w:rPr>
          <w:szCs w:val="24"/>
          <w:lang w:val="it-IT"/>
        </w:rPr>
        <w:t>, Pietro Artale Harris</w:t>
      </w:r>
      <w:r w:rsidRPr="00C95469">
        <w:rPr>
          <w:szCs w:val="24"/>
          <w:vertAlign w:val="superscript"/>
          <w:lang w:val="it-IT"/>
        </w:rPr>
        <w:t>2</w:t>
      </w:r>
      <w:r w:rsidRPr="00C95469">
        <w:rPr>
          <w:szCs w:val="24"/>
          <w:lang w:val="it-IT"/>
        </w:rPr>
        <w:t xml:space="preserve"> &amp; Giuseppe Petrillo</w:t>
      </w:r>
      <w:r w:rsidRPr="00C95469">
        <w:rPr>
          <w:szCs w:val="24"/>
          <w:vertAlign w:val="superscript"/>
          <w:lang w:val="it-IT"/>
        </w:rPr>
        <w:t>4,5</w:t>
      </w:r>
    </w:p>
    <w:p w14:paraId="69513AF9" w14:textId="77777777" w:rsidR="00B327F5" w:rsidRPr="00C95469" w:rsidRDefault="00B327F5" w:rsidP="00B327F5">
      <w:pPr>
        <w:pStyle w:val="BodyText"/>
        <w:rPr>
          <w:lang w:val="it-IT"/>
        </w:rPr>
      </w:pPr>
      <w:r w:rsidRPr="00C95469">
        <w:rPr>
          <w:vertAlign w:val="superscript"/>
          <w:lang w:val="it-IT"/>
        </w:rPr>
        <w:t>1</w:t>
      </w:r>
      <w:r w:rsidRPr="00C95469">
        <w:rPr>
          <w:lang w:val="it-IT"/>
        </w:rPr>
        <w:t>Dipartimento di Scienze della Terra dell’Ambiente e della Vita, Università degli Studi di Genova, Italy</w:t>
      </w:r>
    </w:p>
    <w:p w14:paraId="6C504C41" w14:textId="77777777" w:rsidR="00B327F5" w:rsidRPr="00C95469" w:rsidRDefault="00B327F5" w:rsidP="00B327F5">
      <w:pPr>
        <w:pStyle w:val="BodyText"/>
        <w:rPr>
          <w:lang w:val="it-IT"/>
        </w:rPr>
      </w:pPr>
      <w:r w:rsidRPr="00C95469">
        <w:rPr>
          <w:vertAlign w:val="superscript"/>
          <w:lang w:val="it-IT"/>
        </w:rPr>
        <w:t>2</w:t>
      </w:r>
      <w:r w:rsidRPr="00C95469">
        <w:rPr>
          <w:lang w:val="it-IT"/>
        </w:rPr>
        <w:t>Istituto Nazionale di Geofisica e Vulcanologia, Roma, Italy</w:t>
      </w:r>
    </w:p>
    <w:p w14:paraId="5F8A45BC" w14:textId="77777777" w:rsidR="00B327F5" w:rsidRPr="00C95469" w:rsidRDefault="00B327F5" w:rsidP="00B327F5">
      <w:pPr>
        <w:pStyle w:val="BodyText"/>
        <w:rPr>
          <w:lang w:val="it-IT"/>
        </w:rPr>
      </w:pPr>
      <w:r w:rsidRPr="00C95469">
        <w:rPr>
          <w:vertAlign w:val="superscript"/>
          <w:lang w:val="it-IT"/>
        </w:rPr>
        <w:t>3</w:t>
      </w:r>
      <w:r w:rsidRPr="00C95469">
        <w:rPr>
          <w:lang w:val="it-IT"/>
        </w:rPr>
        <w:t>Dipartimento di Scienze della Terra, Sapienza Università di Roma, Roma, Italy</w:t>
      </w:r>
    </w:p>
    <w:p w14:paraId="56A21B55" w14:textId="77777777" w:rsidR="00B327F5" w:rsidRPr="00246361" w:rsidRDefault="00B327F5" w:rsidP="00B327F5">
      <w:pPr>
        <w:pStyle w:val="BodyText"/>
      </w:pPr>
      <w:r w:rsidRPr="00246361">
        <w:rPr>
          <w:vertAlign w:val="superscript"/>
        </w:rPr>
        <w:t>4</w:t>
      </w:r>
      <w:r w:rsidRPr="00246361">
        <w:t>Scuola Superiore Meridionale, Napoli, Italy</w:t>
      </w:r>
    </w:p>
    <w:p w14:paraId="23FF6425" w14:textId="77777777" w:rsidR="00B327F5" w:rsidRPr="00246361" w:rsidRDefault="00B327F5" w:rsidP="00B327F5">
      <w:pPr>
        <w:pStyle w:val="BodyText"/>
      </w:pPr>
      <w:r w:rsidRPr="00246361">
        <w:rPr>
          <w:vertAlign w:val="superscript"/>
        </w:rPr>
        <w:t>5</w:t>
      </w:r>
      <w:r w:rsidRPr="00246361">
        <w:t>Earth Observatory of Singapore, Nanyang Technological University, Singapore</w:t>
      </w:r>
    </w:p>
    <w:p w14:paraId="17B1B83C" w14:textId="77777777" w:rsidR="00B327F5" w:rsidRPr="00246361" w:rsidRDefault="00B327F5" w:rsidP="00B327F5">
      <w:pPr>
        <w:pStyle w:val="BodyText"/>
      </w:pPr>
    </w:p>
    <w:p w14:paraId="347237BD" w14:textId="77777777" w:rsidR="00094365" w:rsidRPr="00246361" w:rsidRDefault="00094365" w:rsidP="000B2E64">
      <w:pPr>
        <w:spacing w:before="100" w:beforeAutospacing="1" w:after="100" w:afterAutospacing="1"/>
        <w:jc w:val="center"/>
        <w:rPr>
          <w:szCs w:val="24"/>
        </w:rPr>
      </w:pPr>
    </w:p>
    <w:p w14:paraId="1CD128B3" w14:textId="77777777" w:rsidR="00111843" w:rsidRPr="00F2203D" w:rsidRDefault="00111843" w:rsidP="00111843">
      <w:pPr>
        <w:rPr>
          <w:b/>
        </w:rPr>
      </w:pPr>
      <w:r w:rsidRPr="00F2203D">
        <w:rPr>
          <w:b/>
        </w:rPr>
        <w:t>Contents of this file</w:t>
      </w:r>
      <w:r w:rsidR="00E43D2D" w:rsidRPr="00F2203D">
        <w:rPr>
          <w:b/>
        </w:rPr>
        <w:t xml:space="preserve"> </w:t>
      </w:r>
    </w:p>
    <w:p w14:paraId="1F13291B" w14:textId="77777777" w:rsidR="00E43D2D" w:rsidRPr="00F2203D" w:rsidRDefault="00E43D2D" w:rsidP="00111843">
      <w:pPr>
        <w:rPr>
          <w:sz w:val="28"/>
          <w:szCs w:val="22"/>
        </w:rPr>
      </w:pPr>
    </w:p>
    <w:p w14:paraId="3D1CAEA0" w14:textId="1B634A23" w:rsidR="00111843" w:rsidRPr="00F2203D" w:rsidRDefault="00111843" w:rsidP="00111843">
      <w:pPr>
        <w:ind w:left="720"/>
        <w:rPr>
          <w:szCs w:val="24"/>
        </w:rPr>
      </w:pPr>
      <w:r w:rsidRPr="00F2203D">
        <w:rPr>
          <w:szCs w:val="24"/>
        </w:rPr>
        <w:t>Text S1 to S</w:t>
      </w:r>
      <w:r w:rsidR="009F2765" w:rsidRPr="00F2203D">
        <w:rPr>
          <w:szCs w:val="24"/>
        </w:rPr>
        <w:t>3</w:t>
      </w:r>
    </w:p>
    <w:p w14:paraId="10640459" w14:textId="07E9A5F0" w:rsidR="00111843" w:rsidRPr="00F2203D" w:rsidRDefault="00111843" w:rsidP="00111843">
      <w:pPr>
        <w:ind w:left="720"/>
        <w:rPr>
          <w:szCs w:val="24"/>
        </w:rPr>
      </w:pPr>
      <w:r w:rsidRPr="00F2203D">
        <w:rPr>
          <w:szCs w:val="24"/>
        </w:rPr>
        <w:t xml:space="preserve">Figures </w:t>
      </w:r>
      <w:r w:rsidR="00246361">
        <w:rPr>
          <w:szCs w:val="24"/>
        </w:rPr>
        <w:t>S</w:t>
      </w:r>
      <w:r w:rsidRPr="00F2203D">
        <w:rPr>
          <w:szCs w:val="24"/>
        </w:rPr>
        <w:t xml:space="preserve">1 to </w:t>
      </w:r>
      <w:r w:rsidR="00246361">
        <w:rPr>
          <w:szCs w:val="24"/>
        </w:rPr>
        <w:t>S</w:t>
      </w:r>
      <w:r w:rsidR="00B10120">
        <w:rPr>
          <w:szCs w:val="24"/>
        </w:rPr>
        <w:t>3</w:t>
      </w:r>
    </w:p>
    <w:p w14:paraId="6807841A" w14:textId="526A8AE8" w:rsidR="00111843" w:rsidRPr="00F2203D" w:rsidRDefault="00111843" w:rsidP="00111843">
      <w:pPr>
        <w:ind w:left="720"/>
        <w:rPr>
          <w:szCs w:val="24"/>
        </w:rPr>
      </w:pPr>
      <w:r w:rsidRPr="00F2203D">
        <w:rPr>
          <w:szCs w:val="24"/>
        </w:rPr>
        <w:t>Table S</w:t>
      </w:r>
      <w:r w:rsidR="00F2203D">
        <w:rPr>
          <w:szCs w:val="24"/>
        </w:rPr>
        <w:t>1</w:t>
      </w:r>
      <w:r w:rsidR="00AA76F3" w:rsidRPr="00F2203D">
        <w:rPr>
          <w:szCs w:val="24"/>
        </w:rPr>
        <w:t xml:space="preserve"> </w:t>
      </w:r>
    </w:p>
    <w:p w14:paraId="0363B503" w14:textId="77777777" w:rsidR="00111843" w:rsidRPr="00F2203D" w:rsidRDefault="00111843" w:rsidP="00111843">
      <w:pPr>
        <w:ind w:left="720"/>
      </w:pPr>
    </w:p>
    <w:p w14:paraId="79042C92" w14:textId="77777777" w:rsidR="00FF3503" w:rsidRPr="00F2203D" w:rsidRDefault="00FF3503" w:rsidP="00FF3503">
      <w:pPr>
        <w:spacing w:before="100" w:beforeAutospacing="1" w:after="100" w:afterAutospacing="1"/>
        <w:rPr>
          <w:b/>
          <w:szCs w:val="24"/>
        </w:rPr>
      </w:pPr>
      <w:r w:rsidRPr="00F2203D">
        <w:rPr>
          <w:b/>
          <w:bCs/>
          <w:szCs w:val="24"/>
        </w:rPr>
        <w:t>Introduction</w:t>
      </w:r>
      <w:r w:rsidRPr="00F2203D">
        <w:rPr>
          <w:b/>
          <w:szCs w:val="24"/>
        </w:rPr>
        <w:t xml:space="preserve"> </w:t>
      </w:r>
    </w:p>
    <w:p w14:paraId="302EE689" w14:textId="069194AA" w:rsidR="00FF3503" w:rsidRPr="00F2203D" w:rsidRDefault="009F2765" w:rsidP="007610F2">
      <w:pPr>
        <w:spacing w:before="100" w:beforeAutospacing="1" w:after="100" w:afterAutospacing="1"/>
        <w:rPr>
          <w:szCs w:val="24"/>
        </w:rPr>
      </w:pPr>
      <w:r w:rsidRPr="00F2203D">
        <w:rPr>
          <w:szCs w:val="24"/>
        </w:rPr>
        <w:t xml:space="preserve">The present supplement </w:t>
      </w:r>
      <w:r w:rsidR="00F2203D" w:rsidRPr="00F2203D">
        <w:rPr>
          <w:szCs w:val="24"/>
        </w:rPr>
        <w:t>presents</w:t>
      </w:r>
      <w:r w:rsidR="00FF3503" w:rsidRPr="00F2203D">
        <w:rPr>
          <w:szCs w:val="24"/>
        </w:rPr>
        <w:t>:</w:t>
      </w:r>
    </w:p>
    <w:p w14:paraId="4A557E86" w14:textId="403110F3" w:rsidR="00E84B68" w:rsidRPr="00E84B68" w:rsidRDefault="00E84B68" w:rsidP="007610F2">
      <w:pPr>
        <w:pStyle w:val="ListParagraph"/>
        <w:numPr>
          <w:ilvl w:val="0"/>
          <w:numId w:val="11"/>
        </w:numPr>
        <w:jc w:val="both"/>
        <w:rPr>
          <w:bCs/>
          <w:szCs w:val="24"/>
        </w:rPr>
      </w:pPr>
      <w:r>
        <w:rPr>
          <w:bCs/>
          <w:szCs w:val="24"/>
        </w:rPr>
        <w:t>a figure (</w:t>
      </w:r>
      <w:r w:rsidRPr="007610F2">
        <w:rPr>
          <w:b/>
          <w:szCs w:val="24"/>
        </w:rPr>
        <w:t>Figure S1</w:t>
      </w:r>
      <w:r>
        <w:rPr>
          <w:bCs/>
          <w:szCs w:val="24"/>
        </w:rPr>
        <w:t>) showing the e</w:t>
      </w:r>
      <w:r w:rsidRPr="00E84B68">
        <w:rPr>
          <w:bCs/>
          <w:szCs w:val="24"/>
        </w:rPr>
        <w:t xml:space="preserve">stimation of the Hurst exponent </w:t>
      </w:r>
      <w:r>
        <w:rPr>
          <w:bCs/>
          <w:szCs w:val="24"/>
        </w:rPr>
        <w:t>(</w:t>
      </w:r>
      <m:oMath>
        <m:f>
          <m:fPr>
            <m:type m:val="lin"/>
            <m:ctrlPr>
              <w:rPr>
                <w:rFonts w:ascii="Cambria Math" w:hAnsi="Cambria Math"/>
                <w:bCs/>
                <w:i/>
                <w:szCs w:val="24"/>
              </w:rPr>
            </m:ctrlPr>
          </m:fPr>
          <m:num>
            <m:r>
              <w:rPr>
                <w:rFonts w:ascii="Cambria Math" w:hAnsi="Cambria Math"/>
                <w:szCs w:val="24"/>
              </w:rPr>
              <m:t>R</m:t>
            </m:r>
          </m:num>
          <m:den>
            <m:r>
              <w:rPr>
                <w:rFonts w:ascii="Cambria Math" w:hAnsi="Cambria Math"/>
                <w:szCs w:val="24"/>
              </w:rPr>
              <m:t>S</m:t>
            </m:r>
          </m:den>
        </m:f>
      </m:oMath>
      <w:r>
        <w:rPr>
          <w:bCs/>
          <w:szCs w:val="24"/>
        </w:rPr>
        <w:t xml:space="preserve"> vs time) </w:t>
      </w:r>
      <w:r w:rsidRPr="00E84B68">
        <w:rPr>
          <w:bCs/>
          <w:szCs w:val="24"/>
        </w:rPr>
        <w:t xml:space="preserve">associated with the time series of the yearly number of earthquakes for the three examples shown in Figure </w:t>
      </w:r>
      <w:r w:rsidR="007610F2">
        <w:rPr>
          <w:bCs/>
          <w:szCs w:val="24"/>
        </w:rPr>
        <w:t>1</w:t>
      </w:r>
      <w:r w:rsidRPr="00E84B68">
        <w:rPr>
          <w:rFonts w:eastAsiaTheme="minorEastAsia"/>
          <w:color w:val="000000"/>
          <w:szCs w:val="24"/>
        </w:rPr>
        <w:t>.</w:t>
      </w:r>
    </w:p>
    <w:p w14:paraId="221268C2" w14:textId="2C7947C1" w:rsidR="00F2203D" w:rsidRPr="00F2203D" w:rsidRDefault="00F2203D" w:rsidP="00F2203D">
      <w:pPr>
        <w:numPr>
          <w:ilvl w:val="0"/>
          <w:numId w:val="11"/>
        </w:numPr>
        <w:spacing w:before="100" w:beforeAutospacing="1" w:after="100" w:afterAutospacing="1"/>
        <w:jc w:val="both"/>
        <w:rPr>
          <w:szCs w:val="24"/>
        </w:rPr>
      </w:pPr>
      <w:r w:rsidRPr="00F2203D">
        <w:rPr>
          <w:szCs w:val="24"/>
        </w:rPr>
        <w:t>an example showing the crossover effect that sometimes appears in the analysis of time series of processes exhibiting periodic variations; specifically, we present an example showing the crossover from a persistent to an independent random behavior (</w:t>
      </w:r>
      <w:r w:rsidRPr="00F2203D">
        <w:rPr>
          <w:b/>
          <w:bCs/>
          <w:szCs w:val="24"/>
        </w:rPr>
        <w:t>Text S1</w:t>
      </w:r>
      <w:r w:rsidR="00B21496" w:rsidRPr="00B21496">
        <w:rPr>
          <w:szCs w:val="24"/>
        </w:rPr>
        <w:t xml:space="preserve"> and </w:t>
      </w:r>
      <w:r w:rsidR="00B21496">
        <w:rPr>
          <w:b/>
          <w:bCs/>
          <w:szCs w:val="24"/>
        </w:rPr>
        <w:t xml:space="preserve">Figure </w:t>
      </w:r>
      <w:r w:rsidR="00E84B68">
        <w:rPr>
          <w:b/>
          <w:bCs/>
          <w:szCs w:val="24"/>
        </w:rPr>
        <w:t>S2</w:t>
      </w:r>
      <w:r w:rsidRPr="00F2203D">
        <w:rPr>
          <w:szCs w:val="24"/>
        </w:rPr>
        <w:t>).</w:t>
      </w:r>
      <w:r w:rsidR="00FF3503" w:rsidRPr="00F2203D">
        <w:rPr>
          <w:szCs w:val="24"/>
        </w:rPr>
        <w:t xml:space="preserve"> </w:t>
      </w:r>
    </w:p>
    <w:p w14:paraId="124ED53D" w14:textId="4150734C" w:rsidR="00FF3503" w:rsidRPr="00F2203D" w:rsidRDefault="00F2203D" w:rsidP="00F2203D">
      <w:pPr>
        <w:numPr>
          <w:ilvl w:val="0"/>
          <w:numId w:val="11"/>
        </w:numPr>
        <w:spacing w:before="100" w:beforeAutospacing="1" w:after="100" w:afterAutospacing="1"/>
        <w:jc w:val="both"/>
        <w:rPr>
          <w:szCs w:val="24"/>
        </w:rPr>
      </w:pPr>
      <w:r w:rsidRPr="00F2203D">
        <w:rPr>
          <w:szCs w:val="24"/>
        </w:rPr>
        <w:lastRenderedPageBreak/>
        <w:t xml:space="preserve">the magnitude-frequency distributions associated with the catalogs shown in Figure </w:t>
      </w:r>
      <w:r w:rsidR="00973185">
        <w:rPr>
          <w:szCs w:val="24"/>
        </w:rPr>
        <w:t>1</w:t>
      </w:r>
      <w:r w:rsidRPr="00F2203D">
        <w:rPr>
          <w:szCs w:val="24"/>
        </w:rPr>
        <w:t xml:space="preserve"> of the main document (</w:t>
      </w:r>
      <w:r w:rsidRPr="00F2203D">
        <w:rPr>
          <w:b/>
          <w:bCs/>
          <w:szCs w:val="24"/>
        </w:rPr>
        <w:t xml:space="preserve">Text </w:t>
      </w:r>
      <w:r w:rsidR="00B21496">
        <w:rPr>
          <w:b/>
          <w:bCs/>
          <w:szCs w:val="24"/>
        </w:rPr>
        <w:t>S</w:t>
      </w:r>
      <w:r w:rsidRPr="00F2203D">
        <w:rPr>
          <w:b/>
          <w:bCs/>
          <w:szCs w:val="24"/>
        </w:rPr>
        <w:t>2</w:t>
      </w:r>
      <w:r w:rsidR="00B21496" w:rsidRPr="00B21496">
        <w:rPr>
          <w:szCs w:val="24"/>
        </w:rPr>
        <w:t xml:space="preserve"> and </w:t>
      </w:r>
      <w:r w:rsidR="00B21496">
        <w:rPr>
          <w:b/>
          <w:bCs/>
          <w:szCs w:val="24"/>
        </w:rPr>
        <w:t xml:space="preserve">Figure </w:t>
      </w:r>
      <w:r w:rsidR="00E84B68">
        <w:rPr>
          <w:b/>
          <w:bCs/>
          <w:szCs w:val="24"/>
        </w:rPr>
        <w:t>S3</w:t>
      </w:r>
      <w:r w:rsidRPr="00F2203D">
        <w:rPr>
          <w:szCs w:val="24"/>
        </w:rPr>
        <w:t>).</w:t>
      </w:r>
    </w:p>
    <w:p w14:paraId="218F825A" w14:textId="7741365B" w:rsidR="00FF3503" w:rsidRPr="00F2203D" w:rsidRDefault="00400604" w:rsidP="00F2203D">
      <w:pPr>
        <w:numPr>
          <w:ilvl w:val="0"/>
          <w:numId w:val="11"/>
        </w:numPr>
        <w:spacing w:before="100" w:beforeAutospacing="1" w:after="100" w:afterAutospacing="1"/>
        <w:jc w:val="both"/>
        <w:rPr>
          <w:szCs w:val="24"/>
        </w:rPr>
      </w:pPr>
      <w:r>
        <w:rPr>
          <w:szCs w:val="24"/>
        </w:rPr>
        <w:t>a</w:t>
      </w:r>
      <w:r w:rsidR="00F2203D" w:rsidRPr="00F2203D">
        <w:rPr>
          <w:szCs w:val="24"/>
        </w:rPr>
        <w:t xml:space="preserve"> modified version of the simulator that incorporates aftershock triggering according to the Omori-Utsu law (e.g., Utsu, 1995); we show that long memory in seismicity in insensitive to aftershock triggering (</w:t>
      </w:r>
      <w:r w:rsidR="00F2203D" w:rsidRPr="00F2203D">
        <w:rPr>
          <w:b/>
          <w:bCs/>
          <w:szCs w:val="24"/>
        </w:rPr>
        <w:t xml:space="preserve">Text </w:t>
      </w:r>
      <w:r w:rsidR="00B21496">
        <w:rPr>
          <w:b/>
          <w:bCs/>
          <w:szCs w:val="24"/>
        </w:rPr>
        <w:t>S3</w:t>
      </w:r>
      <w:r w:rsidR="00B21496">
        <w:rPr>
          <w:szCs w:val="24"/>
        </w:rPr>
        <w:t xml:space="preserve"> and </w:t>
      </w:r>
      <w:r w:rsidR="00B21496" w:rsidRPr="00B21496">
        <w:rPr>
          <w:b/>
          <w:bCs/>
          <w:szCs w:val="24"/>
        </w:rPr>
        <w:t>Table S1</w:t>
      </w:r>
      <w:r w:rsidR="00B21496">
        <w:rPr>
          <w:szCs w:val="24"/>
        </w:rPr>
        <w:t>)</w:t>
      </w:r>
      <w:r w:rsidR="00F2203D" w:rsidRPr="00F2203D">
        <w:rPr>
          <w:szCs w:val="24"/>
        </w:rPr>
        <w:t>.</w:t>
      </w:r>
    </w:p>
    <w:p w14:paraId="19886F0B" w14:textId="77777777" w:rsidR="002C030F" w:rsidRPr="00F2203D" w:rsidRDefault="002C030F"/>
    <w:p w14:paraId="667D8CA8" w14:textId="2DD55234" w:rsidR="00015F74" w:rsidRPr="00630B9F" w:rsidRDefault="00015F74" w:rsidP="00B9440A">
      <w:pPr>
        <w:pStyle w:val="SMHeading"/>
      </w:pPr>
      <w:r w:rsidRPr="00630B9F">
        <w:t>Text</w:t>
      </w:r>
      <w:r w:rsidR="00D60BB0" w:rsidRPr="00630B9F">
        <w:t xml:space="preserve"> S1.</w:t>
      </w:r>
      <w:r w:rsidR="00F2203D" w:rsidRPr="00630B9F">
        <w:rPr>
          <w:b w:val="0"/>
          <w:bCs w:val="0"/>
        </w:rPr>
        <w:t xml:space="preserve"> Crossover effect</w:t>
      </w:r>
    </w:p>
    <w:p w14:paraId="76AF2D27" w14:textId="6A51E4D9" w:rsidR="001265FA" w:rsidRDefault="00F2203D" w:rsidP="00F2203D">
      <w:pPr>
        <w:pStyle w:val="SMText"/>
        <w:jc w:val="both"/>
        <w:rPr>
          <w:iCs/>
          <w:color w:val="000000"/>
          <w:szCs w:val="24"/>
        </w:rPr>
      </w:pPr>
      <w:r w:rsidRPr="00F2203D">
        <w:rPr>
          <w:iCs/>
          <w:color w:val="000000"/>
          <w:szCs w:val="24"/>
        </w:rPr>
        <w:t>Figure S</w:t>
      </w:r>
      <w:r w:rsidR="00E84B68">
        <w:rPr>
          <w:iCs/>
          <w:color w:val="000000"/>
          <w:szCs w:val="24"/>
        </w:rPr>
        <w:t>2</w:t>
      </w:r>
      <w:r w:rsidRPr="00F2203D">
        <w:rPr>
          <w:iCs/>
          <w:color w:val="000000"/>
          <w:szCs w:val="24"/>
        </w:rPr>
        <w:t xml:space="preserve"> shows the rescaled range analysis (i.e., </w:t>
      </w:r>
      <m:oMath>
        <m:f>
          <m:fPr>
            <m:type m:val="lin"/>
            <m:ctrlPr>
              <w:rPr>
                <w:rFonts w:ascii="Cambria Math" w:hAnsi="Cambria Math"/>
                <w:i/>
                <w:color w:val="000000"/>
                <w:szCs w:val="24"/>
              </w:rPr>
            </m:ctrlPr>
          </m:fPr>
          <m:num>
            <m:r>
              <w:rPr>
                <w:rFonts w:ascii="Cambria Math" w:hAnsi="Cambria Math"/>
                <w:color w:val="000000"/>
                <w:szCs w:val="24"/>
              </w:rPr>
              <m:t>R</m:t>
            </m:r>
          </m:num>
          <m:den>
            <m:r>
              <w:rPr>
                <w:rFonts w:ascii="Cambria Math" w:hAnsi="Cambria Math"/>
                <w:color w:val="000000"/>
                <w:szCs w:val="24"/>
              </w:rPr>
              <m:t>S</m:t>
            </m:r>
          </m:den>
        </m:f>
      </m:oMath>
      <w:r w:rsidRPr="00F2203D">
        <w:rPr>
          <w:i/>
          <w:iCs/>
          <w:szCs w:val="24"/>
        </w:rPr>
        <w:t xml:space="preserve"> </w:t>
      </w:r>
      <w:r w:rsidRPr="00F2203D">
        <w:rPr>
          <w:szCs w:val="24"/>
        </w:rPr>
        <w:t xml:space="preserve">as a function of the lag </w:t>
      </w:r>
      <w:r w:rsidRPr="00630B9F">
        <w:rPr>
          <w:i/>
          <w:iCs/>
          <w:szCs w:val="24"/>
        </w:rPr>
        <w:t>τ</w:t>
      </w:r>
      <w:r w:rsidRPr="00F2203D">
        <w:rPr>
          <w:szCs w:val="24"/>
        </w:rPr>
        <w:t xml:space="preserve">) for </w:t>
      </w:r>
      <w:r w:rsidRPr="00F2203D">
        <w:rPr>
          <w:iCs/>
          <w:color w:val="000000"/>
          <w:szCs w:val="24"/>
        </w:rPr>
        <w:t>a simulation carried out with the same setup of trial 4a in Table 1</w:t>
      </w:r>
      <w:r w:rsidR="00630B9F">
        <w:rPr>
          <w:iCs/>
          <w:color w:val="000000"/>
          <w:szCs w:val="24"/>
        </w:rPr>
        <w:t xml:space="preserve"> of the main article</w:t>
      </w:r>
      <w:r w:rsidRPr="00F2203D">
        <w:rPr>
          <w:iCs/>
          <w:color w:val="000000"/>
          <w:szCs w:val="24"/>
        </w:rPr>
        <w:t xml:space="preserve">. The value of the Hurst exponent obtained by regression over all points is equal to 0.76. However, a closer look at the figure reveals a crossover around </w:t>
      </w:r>
      <w:r w:rsidRPr="00F2203D">
        <w:rPr>
          <w:i/>
          <w:color w:val="000000"/>
          <w:szCs w:val="24"/>
        </w:rPr>
        <w:t>τ</w:t>
      </w:r>
      <w:r w:rsidRPr="00F2203D">
        <w:rPr>
          <w:iCs/>
          <w:color w:val="000000"/>
          <w:szCs w:val="24"/>
        </w:rPr>
        <w:t xml:space="preserve"> </w:t>
      </w:r>
      <w:r w:rsidRPr="00F2203D">
        <w:rPr>
          <w:szCs w:val="24"/>
        </w:rPr>
        <w:t xml:space="preserve">= 8192 years. For times up to about 8192 years, we observe a persistent behavior with </w:t>
      </w:r>
      <w:r w:rsidRPr="00F2203D">
        <w:rPr>
          <w:i/>
          <w:iCs/>
          <w:szCs w:val="24"/>
        </w:rPr>
        <w:t>H</w:t>
      </w:r>
      <w:r w:rsidRPr="00F2203D">
        <w:rPr>
          <w:szCs w:val="24"/>
        </w:rPr>
        <w:t xml:space="preserve"> = 0.83. On the other hand, for lags above 8192 years, we find </w:t>
      </w:r>
      <w:r w:rsidRPr="00F2203D">
        <w:rPr>
          <w:i/>
          <w:iCs/>
          <w:szCs w:val="24"/>
        </w:rPr>
        <w:t>H</w:t>
      </w:r>
      <w:r w:rsidRPr="00F2203D">
        <w:rPr>
          <w:szCs w:val="24"/>
        </w:rPr>
        <w:t xml:space="preserve"> = 0.48, consistent with an independent process. This particular structure (the reverse pattern</w:t>
      </w:r>
      <w:r w:rsidR="00630B9F">
        <w:rPr>
          <w:szCs w:val="24"/>
        </w:rPr>
        <w:t>, from independent to persistent behavior,</w:t>
      </w:r>
      <w:r w:rsidRPr="00F2203D">
        <w:rPr>
          <w:szCs w:val="24"/>
        </w:rPr>
        <w:t xml:space="preserve"> may be also observed) is often related to periodic variations in natural processes</w:t>
      </w:r>
      <w:r w:rsidR="009725D3" w:rsidRPr="009725D3">
        <w:rPr>
          <w:szCs w:val="24"/>
          <w:vertAlign w:val="superscript"/>
        </w:rPr>
        <w:t>67</w:t>
      </w:r>
      <w:r w:rsidRPr="00F2203D">
        <w:rPr>
          <w:szCs w:val="24"/>
        </w:rPr>
        <w:t>. In these cases, one</w:t>
      </w:r>
      <w:r w:rsidRPr="00F2203D">
        <w:rPr>
          <w:iCs/>
          <w:color w:val="000000"/>
          <w:szCs w:val="24"/>
        </w:rPr>
        <w:t xml:space="preserve"> can conclude that the earthquake statistics are persistent with a highly anomalous value of the Hurst exponent </w:t>
      </w:r>
      <w:r w:rsidRPr="00F2203D">
        <w:rPr>
          <w:i/>
          <w:color w:val="000000"/>
          <w:szCs w:val="24"/>
        </w:rPr>
        <w:t>H</w:t>
      </w:r>
      <w:r w:rsidRPr="00F2203D">
        <w:rPr>
          <w:iCs/>
          <w:color w:val="000000"/>
          <w:szCs w:val="24"/>
        </w:rPr>
        <w:t xml:space="preserve"> = 0.76.</w:t>
      </w:r>
    </w:p>
    <w:p w14:paraId="1A3EFCE7" w14:textId="77777777" w:rsidR="00630B9F" w:rsidRDefault="00630B9F" w:rsidP="00F2203D">
      <w:pPr>
        <w:pStyle w:val="SMText"/>
        <w:jc w:val="both"/>
        <w:rPr>
          <w:iCs/>
          <w:color w:val="000000"/>
          <w:szCs w:val="24"/>
        </w:rPr>
      </w:pPr>
    </w:p>
    <w:p w14:paraId="79553E26" w14:textId="0617DDD6" w:rsidR="00630B9F" w:rsidRPr="00630B9F" w:rsidRDefault="00630B9F" w:rsidP="00630B9F">
      <w:pPr>
        <w:pStyle w:val="SMHeading"/>
      </w:pPr>
      <w:r w:rsidRPr="00630B9F">
        <w:t>Text S</w:t>
      </w:r>
      <w:r>
        <w:t>2</w:t>
      </w:r>
      <w:r w:rsidRPr="00630B9F">
        <w:t>.</w:t>
      </w:r>
      <w:r w:rsidRPr="00630B9F">
        <w:rPr>
          <w:b w:val="0"/>
          <w:bCs w:val="0"/>
        </w:rPr>
        <w:t xml:space="preserve"> </w:t>
      </w:r>
      <w:r>
        <w:rPr>
          <w:b w:val="0"/>
          <w:bCs w:val="0"/>
        </w:rPr>
        <w:t>Magnitude-frequency distributions</w:t>
      </w:r>
    </w:p>
    <w:p w14:paraId="1EA2048B" w14:textId="6C7AE620" w:rsidR="00630B9F" w:rsidRDefault="00630B9F" w:rsidP="00630B9F">
      <w:pPr>
        <w:pStyle w:val="SMText"/>
        <w:jc w:val="both"/>
        <w:rPr>
          <w:iCs/>
          <w:color w:val="000000"/>
          <w:szCs w:val="24"/>
        </w:rPr>
      </w:pPr>
      <w:r w:rsidRPr="00630B9F">
        <w:rPr>
          <w:iCs/>
          <w:color w:val="000000"/>
          <w:szCs w:val="24"/>
        </w:rPr>
        <w:t>Figure S</w:t>
      </w:r>
      <w:r w:rsidR="00E84B68">
        <w:rPr>
          <w:iCs/>
          <w:color w:val="000000"/>
          <w:szCs w:val="24"/>
        </w:rPr>
        <w:t>3</w:t>
      </w:r>
      <w:r w:rsidRPr="00630B9F">
        <w:rPr>
          <w:iCs/>
          <w:color w:val="000000"/>
          <w:szCs w:val="24"/>
        </w:rPr>
        <w:t xml:space="preserve"> shows the magnitude</w:t>
      </w:r>
      <w:r>
        <w:rPr>
          <w:iCs/>
          <w:color w:val="000000"/>
          <w:szCs w:val="24"/>
        </w:rPr>
        <w:t>-</w:t>
      </w:r>
      <w:r w:rsidRPr="00630B9F">
        <w:rPr>
          <w:iCs/>
          <w:color w:val="000000"/>
          <w:szCs w:val="24"/>
        </w:rPr>
        <w:t>frequency distribution</w:t>
      </w:r>
      <w:r>
        <w:rPr>
          <w:iCs/>
          <w:color w:val="000000"/>
          <w:szCs w:val="24"/>
        </w:rPr>
        <w:t>s determined</w:t>
      </w:r>
      <w:r w:rsidRPr="00630B9F">
        <w:rPr>
          <w:iCs/>
          <w:color w:val="000000"/>
          <w:szCs w:val="24"/>
        </w:rPr>
        <w:t xml:space="preserve"> for the</w:t>
      </w:r>
      <w:r>
        <w:rPr>
          <w:iCs/>
          <w:color w:val="000000"/>
          <w:szCs w:val="24"/>
        </w:rPr>
        <w:t xml:space="preserve"> </w:t>
      </w:r>
      <w:r w:rsidRPr="00630B9F">
        <w:rPr>
          <w:iCs/>
          <w:color w:val="000000"/>
          <w:szCs w:val="24"/>
        </w:rPr>
        <w:t>catalogs presented in Fig</w:t>
      </w:r>
      <w:r>
        <w:rPr>
          <w:iCs/>
          <w:color w:val="000000"/>
          <w:szCs w:val="24"/>
        </w:rPr>
        <w:t>ure</w:t>
      </w:r>
      <w:r w:rsidRPr="00630B9F">
        <w:rPr>
          <w:iCs/>
          <w:color w:val="000000"/>
          <w:szCs w:val="24"/>
        </w:rPr>
        <w:t xml:space="preserve"> </w:t>
      </w:r>
      <w:r w:rsidR="007610F2">
        <w:rPr>
          <w:iCs/>
          <w:color w:val="000000"/>
          <w:szCs w:val="24"/>
        </w:rPr>
        <w:t>1</w:t>
      </w:r>
      <w:r w:rsidRPr="00630B9F">
        <w:rPr>
          <w:iCs/>
          <w:color w:val="000000"/>
          <w:szCs w:val="24"/>
        </w:rPr>
        <w:t xml:space="preserve"> of the</w:t>
      </w:r>
      <w:r>
        <w:rPr>
          <w:iCs/>
          <w:color w:val="000000"/>
          <w:szCs w:val="24"/>
        </w:rPr>
        <w:t xml:space="preserve"> </w:t>
      </w:r>
      <w:r w:rsidR="00400604">
        <w:rPr>
          <w:iCs/>
          <w:color w:val="000000"/>
          <w:szCs w:val="24"/>
        </w:rPr>
        <w:t xml:space="preserve">main </w:t>
      </w:r>
      <w:r>
        <w:rPr>
          <w:iCs/>
          <w:color w:val="000000"/>
          <w:szCs w:val="24"/>
        </w:rPr>
        <w:t>article</w:t>
      </w:r>
      <w:r w:rsidRPr="00630B9F">
        <w:rPr>
          <w:iCs/>
          <w:color w:val="000000"/>
          <w:szCs w:val="24"/>
        </w:rPr>
        <w:t xml:space="preserve">. These distributions </w:t>
      </w:r>
      <w:r>
        <w:rPr>
          <w:iCs/>
          <w:color w:val="000000"/>
          <w:szCs w:val="24"/>
        </w:rPr>
        <w:t xml:space="preserve">appear consistent with </w:t>
      </w:r>
      <w:r w:rsidRPr="00630B9F">
        <w:rPr>
          <w:iCs/>
          <w:color w:val="000000"/>
          <w:szCs w:val="24"/>
        </w:rPr>
        <w:t xml:space="preserve">truncated Gutenberg-Richter distributions, </w:t>
      </w:r>
      <w:r w:rsidR="00400604">
        <w:rPr>
          <w:iCs/>
          <w:color w:val="000000"/>
          <w:szCs w:val="24"/>
        </w:rPr>
        <w:t xml:space="preserve">thus </w:t>
      </w:r>
      <w:r>
        <w:rPr>
          <w:iCs/>
          <w:color w:val="000000"/>
          <w:szCs w:val="24"/>
        </w:rPr>
        <w:t xml:space="preserve">in agreement </w:t>
      </w:r>
      <w:r w:rsidRPr="00630B9F">
        <w:rPr>
          <w:iCs/>
          <w:color w:val="000000"/>
          <w:szCs w:val="24"/>
        </w:rPr>
        <w:t xml:space="preserve">with the </w:t>
      </w:r>
      <w:r>
        <w:rPr>
          <w:iCs/>
          <w:color w:val="000000"/>
          <w:szCs w:val="24"/>
        </w:rPr>
        <w:t xml:space="preserve">assumption at the core </w:t>
      </w:r>
      <w:r w:rsidRPr="00630B9F">
        <w:rPr>
          <w:iCs/>
          <w:color w:val="000000"/>
          <w:szCs w:val="24"/>
        </w:rPr>
        <w:t>of the simulator.</w:t>
      </w:r>
    </w:p>
    <w:p w14:paraId="7DF22217" w14:textId="77777777" w:rsidR="008A1B05" w:rsidRDefault="008A1B05" w:rsidP="00630B9F">
      <w:pPr>
        <w:pStyle w:val="SMText"/>
        <w:jc w:val="both"/>
        <w:rPr>
          <w:iCs/>
          <w:color w:val="000000"/>
          <w:szCs w:val="24"/>
        </w:rPr>
      </w:pPr>
    </w:p>
    <w:p w14:paraId="7EDA4E80" w14:textId="3FD55672" w:rsidR="008A1B05" w:rsidRPr="00630B9F" w:rsidRDefault="008A1B05" w:rsidP="008A1B05">
      <w:pPr>
        <w:pStyle w:val="SMHeading"/>
      </w:pPr>
      <w:r w:rsidRPr="00630B9F">
        <w:t>Text S</w:t>
      </w:r>
      <w:r>
        <w:t>3</w:t>
      </w:r>
      <w:r w:rsidRPr="00630B9F">
        <w:t>.</w:t>
      </w:r>
      <w:r w:rsidRPr="00630B9F">
        <w:rPr>
          <w:b w:val="0"/>
          <w:bCs w:val="0"/>
        </w:rPr>
        <w:t xml:space="preserve"> </w:t>
      </w:r>
      <w:r w:rsidRPr="008A1B05">
        <w:rPr>
          <w:b w:val="0"/>
          <w:bCs w:val="0"/>
        </w:rPr>
        <w:t>Influence of aftershock triggering on long</w:t>
      </w:r>
      <w:r>
        <w:rPr>
          <w:b w:val="0"/>
          <w:bCs w:val="0"/>
        </w:rPr>
        <w:t xml:space="preserve"> </w:t>
      </w:r>
      <w:r w:rsidRPr="008A1B05">
        <w:rPr>
          <w:b w:val="0"/>
          <w:bCs w:val="0"/>
        </w:rPr>
        <w:t>memory</w:t>
      </w:r>
    </w:p>
    <w:p w14:paraId="0B2FBF02" w14:textId="0008639C" w:rsidR="008A1B05" w:rsidRDefault="008A1B05" w:rsidP="00B1012E">
      <w:pPr>
        <w:ind w:firstLine="482"/>
        <w:jc w:val="both"/>
        <w:rPr>
          <w:color w:val="000000"/>
          <w:szCs w:val="24"/>
        </w:rPr>
      </w:pPr>
      <w:r w:rsidRPr="00B1012E">
        <w:rPr>
          <w:iCs/>
          <w:color w:val="000000"/>
          <w:szCs w:val="24"/>
        </w:rPr>
        <w:t xml:space="preserve">Our standard simulator does not account for the triggering of aftershock sequences, at least according to the conventional view. To what extent do aftershock sequences affect the long memory in the seismic process? </w:t>
      </w:r>
      <w:r w:rsidRPr="00AA0B9C">
        <w:rPr>
          <w:color w:val="000000"/>
          <w:szCs w:val="24"/>
        </w:rPr>
        <w:t xml:space="preserve">To answer this question, we developed a modified version of our simulator, which implements the triggering of aftershocks according to the Omori-Utsu </w:t>
      </w:r>
      <w:r w:rsidRPr="00B1012E">
        <w:rPr>
          <w:color w:val="000000"/>
          <w:szCs w:val="24"/>
        </w:rPr>
        <w:t>law (e.g., Utsu, 1995). Specifically</w:t>
      </w:r>
      <w:r w:rsidRPr="00F41864">
        <w:rPr>
          <w:color w:val="000000"/>
          <w:szCs w:val="24"/>
        </w:rPr>
        <w:t xml:space="preserve">, an aftershock sequence is triggered when the earthquake magnitude sampled from </w:t>
      </w:r>
      <w:r>
        <w:rPr>
          <w:color w:val="000000"/>
          <w:szCs w:val="24"/>
        </w:rPr>
        <w:t xml:space="preserve">the </w:t>
      </w:r>
      <w:r w:rsidRPr="00F41864">
        <w:rPr>
          <w:color w:val="000000"/>
          <w:szCs w:val="24"/>
        </w:rPr>
        <w:t>Gutenberg-Richter distribution (</w:t>
      </w:r>
      <w:r w:rsidR="007D7E61">
        <w:rPr>
          <w:color w:val="000000"/>
          <w:szCs w:val="24"/>
        </w:rPr>
        <w:t xml:space="preserve">see </w:t>
      </w:r>
      <w:r w:rsidR="00B1012E" w:rsidRPr="00B1012E">
        <w:rPr>
          <w:color w:val="000000"/>
          <w:szCs w:val="24"/>
        </w:rPr>
        <w:t>e</w:t>
      </w:r>
      <w:r w:rsidRPr="00B1012E">
        <w:rPr>
          <w:color w:val="000000"/>
          <w:szCs w:val="24"/>
        </w:rPr>
        <w:t>quation (5)</w:t>
      </w:r>
      <w:r w:rsidR="007D7E61">
        <w:rPr>
          <w:color w:val="000000"/>
          <w:szCs w:val="24"/>
        </w:rPr>
        <w:t xml:space="preserve"> in the main article</w:t>
      </w:r>
      <w:r w:rsidRPr="00F41864">
        <w:rPr>
          <w:color w:val="000000"/>
          <w:szCs w:val="24"/>
        </w:rPr>
        <w:t xml:space="preserve">) exceeds a threshold magnitude </w:t>
      </w:r>
      <m:oMath>
        <m:sSub>
          <m:sSubPr>
            <m:ctrlPr>
              <w:rPr>
                <w:rFonts w:ascii="Cambria Math" w:eastAsia="Droid Sans Fallback" w:hAnsi="Cambria Math"/>
                <w:i/>
                <w:color w:val="000000"/>
                <w:kern w:val="2"/>
                <w:szCs w:val="24"/>
                <w:lang w:eastAsia="zh-CN" w:bidi="hi-IN"/>
              </w:rPr>
            </m:ctrlPr>
          </m:sSubPr>
          <m:e>
            <m:r>
              <w:rPr>
                <w:rFonts w:ascii="Cambria Math" w:hAnsi="Cambria Math"/>
                <w:color w:val="000000"/>
                <w:szCs w:val="24"/>
              </w:rPr>
              <m:t>m</m:t>
            </m:r>
          </m:e>
          <m:sub>
            <m:r>
              <w:rPr>
                <w:rFonts w:ascii="Cambria Math" w:hAnsi="Cambria Math"/>
                <w:color w:val="000000"/>
                <w:szCs w:val="24"/>
              </w:rPr>
              <m:t>a</m:t>
            </m:r>
          </m:sub>
        </m:sSub>
      </m:oMath>
      <w:r w:rsidRPr="00F41864">
        <w:rPr>
          <w:rFonts w:eastAsiaTheme="minorEastAsia"/>
          <w:color w:val="000000"/>
          <w:kern w:val="2"/>
          <w:szCs w:val="24"/>
          <w:lang w:eastAsia="zh-CN" w:bidi="hi-IN"/>
        </w:rPr>
        <w:t xml:space="preserve">. Aftershocks </w:t>
      </w:r>
      <w:r w:rsidRPr="00F41864">
        <w:rPr>
          <w:color w:val="000000"/>
          <w:szCs w:val="24"/>
        </w:rPr>
        <w:t>are generated with the same stochastic mechanism as the standard version of the simulator but lowering the maximum storable energy (</w:t>
      </w:r>
      <w:r w:rsidRPr="0044511F">
        <w:rPr>
          <w:color w:val="000000"/>
          <w:szCs w:val="24"/>
        </w:rPr>
        <w:t>i.e.</w:t>
      </w:r>
      <w:r w:rsidRPr="00F41864">
        <w:rPr>
          <w:color w:val="000000"/>
          <w:szCs w:val="24"/>
        </w:rPr>
        <w:t xml:space="preserve">, the maximum magnitude) to a value corresponding to the largest aftershock defined according to the Båth </w:t>
      </w:r>
      <w:r w:rsidRPr="00B1012E">
        <w:rPr>
          <w:color w:val="000000"/>
          <w:szCs w:val="24"/>
        </w:rPr>
        <w:t>law (Båth, 1965), which states that the difference in magnitude between a mainshock (</w:t>
      </w:r>
      <m:oMath>
        <m:sSub>
          <m:sSubPr>
            <m:ctrlPr>
              <w:rPr>
                <w:rFonts w:ascii="Cambria Math" w:hAnsi="Cambria Math"/>
                <w:i/>
                <w:color w:val="000000"/>
                <w:szCs w:val="24"/>
              </w:rPr>
            </m:ctrlPr>
          </m:sSubPr>
          <m:e>
            <m:r>
              <w:rPr>
                <w:rFonts w:ascii="Cambria Math" w:hAnsi="Cambria Math"/>
                <w:color w:val="000000"/>
                <w:szCs w:val="24"/>
              </w:rPr>
              <m:t>m</m:t>
            </m:r>
          </m:e>
          <m:sub>
            <m:r>
              <w:rPr>
                <w:rFonts w:ascii="Cambria Math" w:hAnsi="Cambria Math"/>
                <w:color w:val="000000"/>
                <w:szCs w:val="24"/>
              </w:rPr>
              <m:t>m</m:t>
            </m:r>
          </m:sub>
        </m:sSub>
      </m:oMath>
      <w:r w:rsidRPr="00B1012E">
        <w:rPr>
          <w:color w:val="000000"/>
          <w:szCs w:val="24"/>
        </w:rPr>
        <w:t>) and its largest aftershock is approximately 1.2 on the moment magnitude scale (</w:t>
      </w:r>
      <m:oMath>
        <m:r>
          <w:rPr>
            <w:rFonts w:ascii="Cambria Math" w:hAnsi="Cambria Math"/>
            <w:color w:val="000000"/>
            <w:szCs w:val="24"/>
          </w:rPr>
          <m:t>∆</m:t>
        </m:r>
        <m:sSub>
          <m:sSubPr>
            <m:ctrlPr>
              <w:rPr>
                <w:rFonts w:ascii="Cambria Math" w:hAnsi="Cambria Math"/>
                <w:i/>
                <w:color w:val="000000"/>
                <w:szCs w:val="24"/>
              </w:rPr>
            </m:ctrlPr>
          </m:sSubPr>
          <m:e>
            <m:r>
              <w:rPr>
                <w:rFonts w:ascii="Cambria Math" w:hAnsi="Cambria Math"/>
                <w:color w:val="000000"/>
                <w:szCs w:val="24"/>
              </w:rPr>
              <m:t>m</m:t>
            </m:r>
          </m:e>
          <m:sub>
            <m:r>
              <w:rPr>
                <w:rFonts w:ascii="Cambria Math" w:hAnsi="Cambria Math"/>
                <w:color w:val="000000"/>
                <w:szCs w:val="24"/>
              </w:rPr>
              <m:t>b</m:t>
            </m:r>
          </m:sub>
        </m:sSub>
        <m:r>
          <w:rPr>
            <w:rFonts w:ascii="Cambria Math" w:hAnsi="Cambria Math"/>
            <w:color w:val="000000"/>
            <w:szCs w:val="24"/>
          </w:rPr>
          <m:t>≈1.2</m:t>
        </m:r>
      </m:oMath>
      <w:r w:rsidRPr="00B1012E">
        <w:rPr>
          <w:color w:val="000000"/>
          <w:szCs w:val="24"/>
        </w:rPr>
        <w:t xml:space="preserve">). According to the Omori-Utsu law (e.g., Utsu, 1995), the duration </w:t>
      </w:r>
      <m:oMath>
        <m:sSub>
          <m:sSubPr>
            <m:ctrlPr>
              <w:rPr>
                <w:rFonts w:ascii="Cambria Math" w:hAnsi="Cambria Math"/>
                <w:i/>
                <w:color w:val="000000"/>
                <w:szCs w:val="24"/>
              </w:rPr>
            </m:ctrlPr>
          </m:sSubPr>
          <m:e>
            <m:r>
              <w:rPr>
                <w:rFonts w:ascii="Cambria Math" w:hAnsi="Cambria Math"/>
                <w:color w:val="000000"/>
                <w:szCs w:val="24"/>
              </w:rPr>
              <m:t>T</m:t>
            </m:r>
          </m:e>
          <m:sub>
            <m:r>
              <w:rPr>
                <w:rFonts w:ascii="Cambria Math" w:hAnsi="Cambria Math"/>
                <w:color w:val="000000"/>
                <w:szCs w:val="24"/>
              </w:rPr>
              <m:t>a</m:t>
            </m:r>
          </m:sub>
        </m:sSub>
      </m:oMath>
      <w:r w:rsidRPr="00B1012E">
        <w:rPr>
          <w:color w:val="000000"/>
          <w:szCs w:val="24"/>
        </w:rPr>
        <w:t xml:space="preserve"> of aftershock sequences is defined as:</w:t>
      </w:r>
    </w:p>
    <w:p w14:paraId="0CC19D64" w14:textId="77777777" w:rsidR="00535092" w:rsidRPr="00B1012E" w:rsidRDefault="00535092" w:rsidP="00B1012E">
      <w:pPr>
        <w:ind w:firstLine="482"/>
        <w:jc w:val="both"/>
        <w:rPr>
          <w:color w:val="000000"/>
          <w:szCs w:val="24"/>
        </w:rPr>
      </w:pPr>
    </w:p>
    <w:p w14:paraId="41BF62C1" w14:textId="272595CF" w:rsidR="008A1B05" w:rsidRPr="00AA0B9C" w:rsidRDefault="00000000" w:rsidP="00B1012E">
      <w:pPr>
        <w:ind w:left="360" w:firstLine="482"/>
        <w:jc w:val="center"/>
        <w:rPr>
          <w:color w:val="000000"/>
          <w:szCs w:val="24"/>
        </w:rPr>
      </w:pPr>
      <m:oMathPara>
        <m:oMath>
          <m:sSub>
            <m:sSubPr>
              <m:ctrlPr>
                <w:rPr>
                  <w:rFonts w:ascii="Cambria Math" w:hAnsi="Cambria Math"/>
                  <w:i/>
                  <w:color w:val="000000"/>
                  <w:szCs w:val="24"/>
                </w:rPr>
              </m:ctrlPr>
            </m:sSubPr>
            <m:e>
              <m:r>
                <w:rPr>
                  <w:rFonts w:ascii="Cambria Math" w:hAnsi="Cambria Math"/>
                  <w:color w:val="000000"/>
                  <w:szCs w:val="24"/>
                </w:rPr>
                <m:t>T</m:t>
              </m:r>
            </m:e>
            <m:sub>
              <m:r>
                <w:rPr>
                  <w:rFonts w:ascii="Cambria Math" w:hAnsi="Cambria Math"/>
                  <w:color w:val="000000"/>
                  <w:szCs w:val="24"/>
                </w:rPr>
                <m:t>a</m:t>
              </m:r>
            </m:sub>
          </m:sSub>
          <m:r>
            <w:rPr>
              <w:rFonts w:ascii="Cambria Math" w:hAnsi="Cambria Math"/>
              <w:color w:val="000000"/>
              <w:szCs w:val="24"/>
            </w:rPr>
            <m:t>=</m:t>
          </m:r>
          <m:sSup>
            <m:sSupPr>
              <m:ctrlPr>
                <w:rPr>
                  <w:rFonts w:ascii="Cambria Math" w:hAnsi="Cambria Math"/>
                  <w:i/>
                  <w:color w:val="000000"/>
                  <w:szCs w:val="24"/>
                </w:rPr>
              </m:ctrlPr>
            </m:sSupPr>
            <m:e>
              <m:d>
                <m:dPr>
                  <m:ctrlPr>
                    <w:rPr>
                      <w:rFonts w:ascii="Cambria Math" w:hAnsi="Cambria Math"/>
                      <w:i/>
                      <w:color w:val="000000"/>
                      <w:szCs w:val="24"/>
                    </w:rPr>
                  </m:ctrlPr>
                </m:dPr>
                <m:e>
                  <m:f>
                    <m:fPr>
                      <m:ctrlPr>
                        <w:rPr>
                          <w:rFonts w:ascii="Cambria Math" w:hAnsi="Cambria Math"/>
                          <w:i/>
                          <w:color w:val="000000"/>
                          <w:szCs w:val="24"/>
                        </w:rPr>
                      </m:ctrlPr>
                    </m:fPr>
                    <m:num>
                      <m:r>
                        <w:rPr>
                          <w:rFonts w:ascii="Cambria Math" w:hAnsi="Cambria Math"/>
                          <w:color w:val="000000"/>
                          <w:szCs w:val="24"/>
                        </w:rPr>
                        <m:t>K</m:t>
                      </m:r>
                    </m:num>
                    <m:den>
                      <m:r>
                        <w:rPr>
                          <w:rFonts w:ascii="Cambria Math" w:hAnsi="Cambria Math"/>
                          <w:color w:val="000000"/>
                          <w:szCs w:val="24"/>
                        </w:rPr>
                        <m:t>A</m:t>
                      </m:r>
                      <m:d>
                        <m:dPr>
                          <m:ctrlPr>
                            <w:rPr>
                              <w:rFonts w:ascii="Cambria Math" w:hAnsi="Cambria Math"/>
                              <w:i/>
                              <w:color w:val="000000"/>
                              <w:szCs w:val="24"/>
                            </w:rPr>
                          </m:ctrlPr>
                        </m:dPr>
                        <m:e>
                          <m:r>
                            <w:rPr>
                              <w:rFonts w:ascii="Cambria Math" w:hAnsi="Cambria Math"/>
                              <w:color w:val="000000"/>
                              <w:szCs w:val="24"/>
                            </w:rPr>
                            <m:t>t</m:t>
                          </m:r>
                        </m:e>
                      </m:d>
                    </m:den>
                  </m:f>
                </m:e>
              </m:d>
            </m:e>
            <m:sup>
              <m:f>
                <m:fPr>
                  <m:ctrlPr>
                    <w:rPr>
                      <w:rFonts w:ascii="Cambria Math" w:hAnsi="Cambria Math"/>
                      <w:i/>
                      <w:color w:val="000000"/>
                      <w:szCs w:val="24"/>
                    </w:rPr>
                  </m:ctrlPr>
                </m:fPr>
                <m:num>
                  <m:r>
                    <w:rPr>
                      <w:rFonts w:ascii="Cambria Math" w:hAnsi="Cambria Math"/>
                      <w:color w:val="000000"/>
                      <w:szCs w:val="24"/>
                    </w:rPr>
                    <m:t>1</m:t>
                  </m:r>
                </m:num>
                <m:den>
                  <m:r>
                    <w:rPr>
                      <w:rFonts w:ascii="Cambria Math" w:hAnsi="Cambria Math"/>
                      <w:color w:val="000000"/>
                      <w:szCs w:val="24"/>
                    </w:rPr>
                    <m:t>p</m:t>
                  </m:r>
                </m:den>
              </m:f>
            </m:sup>
          </m:sSup>
          <m:r>
            <w:rPr>
              <w:rFonts w:ascii="Cambria Math" w:hAnsi="Cambria Math"/>
              <w:color w:val="000000"/>
              <w:szCs w:val="24"/>
            </w:rPr>
            <m:t>-c</m:t>
          </m:r>
        </m:oMath>
      </m:oMathPara>
    </w:p>
    <w:p w14:paraId="663C5456" w14:textId="77777777" w:rsidR="008A1B05" w:rsidRPr="00AA0B9C" w:rsidRDefault="008A1B05" w:rsidP="00B1012E">
      <w:pPr>
        <w:jc w:val="both"/>
        <w:rPr>
          <w:color w:val="000000"/>
          <w:szCs w:val="24"/>
        </w:rPr>
      </w:pPr>
      <w:r w:rsidRPr="00AA0B9C">
        <w:rPr>
          <w:color w:val="000000"/>
          <w:szCs w:val="24"/>
        </w:rPr>
        <w:lastRenderedPageBreak/>
        <w:t xml:space="preserve">where </w:t>
      </w:r>
      <m:oMath>
        <m:r>
          <w:rPr>
            <w:rFonts w:ascii="Cambria Math" w:hAnsi="Cambria Math"/>
            <w:color w:val="000000"/>
            <w:szCs w:val="24"/>
          </w:rPr>
          <m:t>A</m:t>
        </m:r>
        <m:d>
          <m:dPr>
            <m:ctrlPr>
              <w:rPr>
                <w:rFonts w:ascii="Cambria Math" w:hAnsi="Cambria Math"/>
                <w:i/>
                <w:color w:val="000000"/>
                <w:szCs w:val="24"/>
              </w:rPr>
            </m:ctrlPr>
          </m:dPr>
          <m:e>
            <m:r>
              <w:rPr>
                <w:rFonts w:ascii="Cambria Math" w:hAnsi="Cambria Math"/>
                <w:color w:val="000000"/>
                <w:szCs w:val="24"/>
              </w:rPr>
              <m:t>t</m:t>
            </m:r>
          </m:e>
        </m:d>
      </m:oMath>
      <w:r w:rsidRPr="00AA0B9C">
        <w:rPr>
          <w:color w:val="000000"/>
          <w:szCs w:val="24"/>
        </w:rPr>
        <w:t xml:space="preserve"> is the aftershock rate at time </w:t>
      </w:r>
      <m:oMath>
        <m:r>
          <w:rPr>
            <w:rFonts w:ascii="Cambria Math" w:hAnsi="Cambria Math"/>
            <w:color w:val="000000"/>
            <w:szCs w:val="24"/>
          </w:rPr>
          <m:t>t</m:t>
        </m:r>
      </m:oMath>
      <w:r w:rsidRPr="00AA0B9C">
        <w:rPr>
          <w:color w:val="000000"/>
          <w:szCs w:val="24"/>
        </w:rPr>
        <w:t xml:space="preserve">, </w:t>
      </w:r>
      <m:oMath>
        <m:r>
          <w:rPr>
            <w:rFonts w:ascii="Cambria Math" w:hAnsi="Cambria Math"/>
            <w:color w:val="000000"/>
            <w:szCs w:val="24"/>
          </w:rPr>
          <m:t>K=</m:t>
        </m:r>
        <m:sSub>
          <m:sSubPr>
            <m:ctrlPr>
              <w:rPr>
                <w:rFonts w:ascii="Cambria Math" w:hAnsi="Cambria Math"/>
                <w:i/>
                <w:color w:val="000000"/>
                <w:szCs w:val="24"/>
              </w:rPr>
            </m:ctrlPr>
          </m:sSubPr>
          <m:e>
            <m:r>
              <w:rPr>
                <w:rFonts w:ascii="Cambria Math" w:hAnsi="Cambria Math"/>
                <w:color w:val="000000"/>
                <w:szCs w:val="24"/>
              </w:rPr>
              <m:t>K</m:t>
            </m:r>
          </m:e>
          <m:sub>
            <m:r>
              <w:rPr>
                <w:rFonts w:ascii="Cambria Math" w:hAnsi="Cambria Math"/>
                <w:color w:val="000000"/>
                <w:szCs w:val="24"/>
              </w:rPr>
              <m:t>0</m:t>
            </m:r>
          </m:sub>
        </m:sSub>
        <m:sSup>
          <m:sSupPr>
            <m:ctrlPr>
              <w:rPr>
                <w:rFonts w:ascii="Cambria Math" w:hAnsi="Cambria Math"/>
                <w:i/>
                <w:color w:val="000000"/>
                <w:szCs w:val="24"/>
              </w:rPr>
            </m:ctrlPr>
          </m:sSupPr>
          <m:e>
            <m:r>
              <w:rPr>
                <w:rFonts w:ascii="Cambria Math" w:hAnsi="Cambria Math"/>
                <w:color w:val="000000"/>
                <w:szCs w:val="24"/>
              </w:rPr>
              <m:t>e</m:t>
            </m:r>
          </m:e>
          <m:sup>
            <m:r>
              <w:rPr>
                <w:rFonts w:ascii="Cambria Math" w:hAnsi="Cambria Math"/>
                <w:color w:val="000000"/>
                <w:szCs w:val="24"/>
              </w:rPr>
              <m:t>β</m:t>
            </m:r>
            <m:d>
              <m:dPr>
                <m:ctrlPr>
                  <w:rPr>
                    <w:rFonts w:ascii="Cambria Math" w:hAnsi="Cambria Math"/>
                    <w:i/>
                    <w:color w:val="000000"/>
                    <w:szCs w:val="24"/>
                  </w:rPr>
                </m:ctrlPr>
              </m:dPr>
              <m:e>
                <m:sSub>
                  <m:sSubPr>
                    <m:ctrlPr>
                      <w:rPr>
                        <w:rFonts w:ascii="Cambria Math" w:hAnsi="Cambria Math"/>
                        <w:i/>
                        <w:color w:val="000000"/>
                        <w:szCs w:val="24"/>
                      </w:rPr>
                    </m:ctrlPr>
                  </m:sSubPr>
                  <m:e>
                    <m:r>
                      <w:rPr>
                        <w:rFonts w:ascii="Cambria Math" w:hAnsi="Cambria Math"/>
                        <w:color w:val="000000"/>
                        <w:szCs w:val="24"/>
                      </w:rPr>
                      <m:t>m</m:t>
                    </m:r>
                  </m:e>
                  <m:sub>
                    <m:r>
                      <w:rPr>
                        <w:rFonts w:ascii="Cambria Math" w:hAnsi="Cambria Math"/>
                        <w:color w:val="000000"/>
                        <w:szCs w:val="24"/>
                      </w:rPr>
                      <m:t>m</m:t>
                    </m:r>
                  </m:sub>
                </m:sSub>
                <m:r>
                  <w:rPr>
                    <w:rFonts w:ascii="Cambria Math" w:hAnsi="Cambria Math"/>
                    <w:color w:val="000000"/>
                    <w:szCs w:val="24"/>
                  </w:rPr>
                  <m:t>-</m:t>
                </m:r>
                <m:sSub>
                  <m:sSubPr>
                    <m:ctrlPr>
                      <w:rPr>
                        <w:rFonts w:ascii="Cambria Math" w:hAnsi="Cambria Math"/>
                        <w:i/>
                        <w:color w:val="000000"/>
                        <w:szCs w:val="24"/>
                      </w:rPr>
                    </m:ctrlPr>
                  </m:sSubPr>
                  <m:e>
                    <m:r>
                      <w:rPr>
                        <w:rFonts w:ascii="Cambria Math" w:hAnsi="Cambria Math"/>
                        <w:color w:val="000000"/>
                        <w:szCs w:val="24"/>
                      </w:rPr>
                      <m:t>m</m:t>
                    </m:r>
                  </m:e>
                  <m:sub>
                    <m:r>
                      <w:rPr>
                        <w:rFonts w:ascii="Cambria Math" w:hAnsi="Cambria Math"/>
                        <w:color w:val="000000"/>
                        <w:szCs w:val="24"/>
                      </w:rPr>
                      <m:t>c</m:t>
                    </m:r>
                  </m:sub>
                </m:sSub>
              </m:e>
            </m:d>
          </m:sup>
        </m:sSup>
      </m:oMath>
      <w:r w:rsidRPr="00AA0B9C">
        <w:rPr>
          <w:color w:val="000000"/>
          <w:szCs w:val="24"/>
        </w:rPr>
        <w:t xml:space="preserve"> is the aftershock productivity, </w:t>
      </w:r>
      <m:oMath>
        <m:sSub>
          <m:sSubPr>
            <m:ctrlPr>
              <w:rPr>
                <w:rFonts w:ascii="Cambria Math" w:hAnsi="Cambria Math"/>
                <w:i/>
                <w:color w:val="000000"/>
                <w:szCs w:val="24"/>
              </w:rPr>
            </m:ctrlPr>
          </m:sSubPr>
          <m:e>
            <m:r>
              <w:rPr>
                <w:rFonts w:ascii="Cambria Math" w:hAnsi="Cambria Math"/>
                <w:color w:val="000000"/>
                <w:szCs w:val="24"/>
              </w:rPr>
              <m:t>K</m:t>
            </m:r>
          </m:e>
          <m:sub>
            <m:r>
              <w:rPr>
                <w:rFonts w:ascii="Cambria Math" w:hAnsi="Cambria Math"/>
                <w:color w:val="000000"/>
                <w:szCs w:val="24"/>
              </w:rPr>
              <m:t>0</m:t>
            </m:r>
          </m:sub>
        </m:sSub>
        <m:r>
          <w:rPr>
            <w:rFonts w:ascii="Cambria Math" w:hAnsi="Cambria Math"/>
            <w:color w:val="000000"/>
            <w:szCs w:val="24"/>
          </w:rPr>
          <m:t>=</m:t>
        </m:r>
        <m:sSup>
          <m:sSupPr>
            <m:ctrlPr>
              <w:rPr>
                <w:rFonts w:ascii="Cambria Math" w:hAnsi="Cambria Math"/>
                <w:i/>
                <w:color w:val="000000"/>
                <w:szCs w:val="24"/>
              </w:rPr>
            </m:ctrlPr>
          </m:sSupPr>
          <m:e>
            <m:r>
              <w:rPr>
                <w:rFonts w:ascii="Cambria Math" w:hAnsi="Cambria Math"/>
                <w:color w:val="000000"/>
                <w:szCs w:val="24"/>
              </w:rPr>
              <m:t>e</m:t>
            </m:r>
          </m:e>
          <m:sup>
            <m:r>
              <w:rPr>
                <w:rFonts w:ascii="Cambria Math" w:hAnsi="Cambria Math"/>
                <w:color w:val="000000"/>
                <w:szCs w:val="24"/>
              </w:rPr>
              <m:t>-β∆</m:t>
            </m:r>
            <m:sSub>
              <m:sSubPr>
                <m:ctrlPr>
                  <w:rPr>
                    <w:rFonts w:ascii="Cambria Math" w:hAnsi="Cambria Math"/>
                    <w:i/>
                    <w:color w:val="000000"/>
                    <w:szCs w:val="24"/>
                  </w:rPr>
                </m:ctrlPr>
              </m:sSubPr>
              <m:e>
                <m:r>
                  <w:rPr>
                    <w:rFonts w:ascii="Cambria Math" w:hAnsi="Cambria Math"/>
                    <w:color w:val="000000"/>
                    <w:szCs w:val="24"/>
                  </w:rPr>
                  <m:t>m</m:t>
                </m:r>
              </m:e>
              <m:sub>
                <m:r>
                  <w:rPr>
                    <w:rFonts w:ascii="Cambria Math" w:hAnsi="Cambria Math"/>
                    <w:color w:val="000000"/>
                    <w:szCs w:val="24"/>
                  </w:rPr>
                  <m:t>b</m:t>
                </m:r>
              </m:sub>
            </m:sSub>
          </m:sup>
        </m:sSup>
      </m:oMath>
      <w:r w:rsidRPr="00AA0B9C">
        <w:rPr>
          <w:color w:val="000000"/>
          <w:szCs w:val="24"/>
        </w:rPr>
        <w:t xml:space="preserve">, </w:t>
      </w:r>
      <m:oMath>
        <m:r>
          <w:rPr>
            <w:rFonts w:ascii="Cambria Math" w:hAnsi="Cambria Math"/>
            <w:color w:val="000000"/>
            <w:szCs w:val="24"/>
          </w:rPr>
          <m:t>p</m:t>
        </m:r>
      </m:oMath>
      <w:r w:rsidRPr="00AA0B9C">
        <w:rPr>
          <w:color w:val="000000"/>
          <w:szCs w:val="24"/>
        </w:rPr>
        <w:t xml:space="preserve"> (≈ 0.8 to 1.8, but values between 1.1 and 1.4 are most frequent) impacts the decay of the aftershock rate, and </w:t>
      </w:r>
      <m:oMath>
        <m:r>
          <w:rPr>
            <w:rFonts w:ascii="Cambria Math" w:hAnsi="Cambria Math"/>
            <w:color w:val="000000"/>
            <w:szCs w:val="24"/>
          </w:rPr>
          <m:t>c</m:t>
        </m:r>
      </m:oMath>
      <w:r w:rsidRPr="00AA0B9C">
        <w:rPr>
          <w:color w:val="000000"/>
          <w:szCs w:val="24"/>
        </w:rPr>
        <w:t xml:space="preserve"> is a time shift (typically in the range 0.5 to 20 hours) that impacts on the rate of aftershocks in the early part of a sequence.</w:t>
      </w:r>
    </w:p>
    <w:p w14:paraId="337C595C" w14:textId="3A815F95" w:rsidR="008A1B05" w:rsidRPr="00AA0B9C" w:rsidRDefault="008A1B05" w:rsidP="00B1012E">
      <w:pPr>
        <w:ind w:firstLine="482"/>
        <w:jc w:val="both"/>
        <w:rPr>
          <w:color w:val="000000"/>
          <w:szCs w:val="24"/>
        </w:rPr>
      </w:pPr>
      <w:r w:rsidRPr="00B1012E">
        <w:rPr>
          <w:color w:val="000000"/>
          <w:szCs w:val="24"/>
        </w:rPr>
        <w:t xml:space="preserve">Table </w:t>
      </w:r>
      <w:r w:rsidR="00B1012E" w:rsidRPr="00B1012E">
        <w:rPr>
          <w:color w:val="000000"/>
          <w:szCs w:val="24"/>
        </w:rPr>
        <w:t>S1</w:t>
      </w:r>
      <w:r w:rsidRPr="00AA0B9C">
        <w:rPr>
          <w:color w:val="000000"/>
          <w:szCs w:val="24"/>
        </w:rPr>
        <w:t xml:space="preserve"> summarizes the results of the </w:t>
      </w:r>
      <w:r w:rsidRPr="00AA0B9C">
        <w:rPr>
          <w:i/>
          <w:color w:val="000000"/>
          <w:szCs w:val="24"/>
        </w:rPr>
        <w:t>R/S</w:t>
      </w:r>
      <w:r w:rsidRPr="00AA0B9C">
        <w:rPr>
          <w:color w:val="000000"/>
          <w:szCs w:val="24"/>
        </w:rPr>
        <w:t xml:space="preserve"> analysis applied to a set of time series generated by means of the modified simulator assuming different values of the input parameters. </w:t>
      </w:r>
      <w:r w:rsidRPr="00AA0B9C">
        <w:rPr>
          <w:rFonts w:eastAsiaTheme="minorEastAsia"/>
          <w:color w:val="000000"/>
          <w:szCs w:val="24"/>
        </w:rPr>
        <w:t xml:space="preserve">Note that the values of </w:t>
      </w:r>
      <m:oMath>
        <m:sSub>
          <m:sSubPr>
            <m:ctrlPr>
              <w:rPr>
                <w:rFonts w:ascii="Cambria Math" w:hAnsi="Cambria Math"/>
                <w:i/>
                <w:color w:val="000000"/>
                <w:szCs w:val="24"/>
              </w:rPr>
            </m:ctrlPr>
          </m:sSubPr>
          <m:e>
            <m:r>
              <w:rPr>
                <w:rFonts w:ascii="Cambria Math" w:hAnsi="Cambria Math"/>
                <w:color w:val="000000"/>
                <w:szCs w:val="24"/>
              </w:rPr>
              <m:t>λ</m:t>
            </m:r>
          </m:e>
          <m:sub>
            <m:r>
              <w:rPr>
                <w:rFonts w:ascii="Cambria Math" w:hAnsi="Cambria Math"/>
                <w:color w:val="000000"/>
                <w:szCs w:val="24"/>
              </w:rPr>
              <m:t>m</m:t>
            </m:r>
          </m:sub>
        </m:sSub>
      </m:oMath>
      <w:r w:rsidRPr="00AA0B9C">
        <w:rPr>
          <w:rFonts w:eastAsiaTheme="minorEastAsia"/>
          <w:color w:val="000000"/>
          <w:szCs w:val="24"/>
        </w:rPr>
        <w:t xml:space="preserve">, </w:t>
      </w:r>
      <w:r w:rsidRPr="00AA0B9C">
        <w:rPr>
          <w:rFonts w:eastAsiaTheme="minorEastAsia"/>
          <w:i/>
          <w:iCs/>
          <w:color w:val="000000"/>
          <w:szCs w:val="24"/>
        </w:rPr>
        <w:t>b</w:t>
      </w:r>
      <w:r w:rsidRPr="00AA0B9C">
        <w:rPr>
          <w:rFonts w:eastAsiaTheme="minorEastAsia"/>
          <w:color w:val="000000"/>
          <w:szCs w:val="24"/>
        </w:rPr>
        <w:t xml:space="preserve">, </w:t>
      </w:r>
      <m:oMath>
        <m:sSub>
          <m:sSubPr>
            <m:ctrlPr>
              <w:rPr>
                <w:rFonts w:ascii="Cambria Math" w:hAnsi="Cambria Math"/>
                <w:i/>
                <w:color w:val="000000"/>
                <w:szCs w:val="24"/>
              </w:rPr>
            </m:ctrlPr>
          </m:sSubPr>
          <m:e>
            <m:r>
              <w:rPr>
                <w:rFonts w:ascii="Cambria Math" w:hAnsi="Cambria Math"/>
                <w:color w:val="000000"/>
                <w:szCs w:val="24"/>
              </w:rPr>
              <m:t>m</m:t>
            </m:r>
          </m:e>
          <m:sub>
            <m:r>
              <w:rPr>
                <w:rFonts w:ascii="Cambria Math" w:hAnsi="Cambria Math"/>
                <w:color w:val="000000"/>
                <w:szCs w:val="24"/>
              </w:rPr>
              <m:t>c</m:t>
            </m:r>
          </m:sub>
        </m:sSub>
      </m:oMath>
      <w:r w:rsidRPr="00AA0B9C">
        <w:rPr>
          <w:rFonts w:eastAsiaTheme="minorEastAsia"/>
          <w:color w:val="000000"/>
          <w:szCs w:val="28"/>
        </w:rPr>
        <w:t>, and</w:t>
      </w:r>
      <w:r w:rsidRPr="00AA0B9C">
        <w:rPr>
          <w:rFonts w:eastAsiaTheme="minorEastAsia"/>
          <w:color w:val="000000"/>
          <w:szCs w:val="24"/>
        </w:rPr>
        <w:t xml:space="preserve"> </w:t>
      </w:r>
      <m:oMath>
        <m:sSub>
          <m:sSubPr>
            <m:ctrlPr>
              <w:rPr>
                <w:rFonts w:ascii="Cambria Math" w:hAnsi="Cambria Math"/>
                <w:i/>
                <w:color w:val="000000"/>
                <w:szCs w:val="24"/>
              </w:rPr>
            </m:ctrlPr>
          </m:sSubPr>
          <m:e>
            <m:r>
              <w:rPr>
                <w:rFonts w:ascii="Cambria Math" w:hAnsi="Cambria Math"/>
                <w:color w:val="000000"/>
                <w:szCs w:val="24"/>
              </w:rPr>
              <m:t>m</m:t>
            </m:r>
          </m:e>
          <m:sub>
            <m:r>
              <w:rPr>
                <w:rFonts w:ascii="Cambria Math" w:hAnsi="Cambria Math"/>
                <w:color w:val="000000"/>
                <w:szCs w:val="24"/>
              </w:rPr>
              <m:t>max</m:t>
            </m:r>
          </m:sub>
        </m:sSub>
      </m:oMath>
      <w:r w:rsidRPr="00AA0B9C">
        <w:rPr>
          <w:rFonts w:eastAsiaTheme="minorEastAsia"/>
          <w:color w:val="000000"/>
          <w:szCs w:val="24"/>
        </w:rPr>
        <w:t xml:space="preserve"> considered in the simulations are the same as those adopted in the reference </w:t>
      </w:r>
      <w:r w:rsidRPr="00B1012E">
        <w:rPr>
          <w:rFonts w:eastAsiaTheme="minorEastAsia"/>
          <w:color w:val="000000"/>
          <w:szCs w:val="24"/>
        </w:rPr>
        <w:t>trial in Table 1</w:t>
      </w:r>
      <w:r w:rsidR="00B1012E">
        <w:rPr>
          <w:rFonts w:eastAsiaTheme="minorEastAsia"/>
          <w:color w:val="000000"/>
          <w:szCs w:val="24"/>
        </w:rPr>
        <w:t xml:space="preserve"> of the article</w:t>
      </w:r>
      <w:r w:rsidRPr="00AA0B9C">
        <w:rPr>
          <w:rFonts w:eastAsiaTheme="minorEastAsia"/>
          <w:color w:val="000000"/>
          <w:szCs w:val="24"/>
        </w:rPr>
        <w:t xml:space="preserve">. </w:t>
      </w:r>
      <w:r w:rsidRPr="00AA0B9C">
        <w:rPr>
          <w:color w:val="000000"/>
          <w:szCs w:val="28"/>
        </w:rPr>
        <w:t xml:space="preserve">Moreover, the values of </w:t>
      </w:r>
      <m:oMath>
        <m:r>
          <w:rPr>
            <w:rFonts w:ascii="Cambria Math" w:hAnsi="Cambria Math"/>
            <w:color w:val="000000"/>
            <w:szCs w:val="28"/>
          </w:rPr>
          <m:t>p</m:t>
        </m:r>
      </m:oMath>
      <w:r w:rsidRPr="00AA0B9C">
        <w:rPr>
          <w:color w:val="000000"/>
          <w:szCs w:val="28"/>
        </w:rPr>
        <w:t xml:space="preserve"> and </w:t>
      </w:r>
      <m:oMath>
        <m:r>
          <w:rPr>
            <w:rFonts w:ascii="Cambria Math" w:hAnsi="Cambria Math"/>
            <w:color w:val="000000"/>
            <w:szCs w:val="28"/>
          </w:rPr>
          <m:t>c</m:t>
        </m:r>
      </m:oMath>
      <w:r w:rsidRPr="00AA0B9C">
        <w:rPr>
          <w:color w:val="000000"/>
          <w:szCs w:val="28"/>
        </w:rPr>
        <w:t xml:space="preserve"> are randomly sampled within </w:t>
      </w:r>
      <w:r>
        <w:rPr>
          <w:color w:val="000000"/>
          <w:szCs w:val="28"/>
        </w:rPr>
        <w:t xml:space="preserve">their </w:t>
      </w:r>
      <w:r w:rsidRPr="00AA0B9C">
        <w:rPr>
          <w:color w:val="000000"/>
          <w:szCs w:val="28"/>
        </w:rPr>
        <w:t xml:space="preserve">typical ranges (see description of </w:t>
      </w:r>
      <w:r w:rsidR="00B1012E">
        <w:rPr>
          <w:color w:val="000000"/>
          <w:szCs w:val="28"/>
        </w:rPr>
        <w:t xml:space="preserve">the </w:t>
      </w:r>
      <w:r w:rsidR="00B1012E" w:rsidRPr="00B1012E">
        <w:rPr>
          <w:color w:val="000000"/>
          <w:szCs w:val="28"/>
        </w:rPr>
        <w:t>e</w:t>
      </w:r>
      <w:r w:rsidRPr="00B1012E">
        <w:rPr>
          <w:color w:val="000000"/>
          <w:szCs w:val="28"/>
        </w:rPr>
        <w:t xml:space="preserve">quation </w:t>
      </w:r>
      <w:r w:rsidR="00B1012E" w:rsidRPr="00B1012E">
        <w:rPr>
          <w:color w:val="000000"/>
          <w:szCs w:val="28"/>
        </w:rPr>
        <w:t>above</w:t>
      </w:r>
      <w:r w:rsidRPr="00AA0B9C">
        <w:rPr>
          <w:color w:val="000000"/>
          <w:szCs w:val="28"/>
        </w:rPr>
        <w:t xml:space="preserve">) assuming a uniform distribution (only in one case, </w:t>
      </w:r>
      <w:r w:rsidRPr="00B1012E">
        <w:rPr>
          <w:color w:val="000000"/>
          <w:szCs w:val="28"/>
        </w:rPr>
        <w:t xml:space="preserve">trial 4a in Table </w:t>
      </w:r>
      <w:r w:rsidR="00B1012E" w:rsidRPr="00B1012E">
        <w:rPr>
          <w:color w:val="000000"/>
          <w:szCs w:val="28"/>
        </w:rPr>
        <w:t>S1</w:t>
      </w:r>
      <w:r w:rsidRPr="00AA0B9C">
        <w:rPr>
          <w:color w:val="000000"/>
          <w:szCs w:val="28"/>
        </w:rPr>
        <w:t xml:space="preserve">, the value of </w:t>
      </w:r>
      <m:oMath>
        <m:r>
          <w:rPr>
            <w:rFonts w:ascii="Cambria Math" w:hAnsi="Cambria Math"/>
            <w:color w:val="000000"/>
            <w:szCs w:val="28"/>
          </w:rPr>
          <m:t>p</m:t>
        </m:r>
      </m:oMath>
      <w:r w:rsidRPr="00AA0B9C">
        <w:rPr>
          <w:color w:val="000000"/>
          <w:szCs w:val="28"/>
        </w:rPr>
        <w:t xml:space="preserve"> is sampled between </w:t>
      </w:r>
      <w:r w:rsidRPr="00AA0B9C">
        <w:rPr>
          <w:color w:val="000000"/>
          <w:szCs w:val="24"/>
        </w:rPr>
        <w:t>0.8 to 1.8).</w:t>
      </w:r>
      <w:r w:rsidRPr="00AA0B9C">
        <w:rPr>
          <w:color w:val="000000"/>
          <w:szCs w:val="28"/>
        </w:rPr>
        <w:t xml:space="preserve"> Finally, the reference </w:t>
      </w:r>
      <w:r w:rsidRPr="00AA0B9C">
        <w:rPr>
          <w:color w:val="000000"/>
          <w:szCs w:val="24"/>
        </w:rPr>
        <w:t xml:space="preserve">aftershock rate </w:t>
      </w:r>
      <m:oMath>
        <m:r>
          <w:rPr>
            <w:rFonts w:ascii="Cambria Math" w:hAnsi="Cambria Math"/>
            <w:color w:val="000000"/>
            <w:szCs w:val="24"/>
          </w:rPr>
          <m:t>A(t)</m:t>
        </m:r>
      </m:oMath>
      <w:r w:rsidRPr="00AA0B9C">
        <w:rPr>
          <w:color w:val="000000"/>
          <w:szCs w:val="24"/>
        </w:rPr>
        <w:t xml:space="preserve"> is assumed to be equal to </w:t>
      </w:r>
      <m:oMath>
        <m:sSub>
          <m:sSubPr>
            <m:ctrlPr>
              <w:rPr>
                <w:rFonts w:ascii="Cambria Math" w:hAnsi="Cambria Math"/>
                <w:i/>
                <w:color w:val="000000"/>
                <w:szCs w:val="24"/>
              </w:rPr>
            </m:ctrlPr>
          </m:sSubPr>
          <m:e>
            <m:r>
              <w:rPr>
                <w:rFonts w:ascii="Cambria Math" w:hAnsi="Cambria Math"/>
                <w:color w:val="000000"/>
                <w:szCs w:val="24"/>
              </w:rPr>
              <m:t>λ</m:t>
            </m:r>
          </m:e>
          <m:sub>
            <m:r>
              <w:rPr>
                <w:rFonts w:ascii="Cambria Math" w:hAnsi="Cambria Math"/>
                <w:color w:val="000000"/>
                <w:szCs w:val="24"/>
              </w:rPr>
              <m:t>m</m:t>
            </m:r>
          </m:sub>
        </m:sSub>
      </m:oMath>
      <w:r w:rsidRPr="00AA0B9C">
        <w:rPr>
          <w:rFonts w:eastAsiaTheme="minorEastAsia"/>
          <w:color w:val="000000"/>
          <w:szCs w:val="24"/>
        </w:rPr>
        <w:t xml:space="preserve">. Thus, </w:t>
      </w:r>
      <m:oMath>
        <m:sSub>
          <m:sSubPr>
            <m:ctrlPr>
              <w:rPr>
                <w:rFonts w:ascii="Cambria Math" w:hAnsi="Cambria Math"/>
                <w:i/>
                <w:iCs/>
                <w:color w:val="000000"/>
                <w:szCs w:val="24"/>
              </w:rPr>
            </m:ctrlPr>
          </m:sSubPr>
          <m:e>
            <m:r>
              <w:rPr>
                <w:rFonts w:ascii="Cambria Math" w:hAnsi="Cambria Math"/>
                <w:color w:val="000000"/>
                <w:szCs w:val="24"/>
              </w:rPr>
              <m:t>T</m:t>
            </m:r>
          </m:e>
          <m:sub>
            <m:r>
              <w:rPr>
                <w:rFonts w:ascii="Cambria Math" w:hAnsi="Cambria Math"/>
                <w:color w:val="000000"/>
                <w:szCs w:val="24"/>
              </w:rPr>
              <m:t>a</m:t>
            </m:r>
          </m:sub>
        </m:sSub>
      </m:oMath>
      <w:r w:rsidRPr="00AA0B9C">
        <w:rPr>
          <w:color w:val="000000"/>
          <w:szCs w:val="24"/>
        </w:rPr>
        <w:t xml:space="preserve"> can be defined as the time taken for the aftershock rate to decrease to a value </w:t>
      </w:r>
      <m:oMath>
        <m:sSub>
          <m:sSubPr>
            <m:ctrlPr>
              <w:rPr>
                <w:rFonts w:ascii="Cambria Math" w:hAnsi="Cambria Math"/>
                <w:i/>
                <w:color w:val="000000"/>
                <w:szCs w:val="24"/>
              </w:rPr>
            </m:ctrlPr>
          </m:sSubPr>
          <m:e>
            <m:r>
              <w:rPr>
                <w:rFonts w:ascii="Cambria Math" w:hAnsi="Cambria Math"/>
                <w:color w:val="000000"/>
                <w:szCs w:val="24"/>
              </w:rPr>
              <m:t>λ</m:t>
            </m:r>
          </m:e>
          <m:sub>
            <m:r>
              <w:rPr>
                <w:rFonts w:ascii="Cambria Math" w:hAnsi="Cambria Math"/>
                <w:color w:val="000000"/>
                <w:szCs w:val="24"/>
              </w:rPr>
              <m:t>m</m:t>
            </m:r>
          </m:sub>
        </m:sSub>
      </m:oMath>
      <w:r w:rsidRPr="00AA0B9C">
        <w:rPr>
          <w:color w:val="000000"/>
          <w:szCs w:val="24"/>
        </w:rPr>
        <w:t xml:space="preserve">. </w:t>
      </w:r>
    </w:p>
    <w:p w14:paraId="5392E8A6" w14:textId="3AD75B2B" w:rsidR="008A1B05" w:rsidRDefault="008A1B05" w:rsidP="008642E2">
      <w:pPr>
        <w:pStyle w:val="SMText"/>
        <w:ind w:firstLine="482"/>
        <w:jc w:val="both"/>
        <w:rPr>
          <w:iCs/>
          <w:color w:val="000000"/>
          <w:szCs w:val="24"/>
        </w:rPr>
      </w:pPr>
      <w:r w:rsidRPr="00AA0B9C">
        <w:rPr>
          <w:color w:val="000000"/>
          <w:szCs w:val="24"/>
        </w:rPr>
        <w:t xml:space="preserve">Analyzing the values of </w:t>
      </w:r>
      <w:r w:rsidRPr="00AA0B9C">
        <w:rPr>
          <w:i/>
          <w:iCs/>
          <w:color w:val="000000"/>
          <w:szCs w:val="24"/>
        </w:rPr>
        <w:t>H</w:t>
      </w:r>
      <w:r w:rsidRPr="00AA0B9C">
        <w:rPr>
          <w:color w:val="000000"/>
          <w:szCs w:val="24"/>
        </w:rPr>
        <w:t xml:space="preserve"> in </w:t>
      </w:r>
      <w:r w:rsidRPr="00B1012E">
        <w:rPr>
          <w:color w:val="000000"/>
          <w:szCs w:val="24"/>
        </w:rPr>
        <w:t xml:space="preserve">Table </w:t>
      </w:r>
      <w:r w:rsidR="00B1012E" w:rsidRPr="00B1012E">
        <w:rPr>
          <w:color w:val="000000"/>
          <w:szCs w:val="24"/>
        </w:rPr>
        <w:t>S1</w:t>
      </w:r>
      <w:r w:rsidRPr="00AA0B9C">
        <w:rPr>
          <w:color w:val="000000"/>
          <w:szCs w:val="24"/>
        </w:rPr>
        <w:t xml:space="preserve"> reveals that the long memory in earthquake time series is insensitive to the triggering of aftershock sequences. </w:t>
      </w:r>
      <w:r>
        <w:rPr>
          <w:color w:val="000000"/>
          <w:szCs w:val="24"/>
        </w:rPr>
        <w:t>In particular, c</w:t>
      </w:r>
      <w:r w:rsidRPr="00AA0B9C">
        <w:rPr>
          <w:color w:val="000000"/>
          <w:szCs w:val="24"/>
        </w:rPr>
        <w:t xml:space="preserve">omparing </w:t>
      </w:r>
      <w:r w:rsidRPr="00B1012E">
        <w:rPr>
          <w:color w:val="000000"/>
          <w:szCs w:val="24"/>
        </w:rPr>
        <w:t>the results of the first three trials in Table 1</w:t>
      </w:r>
      <w:r w:rsidR="00B1012E" w:rsidRPr="00B1012E">
        <w:rPr>
          <w:color w:val="000000"/>
          <w:szCs w:val="24"/>
        </w:rPr>
        <w:t xml:space="preserve"> in the main </w:t>
      </w:r>
      <w:r w:rsidR="00B1012E">
        <w:rPr>
          <w:color w:val="000000"/>
          <w:szCs w:val="24"/>
        </w:rPr>
        <w:t>article</w:t>
      </w:r>
      <w:r w:rsidRPr="00B1012E">
        <w:rPr>
          <w:color w:val="000000"/>
          <w:szCs w:val="24"/>
        </w:rPr>
        <w:t xml:space="preserve"> and Table </w:t>
      </w:r>
      <w:r w:rsidR="00B1012E" w:rsidRPr="00B1012E">
        <w:rPr>
          <w:color w:val="000000"/>
          <w:szCs w:val="24"/>
        </w:rPr>
        <w:t>S1</w:t>
      </w:r>
      <w:r w:rsidRPr="00B1012E">
        <w:rPr>
          <w:color w:val="000000"/>
          <w:szCs w:val="24"/>
        </w:rPr>
        <w:t>, which are based on the same values of the main input parameters</w:t>
      </w:r>
      <w:r w:rsidRPr="00B1012E">
        <w:rPr>
          <w:rFonts w:eastAsiaTheme="minorEastAsia"/>
          <w:color w:val="000000"/>
          <w:szCs w:val="24"/>
        </w:rPr>
        <w:t xml:space="preserve">, shows that the incorporation of aftershock sequences does not affect the values of </w:t>
      </w:r>
      <w:r w:rsidRPr="00B1012E">
        <w:rPr>
          <w:rFonts w:eastAsiaTheme="minorEastAsia"/>
          <w:i/>
          <w:iCs/>
          <w:color w:val="000000"/>
          <w:szCs w:val="24"/>
        </w:rPr>
        <w:t>H</w:t>
      </w:r>
      <w:r w:rsidRPr="00B1012E">
        <w:rPr>
          <w:rFonts w:eastAsiaTheme="minorEastAsia"/>
          <w:color w:val="000000"/>
          <w:szCs w:val="24"/>
        </w:rPr>
        <w:t xml:space="preserve">. Moreover, the Hurst exponent is found to be almost insensitive to changes in the </w:t>
      </w:r>
      <w:r w:rsidRPr="00B1012E">
        <w:rPr>
          <w:color w:val="000000"/>
          <w:szCs w:val="24"/>
        </w:rPr>
        <w:t xml:space="preserve">values of </w:t>
      </w:r>
      <m:oMath>
        <m:r>
          <w:rPr>
            <w:rFonts w:ascii="Cambria Math" w:hAnsi="Cambria Math"/>
            <w:color w:val="000000"/>
            <w:szCs w:val="24"/>
          </w:rPr>
          <m:t>A</m:t>
        </m:r>
        <m:d>
          <m:dPr>
            <m:ctrlPr>
              <w:rPr>
                <w:rFonts w:ascii="Cambria Math" w:hAnsi="Cambria Math"/>
                <w:i/>
                <w:color w:val="000000"/>
                <w:szCs w:val="24"/>
              </w:rPr>
            </m:ctrlPr>
          </m:dPr>
          <m:e>
            <m:r>
              <w:rPr>
                <w:rFonts w:ascii="Cambria Math" w:hAnsi="Cambria Math"/>
                <w:color w:val="000000"/>
                <w:szCs w:val="24"/>
              </w:rPr>
              <m:t>t</m:t>
            </m:r>
          </m:e>
        </m:d>
      </m:oMath>
      <w:r w:rsidRPr="00B1012E">
        <w:rPr>
          <w:rFonts w:eastAsiaTheme="minorEastAsia"/>
          <w:color w:val="000000"/>
          <w:szCs w:val="24"/>
        </w:rPr>
        <w:t xml:space="preserve"> (trial 2a to 2c)</w:t>
      </w:r>
      <w:r w:rsidRPr="00B1012E">
        <w:rPr>
          <w:rFonts w:eastAsiaTheme="minorEastAsia"/>
          <w:color w:val="000000"/>
          <w:szCs w:val="28"/>
        </w:rPr>
        <w:t>,</w:t>
      </w:r>
      <w:r w:rsidRPr="00B1012E">
        <w:rPr>
          <w:rFonts w:eastAsiaTheme="minorEastAsia"/>
          <w:color w:val="000000"/>
          <w:sz w:val="28"/>
          <w:szCs w:val="32"/>
        </w:rPr>
        <w:t xml:space="preserve"> </w:t>
      </w:r>
      <m:oMath>
        <m:sSub>
          <m:sSubPr>
            <m:ctrlPr>
              <w:rPr>
                <w:rFonts w:ascii="Cambria Math" w:hAnsi="Cambria Math"/>
                <w:i/>
                <w:color w:val="000000"/>
                <w:szCs w:val="24"/>
              </w:rPr>
            </m:ctrlPr>
          </m:sSubPr>
          <m:e>
            <m:r>
              <w:rPr>
                <w:rFonts w:ascii="Cambria Math" w:hAnsi="Cambria Math"/>
                <w:color w:val="000000"/>
                <w:szCs w:val="24"/>
              </w:rPr>
              <m:t>m</m:t>
            </m:r>
          </m:e>
          <m:sub>
            <m:r>
              <w:rPr>
                <w:rFonts w:ascii="Cambria Math" w:hAnsi="Cambria Math"/>
                <w:color w:val="000000"/>
                <w:szCs w:val="24"/>
              </w:rPr>
              <m:t>a</m:t>
            </m:r>
          </m:sub>
        </m:sSub>
      </m:oMath>
      <w:r w:rsidRPr="00B1012E">
        <w:rPr>
          <w:rFonts w:eastAsiaTheme="minorEastAsia"/>
          <w:color w:val="000000"/>
          <w:szCs w:val="24"/>
        </w:rPr>
        <w:t xml:space="preserve"> (trail 3a to 3c), and </w:t>
      </w:r>
      <m:oMath>
        <m:r>
          <w:rPr>
            <w:rFonts w:ascii="Cambria Math" w:hAnsi="Cambria Math"/>
            <w:szCs w:val="24"/>
          </w:rPr>
          <m:t>p</m:t>
        </m:r>
      </m:oMath>
      <w:r w:rsidRPr="00B1012E">
        <w:rPr>
          <w:rFonts w:eastAsiaTheme="minorEastAsia"/>
          <w:szCs w:val="24"/>
        </w:rPr>
        <w:t xml:space="preserve"> (trial 4a)</w:t>
      </w:r>
      <w:r w:rsidRPr="00B1012E">
        <w:rPr>
          <w:color w:val="000000"/>
          <w:szCs w:val="24"/>
        </w:rPr>
        <w:t xml:space="preserve">. Only a slight decrease in </w:t>
      </w:r>
      <w:r w:rsidRPr="00B1012E">
        <w:rPr>
          <w:i/>
          <w:iCs/>
          <w:color w:val="000000"/>
          <w:szCs w:val="24"/>
        </w:rPr>
        <w:t>H</w:t>
      </w:r>
      <w:r w:rsidRPr="00B1012E">
        <w:rPr>
          <w:color w:val="000000"/>
          <w:szCs w:val="24"/>
        </w:rPr>
        <w:t xml:space="preserve"> can be observed for a marked increase in </w:t>
      </w:r>
      <m:oMath>
        <m:r>
          <w:rPr>
            <w:rFonts w:ascii="Cambria Math" w:hAnsi="Cambria Math"/>
            <w:color w:val="000000"/>
            <w:szCs w:val="24"/>
          </w:rPr>
          <m:t>A</m:t>
        </m:r>
        <m:d>
          <m:dPr>
            <m:ctrlPr>
              <w:rPr>
                <w:rFonts w:ascii="Cambria Math" w:hAnsi="Cambria Math"/>
                <w:i/>
                <w:color w:val="000000"/>
                <w:szCs w:val="24"/>
              </w:rPr>
            </m:ctrlPr>
          </m:dPr>
          <m:e>
            <m:r>
              <w:rPr>
                <w:rFonts w:ascii="Cambria Math" w:hAnsi="Cambria Math"/>
                <w:color w:val="000000"/>
                <w:szCs w:val="24"/>
              </w:rPr>
              <m:t>t</m:t>
            </m:r>
          </m:e>
        </m:d>
      </m:oMath>
      <w:r w:rsidRPr="00B1012E">
        <w:rPr>
          <w:rFonts w:eastAsiaTheme="minorEastAsia"/>
          <w:color w:val="000000"/>
          <w:szCs w:val="24"/>
        </w:rPr>
        <w:t xml:space="preserve"> (trial 2c). However, this</w:t>
      </w:r>
      <w:r w:rsidRPr="00B1012E">
        <w:rPr>
          <w:color w:val="000000"/>
          <w:szCs w:val="24"/>
        </w:rPr>
        <w:t xml:space="preserve"> implies durations of aftershock sequences </w:t>
      </w:r>
      <w:r w:rsidRPr="00B1012E">
        <w:rPr>
          <w:rFonts w:eastAsiaTheme="minorEastAsia"/>
          <w:iCs/>
          <w:color w:val="000000"/>
          <w:szCs w:val="24"/>
        </w:rPr>
        <w:t xml:space="preserve">that are </w:t>
      </w:r>
      <w:r w:rsidRPr="00B1012E">
        <w:rPr>
          <w:color w:val="000000"/>
          <w:szCs w:val="24"/>
        </w:rPr>
        <w:t xml:space="preserve">poorly realistic (i.e., a sequence would end when the aftershock rate is much greater than </w:t>
      </w:r>
      <m:oMath>
        <m:sSub>
          <m:sSubPr>
            <m:ctrlPr>
              <w:rPr>
                <w:rFonts w:ascii="Cambria Math" w:hAnsi="Cambria Math"/>
                <w:i/>
                <w:color w:val="000000"/>
                <w:szCs w:val="24"/>
              </w:rPr>
            </m:ctrlPr>
          </m:sSubPr>
          <m:e>
            <m:r>
              <w:rPr>
                <w:rFonts w:ascii="Cambria Math" w:hAnsi="Cambria Math"/>
                <w:color w:val="000000"/>
                <w:szCs w:val="24"/>
              </w:rPr>
              <m:t>λ</m:t>
            </m:r>
          </m:e>
          <m:sub>
            <m:r>
              <w:rPr>
                <w:rFonts w:ascii="Cambria Math" w:hAnsi="Cambria Math"/>
                <w:color w:val="000000"/>
                <w:szCs w:val="24"/>
              </w:rPr>
              <m:t>m</m:t>
            </m:r>
          </m:sub>
        </m:sSub>
      </m:oMath>
      <w:r w:rsidRPr="00B1012E">
        <w:rPr>
          <w:rFonts w:eastAsiaTheme="minorEastAsia"/>
          <w:color w:val="000000"/>
          <w:szCs w:val="24"/>
        </w:rPr>
        <w:t>)</w:t>
      </w:r>
      <w:r w:rsidRPr="00B1012E">
        <w:rPr>
          <w:color w:val="000000"/>
          <w:szCs w:val="24"/>
        </w:rPr>
        <w:t xml:space="preserve">. Similar findings were obtained by varying the values of the </w:t>
      </w:r>
      <w:r w:rsidRPr="00B1012E">
        <w:rPr>
          <w:rFonts w:eastAsiaTheme="minorEastAsia"/>
          <w:color w:val="000000"/>
          <w:szCs w:val="24"/>
        </w:rPr>
        <w:t>outflow parameters</w:t>
      </w:r>
      <w:r w:rsidR="007D7E61">
        <w:rPr>
          <w:rFonts w:eastAsiaTheme="minorEastAsia"/>
          <w:color w:val="000000"/>
          <w:szCs w:val="24"/>
        </w:rPr>
        <w:t xml:space="preserve"> (i.e., </w:t>
      </w:r>
      <m:oMath>
        <m:sSub>
          <m:sSubPr>
            <m:ctrlPr>
              <w:rPr>
                <w:rFonts w:ascii="Cambria Math" w:hAnsi="Cambria Math"/>
                <w:i/>
                <w:color w:val="000000"/>
                <w:szCs w:val="24"/>
              </w:rPr>
            </m:ctrlPr>
          </m:sSubPr>
          <m:e>
            <m:r>
              <w:rPr>
                <w:rFonts w:ascii="Cambria Math" w:hAnsi="Cambria Math"/>
                <w:color w:val="000000"/>
                <w:szCs w:val="24"/>
              </w:rPr>
              <m:t>λ</m:t>
            </m:r>
          </m:e>
          <m:sub>
            <m:r>
              <w:rPr>
                <w:rFonts w:ascii="Cambria Math" w:hAnsi="Cambria Math"/>
                <w:color w:val="000000"/>
                <w:szCs w:val="24"/>
              </w:rPr>
              <m:t>m</m:t>
            </m:r>
          </m:sub>
        </m:sSub>
      </m:oMath>
      <w:r w:rsidR="007D7E61" w:rsidRPr="00AA0B9C">
        <w:rPr>
          <w:rFonts w:eastAsiaTheme="minorEastAsia"/>
          <w:color w:val="000000"/>
          <w:szCs w:val="24"/>
        </w:rPr>
        <w:t xml:space="preserve">, </w:t>
      </w:r>
      <w:r w:rsidR="007D7E61" w:rsidRPr="00AA0B9C">
        <w:rPr>
          <w:rFonts w:eastAsiaTheme="minorEastAsia"/>
          <w:i/>
          <w:iCs/>
          <w:color w:val="000000"/>
          <w:szCs w:val="24"/>
        </w:rPr>
        <w:t>b</w:t>
      </w:r>
      <w:r w:rsidR="007D7E61" w:rsidRPr="00AA0B9C">
        <w:rPr>
          <w:rFonts w:eastAsiaTheme="minorEastAsia"/>
          <w:color w:val="000000"/>
          <w:szCs w:val="24"/>
        </w:rPr>
        <w:t xml:space="preserve">, </w:t>
      </w:r>
      <m:oMath>
        <m:sSub>
          <m:sSubPr>
            <m:ctrlPr>
              <w:rPr>
                <w:rFonts w:ascii="Cambria Math" w:hAnsi="Cambria Math"/>
                <w:i/>
                <w:color w:val="000000"/>
                <w:szCs w:val="24"/>
              </w:rPr>
            </m:ctrlPr>
          </m:sSubPr>
          <m:e>
            <m:r>
              <w:rPr>
                <w:rFonts w:ascii="Cambria Math" w:hAnsi="Cambria Math"/>
                <w:color w:val="000000"/>
                <w:szCs w:val="24"/>
              </w:rPr>
              <m:t>m</m:t>
            </m:r>
          </m:e>
          <m:sub>
            <m:r>
              <w:rPr>
                <w:rFonts w:ascii="Cambria Math" w:hAnsi="Cambria Math"/>
                <w:color w:val="000000"/>
                <w:szCs w:val="24"/>
              </w:rPr>
              <m:t>c</m:t>
            </m:r>
          </m:sub>
        </m:sSub>
      </m:oMath>
      <w:r w:rsidR="007D7E61" w:rsidRPr="00AA0B9C">
        <w:rPr>
          <w:rFonts w:eastAsiaTheme="minorEastAsia"/>
          <w:color w:val="000000"/>
          <w:szCs w:val="28"/>
        </w:rPr>
        <w:t>, and</w:t>
      </w:r>
      <w:r w:rsidR="007D7E61" w:rsidRPr="00AA0B9C">
        <w:rPr>
          <w:rFonts w:eastAsiaTheme="minorEastAsia"/>
          <w:color w:val="000000"/>
          <w:szCs w:val="24"/>
        </w:rPr>
        <w:t xml:space="preserve"> </w:t>
      </w:r>
      <m:oMath>
        <m:sSub>
          <m:sSubPr>
            <m:ctrlPr>
              <w:rPr>
                <w:rFonts w:ascii="Cambria Math" w:hAnsi="Cambria Math"/>
                <w:i/>
                <w:color w:val="000000"/>
                <w:szCs w:val="24"/>
              </w:rPr>
            </m:ctrlPr>
          </m:sSubPr>
          <m:e>
            <m:r>
              <w:rPr>
                <w:rFonts w:ascii="Cambria Math" w:hAnsi="Cambria Math"/>
                <w:color w:val="000000"/>
                <w:szCs w:val="24"/>
              </w:rPr>
              <m:t>m</m:t>
            </m:r>
          </m:e>
          <m:sub>
            <m:r>
              <w:rPr>
                <w:rFonts w:ascii="Cambria Math" w:hAnsi="Cambria Math"/>
                <w:color w:val="000000"/>
                <w:szCs w:val="24"/>
              </w:rPr>
              <m:t>max</m:t>
            </m:r>
          </m:sub>
        </m:sSub>
      </m:oMath>
      <w:r w:rsidR="007D7E61">
        <w:rPr>
          <w:rFonts w:eastAsiaTheme="minorEastAsia"/>
          <w:color w:val="000000"/>
          <w:szCs w:val="24"/>
        </w:rPr>
        <w:t>)</w:t>
      </w:r>
      <w:r w:rsidRPr="00B1012E">
        <w:rPr>
          <w:rFonts w:eastAsiaTheme="minorEastAsia"/>
          <w:color w:val="000000"/>
          <w:szCs w:val="24"/>
        </w:rPr>
        <w:t>, thus confirming that the aftershock contribution is secondary in this simulation approach</w:t>
      </w:r>
      <w:r w:rsidRPr="00B1012E">
        <w:rPr>
          <w:color w:val="000000"/>
          <w:szCs w:val="24"/>
        </w:rPr>
        <w:t>.</w:t>
      </w:r>
    </w:p>
    <w:p w14:paraId="68FCC253" w14:textId="71428263" w:rsidR="00E84B68" w:rsidRDefault="008642E2" w:rsidP="00E84B68">
      <w:pPr>
        <w:jc w:val="center"/>
        <w:rPr>
          <w:rFonts w:ascii="Times-Roman" w:hAnsi="Times-Roman" w:cs="Times-Roman"/>
          <w:szCs w:val="24"/>
        </w:rPr>
      </w:pPr>
      <w:r>
        <w:rPr>
          <w:bCs/>
          <w:szCs w:val="24"/>
        </w:rPr>
        <w:br w:type="page"/>
      </w:r>
      <w:r w:rsidR="00E84B68" w:rsidRPr="00BB087E">
        <w:rPr>
          <w:b/>
          <w:noProof/>
          <w:szCs w:val="24"/>
        </w:rPr>
        <w:lastRenderedPageBreak/>
        <w:drawing>
          <wp:inline distT="0" distB="0" distL="0" distR="0" wp14:anchorId="7E8D1A6C" wp14:editId="063B9381">
            <wp:extent cx="2883051" cy="6907119"/>
            <wp:effectExtent l="0" t="0" r="0" b="8255"/>
            <wp:docPr id="2144915251"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915251" name="Picture 1" descr="A graph of a func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3051" cy="6907119"/>
                    </a:xfrm>
                    <a:prstGeom prst="rect">
                      <a:avLst/>
                    </a:prstGeom>
                  </pic:spPr>
                </pic:pic>
              </a:graphicData>
            </a:graphic>
          </wp:inline>
        </w:drawing>
      </w:r>
    </w:p>
    <w:p w14:paraId="43B7D5AD" w14:textId="45FEC664" w:rsidR="00E84B68" w:rsidRPr="00BB087E" w:rsidRDefault="00E84B68" w:rsidP="00E84B68">
      <w:pPr>
        <w:spacing w:line="480" w:lineRule="auto"/>
        <w:jc w:val="both"/>
        <w:rPr>
          <w:bCs/>
          <w:szCs w:val="24"/>
        </w:rPr>
      </w:pPr>
      <w:r w:rsidRPr="00BB087E">
        <w:rPr>
          <w:b/>
          <w:szCs w:val="24"/>
        </w:rPr>
        <w:t xml:space="preserve">Figure </w:t>
      </w:r>
      <w:r>
        <w:rPr>
          <w:b/>
          <w:szCs w:val="24"/>
        </w:rPr>
        <w:t>S1</w:t>
      </w:r>
      <w:r w:rsidRPr="00BB087E">
        <w:rPr>
          <w:b/>
          <w:szCs w:val="24"/>
        </w:rPr>
        <w:t>.</w:t>
      </w:r>
      <w:r w:rsidRPr="00BB087E">
        <w:rPr>
          <w:bCs/>
          <w:szCs w:val="24"/>
        </w:rPr>
        <w:t xml:space="preserve"> Estimation of the Hurst exponent associated with the time series of the yearly number of earthquakes for the three examples shown in Figure </w:t>
      </w:r>
      <w:r w:rsidR="007610F2">
        <w:rPr>
          <w:bCs/>
          <w:szCs w:val="24"/>
        </w:rPr>
        <w:t>1</w:t>
      </w:r>
      <w:r w:rsidRPr="00BB087E">
        <w:rPr>
          <w:bCs/>
          <w:szCs w:val="24"/>
        </w:rPr>
        <w:t xml:space="preserve"> </w:t>
      </w:r>
      <w:r w:rsidRPr="00BB087E">
        <w:rPr>
          <w:rFonts w:eastAsiaTheme="minorEastAsia"/>
          <w:color w:val="000000"/>
          <w:szCs w:val="24"/>
        </w:rPr>
        <w:t>(see also Table 1)</w:t>
      </w:r>
      <w:r w:rsidRPr="00BB087E">
        <w:rPr>
          <w:bCs/>
          <w:szCs w:val="24"/>
        </w:rPr>
        <w:t xml:space="preserve">: a) reference case; b) trial 1a; c) trial 1b. </w:t>
      </w:r>
      <w:r w:rsidRPr="00BB087E">
        <w:rPr>
          <w:rFonts w:eastAsiaTheme="minorEastAsia"/>
          <w:color w:val="000000"/>
          <w:szCs w:val="24"/>
        </w:rPr>
        <w:t>T</w:t>
      </w:r>
      <w:r w:rsidRPr="00BB087E">
        <w:rPr>
          <w:bCs/>
          <w:szCs w:val="24"/>
        </w:rPr>
        <w:t xml:space="preserve">he values of </w:t>
      </w:r>
      <w:r w:rsidRPr="00BB087E">
        <w:rPr>
          <w:bCs/>
          <w:i/>
          <w:iCs/>
          <w:szCs w:val="24"/>
        </w:rPr>
        <w:t>H</w:t>
      </w:r>
      <w:r w:rsidRPr="00BB087E">
        <w:rPr>
          <w:bCs/>
          <w:szCs w:val="24"/>
        </w:rPr>
        <w:t xml:space="preserve"> were adjusted by applying the correction proposed by Peters</w:t>
      </w:r>
      <w:r w:rsidR="009725D3" w:rsidRPr="009725D3">
        <w:rPr>
          <w:bCs/>
          <w:szCs w:val="24"/>
          <w:vertAlign w:val="superscript"/>
        </w:rPr>
        <w:t>80</w:t>
      </w:r>
      <w:r w:rsidRPr="00BB087E">
        <w:rPr>
          <w:bCs/>
          <w:szCs w:val="24"/>
        </w:rPr>
        <w:t xml:space="preserve"> </w:t>
      </w:r>
      <w:r w:rsidRPr="00BB087E">
        <w:rPr>
          <w:rFonts w:eastAsiaTheme="minorEastAsia"/>
          <w:color w:val="000000"/>
          <w:szCs w:val="24"/>
        </w:rPr>
        <w:t>to avoid overestimation.</w:t>
      </w:r>
    </w:p>
    <w:p w14:paraId="7BA44BCC" w14:textId="77777777" w:rsidR="008642E2" w:rsidRDefault="008642E2">
      <w:pPr>
        <w:rPr>
          <w:bCs/>
          <w:szCs w:val="24"/>
        </w:rPr>
      </w:pPr>
    </w:p>
    <w:p w14:paraId="404F391E" w14:textId="5704AAF6" w:rsidR="008A1B05" w:rsidRPr="00AA0B9C" w:rsidRDefault="008A1B05" w:rsidP="008A1B05">
      <w:pPr>
        <w:spacing w:line="480" w:lineRule="auto"/>
        <w:jc w:val="center"/>
        <w:rPr>
          <w:bCs/>
          <w:szCs w:val="24"/>
        </w:rPr>
      </w:pPr>
      <w:r w:rsidRPr="0086490C">
        <w:rPr>
          <w:bCs/>
          <w:noProof/>
          <w:szCs w:val="24"/>
        </w:rPr>
        <w:drawing>
          <wp:inline distT="0" distB="0" distL="0" distR="0" wp14:anchorId="0461CDC3" wp14:editId="371F5728">
            <wp:extent cx="3779520" cy="2822448"/>
            <wp:effectExtent l="0" t="0" r="0" b="0"/>
            <wp:docPr id="1934356413" name="Picture 1" descr="A graph of a graph of a number of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356413" name="Picture 1" descr="A graph of a graph of a number of numbers&#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79520" cy="2822448"/>
                    </a:xfrm>
                    <a:prstGeom prst="rect">
                      <a:avLst/>
                    </a:prstGeom>
                  </pic:spPr>
                </pic:pic>
              </a:graphicData>
            </a:graphic>
          </wp:inline>
        </w:drawing>
      </w:r>
    </w:p>
    <w:p w14:paraId="3A4F0439" w14:textId="6024E132" w:rsidR="008A1B05" w:rsidRDefault="008A1B05" w:rsidP="008A1B05">
      <w:pPr>
        <w:pStyle w:val="SMText"/>
        <w:jc w:val="center"/>
        <w:rPr>
          <w:rFonts w:ascii="Times-Roman" w:hAnsi="Times-Roman" w:cs="Times-Roman"/>
          <w:szCs w:val="24"/>
        </w:rPr>
      </w:pPr>
      <w:r w:rsidRPr="00AA0B9C">
        <w:rPr>
          <w:b/>
          <w:szCs w:val="24"/>
        </w:rPr>
        <w:t xml:space="preserve">Figure </w:t>
      </w:r>
      <w:r w:rsidR="00246361">
        <w:rPr>
          <w:b/>
          <w:szCs w:val="24"/>
        </w:rPr>
        <w:t>S</w:t>
      </w:r>
      <w:r w:rsidR="00E84B68">
        <w:rPr>
          <w:b/>
          <w:szCs w:val="24"/>
        </w:rPr>
        <w:t>2</w:t>
      </w:r>
      <w:r>
        <w:rPr>
          <w:b/>
          <w:szCs w:val="24"/>
        </w:rPr>
        <w:t>.</w:t>
      </w:r>
      <w:r w:rsidRPr="00AA0B9C">
        <w:rPr>
          <w:bCs/>
          <w:szCs w:val="24"/>
        </w:rPr>
        <w:t xml:space="preserve"> Example of crossover effect. At a lag </w:t>
      </w:r>
      <w:r w:rsidRPr="00AA0B9C">
        <w:rPr>
          <w:i/>
          <w:color w:val="000000"/>
          <w:szCs w:val="24"/>
        </w:rPr>
        <w:t>τ</w:t>
      </w:r>
      <w:r w:rsidRPr="00AA0B9C">
        <w:rPr>
          <w:iCs/>
          <w:color w:val="000000"/>
          <w:szCs w:val="24"/>
        </w:rPr>
        <w:t xml:space="preserve"> </w:t>
      </w:r>
      <w:r w:rsidRPr="00AA0B9C">
        <w:rPr>
          <w:rFonts w:ascii="Times-Roman" w:hAnsi="Times-Roman" w:cs="Times-Roman"/>
          <w:szCs w:val="24"/>
        </w:rPr>
        <w:t xml:space="preserve">= 8192 years, the system crosses over to an independent random process with </w:t>
      </w:r>
      <w:r w:rsidRPr="00AA0B9C">
        <w:rPr>
          <w:rFonts w:ascii="Times-Roman" w:hAnsi="Times-Roman" w:cs="Times-Roman"/>
          <w:i/>
          <w:iCs/>
          <w:szCs w:val="24"/>
        </w:rPr>
        <w:t>H</w:t>
      </w:r>
      <w:r w:rsidRPr="00AA0B9C">
        <w:rPr>
          <w:rFonts w:ascii="Times-Roman" w:hAnsi="Times-Roman" w:cs="Times-Roman"/>
          <w:szCs w:val="24"/>
        </w:rPr>
        <w:t xml:space="preserve"> = 0.48. The Hurst exponent obtained by regression over all </w:t>
      </w:r>
      <w:r>
        <w:rPr>
          <w:rFonts w:ascii="Times-Roman" w:hAnsi="Times-Roman" w:cs="Times-Roman"/>
          <w:szCs w:val="24"/>
        </w:rPr>
        <w:t xml:space="preserve">the </w:t>
      </w:r>
      <w:r w:rsidRPr="00AA0B9C">
        <w:rPr>
          <w:rFonts w:ascii="Times-Roman" w:hAnsi="Times-Roman" w:cs="Times-Roman"/>
          <w:szCs w:val="24"/>
        </w:rPr>
        <w:t>points (dashed line) is equal to 0.76.</w:t>
      </w:r>
    </w:p>
    <w:p w14:paraId="3E398926" w14:textId="77777777" w:rsidR="008A1B05" w:rsidRDefault="008A1B05" w:rsidP="00630B9F">
      <w:pPr>
        <w:pStyle w:val="SMText"/>
        <w:jc w:val="both"/>
        <w:rPr>
          <w:iCs/>
          <w:color w:val="000000"/>
          <w:szCs w:val="24"/>
        </w:rPr>
      </w:pPr>
    </w:p>
    <w:p w14:paraId="45AF6C09" w14:textId="0589BB92" w:rsidR="008A1B05" w:rsidRPr="00AA0B9C" w:rsidRDefault="008A1B05" w:rsidP="008A1B05">
      <w:pPr>
        <w:spacing w:line="480" w:lineRule="auto"/>
        <w:jc w:val="center"/>
        <w:rPr>
          <w:bCs/>
          <w:szCs w:val="24"/>
        </w:rPr>
      </w:pPr>
      <w:r>
        <w:rPr>
          <w:iCs/>
          <w:noProof/>
          <w:color w:val="000000"/>
          <w:szCs w:val="24"/>
        </w:rPr>
        <w:lastRenderedPageBreak/>
        <w:drawing>
          <wp:inline distT="0" distB="0" distL="0" distR="0" wp14:anchorId="0FED9547" wp14:editId="288471FA">
            <wp:extent cx="3517748" cy="6407150"/>
            <wp:effectExtent l="0" t="0" r="6985" b="0"/>
            <wp:docPr id="646576459" name="Immagine 1" descr="Immagine che contiene testo, diagramma, linea, Paralle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576459" name="Immagine 1" descr="Immagine che contiene testo, diagramma, linea, Parallelo&#10;&#10;Descrizione generata automaticamente"/>
                    <pic:cNvPicPr/>
                  </pic:nvPicPr>
                  <pic:blipFill rotWithShape="1">
                    <a:blip r:embed="rId10">
                      <a:extLst>
                        <a:ext uri="{28A0092B-C50C-407E-A947-70E740481C1C}">
                          <a14:useLocalDpi xmlns:a14="http://schemas.microsoft.com/office/drawing/2010/main" val="0"/>
                        </a:ext>
                      </a:extLst>
                    </a:blip>
                    <a:srcRect l="1866" t="5810" r="9656" b="3549"/>
                    <a:stretch/>
                  </pic:blipFill>
                  <pic:spPr bwMode="auto">
                    <a:xfrm>
                      <a:off x="0" y="0"/>
                      <a:ext cx="3521851" cy="6414622"/>
                    </a:xfrm>
                    <a:prstGeom prst="rect">
                      <a:avLst/>
                    </a:prstGeom>
                    <a:ln>
                      <a:noFill/>
                    </a:ln>
                    <a:extLst>
                      <a:ext uri="{53640926-AAD7-44D8-BBD7-CCE9431645EC}">
                        <a14:shadowObscured xmlns:a14="http://schemas.microsoft.com/office/drawing/2010/main"/>
                      </a:ext>
                    </a:extLst>
                  </pic:spPr>
                </pic:pic>
              </a:graphicData>
            </a:graphic>
          </wp:inline>
        </w:drawing>
      </w:r>
    </w:p>
    <w:p w14:paraId="7F792F84" w14:textId="1355CC74" w:rsidR="00B9440A" w:rsidRDefault="008A1B05" w:rsidP="00B1012E">
      <w:pPr>
        <w:pStyle w:val="SMText"/>
        <w:jc w:val="center"/>
        <w:rPr>
          <w:bCs/>
          <w:szCs w:val="24"/>
        </w:rPr>
      </w:pPr>
      <w:r w:rsidRPr="00AA0B9C">
        <w:rPr>
          <w:b/>
          <w:szCs w:val="24"/>
        </w:rPr>
        <w:t xml:space="preserve">Figure </w:t>
      </w:r>
      <w:r w:rsidR="00246361">
        <w:rPr>
          <w:b/>
          <w:szCs w:val="24"/>
        </w:rPr>
        <w:t>S</w:t>
      </w:r>
      <w:r w:rsidR="00E84B68">
        <w:rPr>
          <w:b/>
          <w:szCs w:val="24"/>
        </w:rPr>
        <w:t>3</w:t>
      </w:r>
      <w:r>
        <w:rPr>
          <w:b/>
          <w:szCs w:val="24"/>
        </w:rPr>
        <w:t>.</w:t>
      </w:r>
      <w:r w:rsidRPr="00AA0B9C">
        <w:rPr>
          <w:bCs/>
          <w:szCs w:val="24"/>
        </w:rPr>
        <w:t xml:space="preserve"> </w:t>
      </w:r>
      <w:r w:rsidR="00B1012E">
        <w:rPr>
          <w:bCs/>
          <w:szCs w:val="24"/>
        </w:rPr>
        <w:t xml:space="preserve">Magnitude-frequency distributions corresponding to the catalogs shown in Figure </w:t>
      </w:r>
      <w:r w:rsidR="007610F2">
        <w:rPr>
          <w:bCs/>
          <w:szCs w:val="24"/>
        </w:rPr>
        <w:t>1</w:t>
      </w:r>
      <w:r w:rsidR="00B1012E">
        <w:rPr>
          <w:bCs/>
          <w:szCs w:val="24"/>
        </w:rPr>
        <w:t xml:space="preserve">a, </w:t>
      </w:r>
      <w:r w:rsidR="007610F2">
        <w:rPr>
          <w:bCs/>
          <w:szCs w:val="24"/>
        </w:rPr>
        <w:t>1</w:t>
      </w:r>
      <w:r w:rsidR="00E84B68">
        <w:rPr>
          <w:bCs/>
          <w:szCs w:val="24"/>
        </w:rPr>
        <w:t>b</w:t>
      </w:r>
      <w:r w:rsidR="00B1012E">
        <w:rPr>
          <w:bCs/>
          <w:szCs w:val="24"/>
        </w:rPr>
        <w:t xml:space="preserve">, and </w:t>
      </w:r>
      <w:r w:rsidR="007610F2">
        <w:rPr>
          <w:bCs/>
          <w:szCs w:val="24"/>
        </w:rPr>
        <w:t>1</w:t>
      </w:r>
      <w:r w:rsidR="00E84B68">
        <w:rPr>
          <w:bCs/>
          <w:szCs w:val="24"/>
        </w:rPr>
        <w:t xml:space="preserve">c </w:t>
      </w:r>
      <w:r w:rsidR="00B1012E">
        <w:rPr>
          <w:bCs/>
          <w:szCs w:val="24"/>
        </w:rPr>
        <w:t xml:space="preserve">of the main article. </w:t>
      </w:r>
      <w:r w:rsidR="006E5E31" w:rsidRPr="006E5E31">
        <w:rPr>
          <w:bCs/>
          <w:szCs w:val="24"/>
        </w:rPr>
        <w:t>Incremental distributions are displayed by dots while cumulative distributions by circles</w:t>
      </w:r>
      <w:r w:rsidR="00B1012E">
        <w:rPr>
          <w:bCs/>
          <w:szCs w:val="24"/>
        </w:rPr>
        <w:t>.</w:t>
      </w:r>
    </w:p>
    <w:p w14:paraId="0D9EF216" w14:textId="25B9E62C" w:rsidR="008642E2" w:rsidRDefault="008642E2">
      <w:pPr>
        <w:rPr>
          <w:bCs/>
          <w:szCs w:val="24"/>
        </w:rPr>
      </w:pPr>
      <w:r>
        <w:rPr>
          <w:bCs/>
          <w:szCs w:val="24"/>
        </w:rPr>
        <w:br w:type="page"/>
      </w:r>
    </w:p>
    <w:p w14:paraId="07E9B938" w14:textId="6F056114" w:rsidR="008642E2" w:rsidRDefault="008642E2" w:rsidP="008642E2">
      <w:pPr>
        <w:pStyle w:val="SMText"/>
        <w:jc w:val="center"/>
        <w:rPr>
          <w:rFonts w:eastAsiaTheme="minorEastAsia"/>
          <w:color w:val="000000"/>
          <w:szCs w:val="24"/>
        </w:rPr>
      </w:pPr>
      <w:r>
        <w:rPr>
          <w:b/>
          <w:szCs w:val="24"/>
        </w:rPr>
        <w:lastRenderedPageBreak/>
        <w:t>Table S1.</w:t>
      </w:r>
      <w:r w:rsidRPr="00AA0B9C">
        <w:rPr>
          <w:bCs/>
          <w:szCs w:val="24"/>
        </w:rPr>
        <w:t xml:space="preserve"> Sensitivity of the Hurst exponent (</w:t>
      </w:r>
      <w:r w:rsidRPr="00AA0B9C">
        <w:rPr>
          <w:bCs/>
          <w:i/>
          <w:iCs/>
          <w:szCs w:val="24"/>
        </w:rPr>
        <w:t>H</w:t>
      </w:r>
      <w:r w:rsidRPr="00AA0B9C">
        <w:rPr>
          <w:bCs/>
          <w:szCs w:val="24"/>
        </w:rPr>
        <w:t xml:space="preserve">) to the input parameters of the </w:t>
      </w:r>
      <w:r w:rsidR="00400604">
        <w:rPr>
          <w:bCs/>
          <w:szCs w:val="24"/>
        </w:rPr>
        <w:t xml:space="preserve">modified </w:t>
      </w:r>
      <w:r w:rsidRPr="00AA0B9C">
        <w:rPr>
          <w:bCs/>
          <w:szCs w:val="24"/>
        </w:rPr>
        <w:t xml:space="preserve">simulator: </w:t>
      </w:r>
      <m:oMath>
        <m:acc>
          <m:accPr>
            <m:chr m:val="̇"/>
            <m:ctrlPr>
              <w:rPr>
                <w:rFonts w:ascii="Cambria Math" w:hAnsi="Cambria Math"/>
                <w:i/>
                <w:color w:val="000000"/>
              </w:rPr>
            </m:ctrlPr>
          </m:accPr>
          <m:e>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0</m:t>
                </m:r>
              </m:sub>
            </m:sSub>
          </m:e>
        </m:acc>
      </m:oMath>
      <w:r>
        <w:rPr>
          <w:color w:val="000000"/>
        </w:rPr>
        <w:t xml:space="preserve"> stands for </w:t>
      </w:r>
      <w:r w:rsidRPr="00AA0B9C">
        <w:rPr>
          <w:rFonts w:eastAsiaTheme="minorEastAsia"/>
          <w:bCs/>
          <w:szCs w:val="24"/>
        </w:rPr>
        <w:t>moment rate</w:t>
      </w:r>
      <w:r w:rsidRPr="00AA0B9C">
        <w:rPr>
          <w:rFonts w:eastAsiaTheme="minorEastAsia"/>
          <w:color w:val="000000"/>
          <w:szCs w:val="24"/>
        </w:rPr>
        <w:t>,</w:t>
      </w:r>
      <w:r>
        <w:rPr>
          <w:rFonts w:eastAsiaTheme="minorEastAsia"/>
          <w:color w:val="000000"/>
          <w:szCs w:val="24"/>
        </w:rPr>
        <w:t xml:space="preserve"> </w:t>
      </w:r>
      <m:oMath>
        <m:r>
          <w:rPr>
            <w:rFonts w:ascii="Cambria Math" w:hAnsi="Cambria Math"/>
            <w:color w:val="000000"/>
            <w:szCs w:val="24"/>
          </w:rPr>
          <m:t>A</m:t>
        </m:r>
        <m:d>
          <m:dPr>
            <m:ctrlPr>
              <w:rPr>
                <w:rFonts w:ascii="Cambria Math" w:hAnsi="Cambria Math"/>
                <w:i/>
                <w:color w:val="000000"/>
                <w:szCs w:val="24"/>
              </w:rPr>
            </m:ctrlPr>
          </m:dPr>
          <m:e>
            <m:r>
              <w:rPr>
                <w:rFonts w:ascii="Cambria Math" w:hAnsi="Cambria Math"/>
                <w:color w:val="000000"/>
                <w:szCs w:val="24"/>
              </w:rPr>
              <m:t>t</m:t>
            </m:r>
          </m:e>
        </m:d>
      </m:oMath>
      <w:r w:rsidRPr="00AA0B9C">
        <w:rPr>
          <w:rFonts w:eastAsiaTheme="minorEastAsia"/>
          <w:color w:val="000000"/>
          <w:szCs w:val="24"/>
        </w:rPr>
        <w:t xml:space="preserve"> indicates the</w:t>
      </w:r>
      <w:r w:rsidRPr="00AA0B9C">
        <w:rPr>
          <w:rFonts w:eastAsiaTheme="minorEastAsia"/>
          <w:color w:val="000000"/>
          <w:szCs w:val="28"/>
        </w:rPr>
        <w:t xml:space="preserve"> rate of aftershocks,</w:t>
      </w:r>
      <w:r w:rsidRPr="00AA0B9C">
        <w:rPr>
          <w:rFonts w:eastAsiaTheme="minorEastAsia"/>
          <w:color w:val="000000"/>
          <w:sz w:val="28"/>
          <w:szCs w:val="32"/>
        </w:rPr>
        <w:t xml:space="preserve"> </w:t>
      </w:r>
      <m:oMath>
        <m:sSub>
          <m:sSubPr>
            <m:ctrlPr>
              <w:rPr>
                <w:rFonts w:ascii="Cambria Math" w:hAnsi="Cambria Math"/>
                <w:i/>
                <w:color w:val="000000"/>
                <w:szCs w:val="24"/>
              </w:rPr>
            </m:ctrlPr>
          </m:sSubPr>
          <m:e>
            <m:r>
              <w:rPr>
                <w:rFonts w:ascii="Cambria Math" w:hAnsi="Cambria Math"/>
                <w:color w:val="000000"/>
                <w:szCs w:val="24"/>
              </w:rPr>
              <m:t>m</m:t>
            </m:r>
          </m:e>
          <m:sub>
            <m:r>
              <w:rPr>
                <w:rFonts w:ascii="Cambria Math" w:hAnsi="Cambria Math"/>
                <w:color w:val="000000"/>
                <w:szCs w:val="24"/>
              </w:rPr>
              <m:t>a</m:t>
            </m:r>
          </m:sub>
        </m:sSub>
      </m:oMath>
      <w:r w:rsidRPr="00AA0B9C">
        <w:rPr>
          <w:rFonts w:eastAsiaTheme="minorEastAsia"/>
          <w:color w:val="000000"/>
          <w:szCs w:val="24"/>
        </w:rPr>
        <w:t xml:space="preserve"> is the magnitude threshold above which aftershocks are triggered, and </w:t>
      </w:r>
      <m:oMath>
        <m:r>
          <w:rPr>
            <w:rFonts w:ascii="Cambria Math" w:hAnsi="Cambria Math"/>
            <w:szCs w:val="24"/>
          </w:rPr>
          <m:t>p</m:t>
        </m:r>
      </m:oMath>
      <w:r w:rsidRPr="00AA0B9C">
        <w:rPr>
          <w:rFonts w:eastAsiaTheme="minorEastAsia"/>
          <w:color w:val="000000"/>
          <w:szCs w:val="24"/>
        </w:rPr>
        <w:t xml:space="preserve"> controls the decay of the aftershock rate. </w:t>
      </w:r>
      <w:r>
        <w:rPr>
          <w:rFonts w:eastAsiaTheme="minorEastAsia"/>
          <w:color w:val="000000"/>
          <w:szCs w:val="24"/>
        </w:rPr>
        <w:t>Note that t</w:t>
      </w:r>
      <w:r w:rsidRPr="00AA0B9C">
        <w:rPr>
          <w:rFonts w:eastAsiaTheme="minorEastAsia"/>
          <w:color w:val="000000"/>
          <w:szCs w:val="24"/>
        </w:rPr>
        <w:t xml:space="preserve">he values of </w:t>
      </w:r>
      <m:oMath>
        <m:sSub>
          <m:sSubPr>
            <m:ctrlPr>
              <w:rPr>
                <w:rFonts w:ascii="Cambria Math" w:hAnsi="Cambria Math"/>
                <w:i/>
                <w:color w:val="000000"/>
                <w:szCs w:val="24"/>
              </w:rPr>
            </m:ctrlPr>
          </m:sSubPr>
          <m:e>
            <m:r>
              <w:rPr>
                <w:rFonts w:ascii="Cambria Math" w:hAnsi="Cambria Math"/>
                <w:color w:val="000000"/>
                <w:szCs w:val="24"/>
              </w:rPr>
              <m:t>λ</m:t>
            </m:r>
          </m:e>
          <m:sub>
            <m:r>
              <w:rPr>
                <w:rFonts w:ascii="Cambria Math" w:hAnsi="Cambria Math"/>
                <w:color w:val="000000"/>
                <w:szCs w:val="24"/>
              </w:rPr>
              <m:t>m</m:t>
            </m:r>
          </m:sub>
        </m:sSub>
      </m:oMath>
      <w:r w:rsidRPr="00AA0B9C">
        <w:rPr>
          <w:rFonts w:eastAsiaTheme="minorEastAsia"/>
          <w:color w:val="000000"/>
          <w:szCs w:val="24"/>
        </w:rPr>
        <w:t xml:space="preserve">, </w:t>
      </w:r>
      <w:r w:rsidRPr="00AA0B9C">
        <w:rPr>
          <w:rFonts w:eastAsiaTheme="minorEastAsia"/>
          <w:i/>
          <w:iCs/>
          <w:color w:val="000000"/>
          <w:szCs w:val="24"/>
        </w:rPr>
        <w:t>b</w:t>
      </w:r>
      <w:r w:rsidRPr="00AA0B9C">
        <w:rPr>
          <w:rFonts w:eastAsiaTheme="minorEastAsia"/>
          <w:color w:val="000000"/>
          <w:szCs w:val="24"/>
        </w:rPr>
        <w:t xml:space="preserve">, </w:t>
      </w:r>
      <m:oMath>
        <m:sSub>
          <m:sSubPr>
            <m:ctrlPr>
              <w:rPr>
                <w:rFonts w:ascii="Cambria Math" w:hAnsi="Cambria Math"/>
                <w:i/>
                <w:color w:val="000000"/>
                <w:szCs w:val="24"/>
              </w:rPr>
            </m:ctrlPr>
          </m:sSubPr>
          <m:e>
            <m:r>
              <w:rPr>
                <w:rFonts w:ascii="Cambria Math" w:hAnsi="Cambria Math"/>
                <w:color w:val="000000"/>
                <w:szCs w:val="24"/>
              </w:rPr>
              <m:t>m</m:t>
            </m:r>
          </m:e>
          <m:sub>
            <m:r>
              <w:rPr>
                <w:rFonts w:ascii="Cambria Math" w:hAnsi="Cambria Math"/>
                <w:color w:val="000000"/>
                <w:szCs w:val="24"/>
              </w:rPr>
              <m:t>c</m:t>
            </m:r>
          </m:sub>
        </m:sSub>
      </m:oMath>
      <w:r w:rsidRPr="00AA0B9C">
        <w:rPr>
          <w:rFonts w:eastAsiaTheme="minorEastAsia"/>
          <w:color w:val="000000"/>
          <w:szCs w:val="28"/>
        </w:rPr>
        <w:t>, and</w:t>
      </w:r>
      <w:r w:rsidRPr="00AA0B9C">
        <w:rPr>
          <w:rFonts w:eastAsiaTheme="minorEastAsia"/>
          <w:color w:val="000000"/>
          <w:szCs w:val="24"/>
        </w:rPr>
        <w:t xml:space="preserve"> </w:t>
      </w:r>
      <m:oMath>
        <m:sSub>
          <m:sSubPr>
            <m:ctrlPr>
              <w:rPr>
                <w:rFonts w:ascii="Cambria Math" w:hAnsi="Cambria Math"/>
                <w:i/>
                <w:color w:val="000000"/>
                <w:szCs w:val="24"/>
              </w:rPr>
            </m:ctrlPr>
          </m:sSubPr>
          <m:e>
            <m:r>
              <w:rPr>
                <w:rFonts w:ascii="Cambria Math" w:hAnsi="Cambria Math"/>
                <w:color w:val="000000"/>
                <w:szCs w:val="24"/>
              </w:rPr>
              <m:t>m</m:t>
            </m:r>
          </m:e>
          <m:sub>
            <m:r>
              <w:rPr>
                <w:rFonts w:ascii="Cambria Math" w:hAnsi="Cambria Math"/>
                <w:color w:val="000000"/>
                <w:szCs w:val="24"/>
              </w:rPr>
              <m:t>max</m:t>
            </m:r>
          </m:sub>
        </m:sSub>
      </m:oMath>
      <w:r w:rsidRPr="00AA0B9C">
        <w:rPr>
          <w:rFonts w:eastAsiaTheme="minorEastAsia"/>
          <w:color w:val="000000"/>
          <w:szCs w:val="24"/>
        </w:rPr>
        <w:t xml:space="preserve"> are the same as those adopted in the reference trial in </w:t>
      </w:r>
      <w:r w:rsidRPr="008642E2">
        <w:rPr>
          <w:rFonts w:eastAsiaTheme="minorEastAsia"/>
          <w:color w:val="000000"/>
          <w:szCs w:val="24"/>
        </w:rPr>
        <w:t>Table 1 of the main article</w:t>
      </w:r>
      <w:r w:rsidRPr="00AA0B9C">
        <w:rPr>
          <w:rFonts w:eastAsiaTheme="minorEastAsia"/>
          <w:color w:val="000000"/>
          <w:szCs w:val="24"/>
        </w:rPr>
        <w:t>.</w:t>
      </w:r>
    </w:p>
    <w:p w14:paraId="1BCA2E82" w14:textId="77777777" w:rsidR="008642E2" w:rsidRDefault="008642E2" w:rsidP="008642E2">
      <w:pPr>
        <w:pStyle w:val="SMText"/>
        <w:jc w:val="center"/>
        <w:rPr>
          <w:bCs/>
          <w:szCs w:val="24"/>
        </w:rPr>
      </w:pPr>
    </w:p>
    <w:tbl>
      <w:tblPr>
        <w:tblStyle w:val="TableGrid"/>
        <w:tblW w:w="0" w:type="auto"/>
        <w:jc w:val="center"/>
        <w:tblLook w:val="04A0" w:firstRow="1" w:lastRow="0" w:firstColumn="1" w:lastColumn="0" w:noHBand="0" w:noVBand="1"/>
      </w:tblPr>
      <w:tblGrid>
        <w:gridCol w:w="1375"/>
        <w:gridCol w:w="1375"/>
        <w:gridCol w:w="1375"/>
        <w:gridCol w:w="1376"/>
        <w:gridCol w:w="1376"/>
        <w:gridCol w:w="1376"/>
      </w:tblGrid>
      <w:tr w:rsidR="008642E2" w:rsidRPr="00AA0B9C" w14:paraId="21D8D1C2" w14:textId="77777777" w:rsidTr="0047645E">
        <w:trPr>
          <w:jc w:val="center"/>
        </w:trPr>
        <w:tc>
          <w:tcPr>
            <w:tcW w:w="1375" w:type="dxa"/>
            <w:vMerge w:val="restart"/>
            <w:tcBorders>
              <w:left w:val="nil"/>
            </w:tcBorders>
            <w:vAlign w:val="center"/>
          </w:tcPr>
          <w:p w14:paraId="077811BE" w14:textId="0248BB39" w:rsidR="008642E2" w:rsidRPr="00AA0B9C" w:rsidRDefault="008642E2" w:rsidP="0047645E">
            <w:pPr>
              <w:jc w:val="center"/>
              <w:rPr>
                <w:rFonts w:ascii="Times New Roman" w:hAnsi="Times New Roman" w:cs="Times New Roman"/>
                <w:b/>
              </w:rPr>
            </w:pPr>
            <w:r>
              <w:rPr>
                <w:bCs/>
                <w:szCs w:val="24"/>
              </w:rPr>
              <w:br w:type="page"/>
            </w:r>
            <w:r w:rsidRPr="00AA0B9C">
              <w:rPr>
                <w:rFonts w:ascii="Times New Roman" w:hAnsi="Times New Roman" w:cs="Times New Roman"/>
                <w:b/>
              </w:rPr>
              <w:t>Trial</w:t>
            </w:r>
          </w:p>
        </w:tc>
        <w:tc>
          <w:tcPr>
            <w:tcW w:w="1375" w:type="dxa"/>
            <w:tcBorders>
              <w:bottom w:val="nil"/>
            </w:tcBorders>
            <w:vAlign w:val="center"/>
          </w:tcPr>
          <w:p w14:paraId="244D5023" w14:textId="77777777" w:rsidR="008642E2" w:rsidRPr="00AA0B9C" w:rsidRDefault="008642E2" w:rsidP="0047645E">
            <w:pPr>
              <w:jc w:val="center"/>
              <w:rPr>
                <w:rFonts w:ascii="Times New Roman" w:hAnsi="Times New Roman" w:cs="Times New Roman"/>
                <w:b/>
              </w:rPr>
            </w:pPr>
            <w:r w:rsidRPr="00AA0B9C">
              <w:rPr>
                <w:rFonts w:ascii="Times New Roman" w:hAnsi="Times New Roman" w:cs="Times New Roman"/>
                <w:b/>
              </w:rPr>
              <w:t>Inflow</w:t>
            </w:r>
          </w:p>
        </w:tc>
        <w:tc>
          <w:tcPr>
            <w:tcW w:w="4127" w:type="dxa"/>
            <w:gridSpan w:val="3"/>
            <w:tcBorders>
              <w:bottom w:val="nil"/>
              <w:right w:val="single" w:sz="4" w:space="0" w:color="auto"/>
            </w:tcBorders>
            <w:vAlign w:val="center"/>
          </w:tcPr>
          <w:p w14:paraId="45080556" w14:textId="77777777" w:rsidR="008642E2" w:rsidRPr="00AA0B9C" w:rsidRDefault="008642E2" w:rsidP="0047645E">
            <w:pPr>
              <w:jc w:val="center"/>
              <w:rPr>
                <w:rFonts w:ascii="Times New Roman" w:hAnsi="Times New Roman" w:cs="Times New Roman"/>
                <w:b/>
              </w:rPr>
            </w:pPr>
            <w:r w:rsidRPr="00AA0B9C">
              <w:rPr>
                <w:rFonts w:ascii="Times New Roman" w:hAnsi="Times New Roman" w:cs="Times New Roman"/>
                <w:b/>
              </w:rPr>
              <w:t>Outflow</w:t>
            </w:r>
          </w:p>
        </w:tc>
        <w:tc>
          <w:tcPr>
            <w:tcW w:w="1376" w:type="dxa"/>
            <w:vMerge w:val="restart"/>
            <w:tcBorders>
              <w:right w:val="nil"/>
            </w:tcBorders>
            <w:vAlign w:val="center"/>
          </w:tcPr>
          <w:p w14:paraId="5FC19E0A" w14:textId="77777777" w:rsidR="008642E2" w:rsidRPr="00AA0B9C" w:rsidRDefault="008642E2" w:rsidP="0047645E">
            <w:pPr>
              <w:jc w:val="center"/>
              <w:rPr>
                <w:rFonts w:ascii="Times New Roman" w:hAnsi="Times New Roman" w:cs="Times New Roman"/>
                <w:bCs/>
                <w:i/>
                <w:iCs/>
              </w:rPr>
            </w:pPr>
            <w:r w:rsidRPr="00AA0B9C">
              <w:rPr>
                <w:rFonts w:ascii="Times New Roman" w:hAnsi="Times New Roman" w:cs="Times New Roman"/>
                <w:bCs/>
                <w:i/>
                <w:iCs/>
              </w:rPr>
              <w:t>H</w:t>
            </w:r>
          </w:p>
        </w:tc>
      </w:tr>
      <w:tr w:rsidR="008642E2" w:rsidRPr="00AA0B9C" w14:paraId="1A857476" w14:textId="77777777" w:rsidTr="0047645E">
        <w:trPr>
          <w:trHeight w:val="340"/>
          <w:jc w:val="center"/>
        </w:trPr>
        <w:tc>
          <w:tcPr>
            <w:tcW w:w="1375" w:type="dxa"/>
            <w:vMerge/>
            <w:tcBorders>
              <w:left w:val="nil"/>
              <w:bottom w:val="single" w:sz="4" w:space="0" w:color="auto"/>
            </w:tcBorders>
            <w:vAlign w:val="center"/>
          </w:tcPr>
          <w:p w14:paraId="15F3B714" w14:textId="77777777" w:rsidR="008642E2" w:rsidRPr="00AA0B9C" w:rsidRDefault="008642E2" w:rsidP="0047645E">
            <w:pPr>
              <w:rPr>
                <w:rFonts w:ascii="Times New Roman" w:hAnsi="Times New Roman" w:cs="Times New Roman"/>
                <w:bCs/>
              </w:rPr>
            </w:pPr>
          </w:p>
        </w:tc>
        <w:tc>
          <w:tcPr>
            <w:tcW w:w="1375" w:type="dxa"/>
            <w:tcBorders>
              <w:top w:val="nil"/>
              <w:bottom w:val="single" w:sz="4" w:space="0" w:color="auto"/>
            </w:tcBorders>
            <w:vAlign w:val="center"/>
          </w:tcPr>
          <w:p w14:paraId="41C32533" w14:textId="77777777" w:rsidR="008642E2" w:rsidRPr="00AA0B9C" w:rsidRDefault="00000000" w:rsidP="0047645E">
            <w:pPr>
              <w:rPr>
                <w:rFonts w:ascii="Times New Roman" w:hAnsi="Times New Roman" w:cs="Times New Roman"/>
                <w:bCs/>
              </w:rPr>
            </w:pPr>
            <m:oMath>
              <m:acc>
                <m:accPr>
                  <m:chr m:val="̇"/>
                  <m:ctrlPr>
                    <w:rPr>
                      <w:rFonts w:ascii="Cambria Math" w:hAnsi="Cambria Math" w:cs="Times New Roman"/>
                      <w:bCs/>
                      <w:i/>
                      <w:color w:val="000000"/>
                    </w:rPr>
                  </m:ctrlPr>
                </m:accPr>
                <m:e>
                  <m:sSub>
                    <m:sSubPr>
                      <m:ctrlPr>
                        <w:rPr>
                          <w:rFonts w:ascii="Cambria Math" w:hAnsi="Cambria Math" w:cs="Times New Roman"/>
                          <w:bCs/>
                          <w:i/>
                          <w:color w:val="000000"/>
                        </w:rPr>
                      </m:ctrlPr>
                    </m:sSubPr>
                    <m:e>
                      <m:r>
                        <w:rPr>
                          <w:rFonts w:ascii="Cambria Math" w:hAnsi="Cambria Math" w:cs="Times New Roman"/>
                          <w:color w:val="000000"/>
                        </w:rPr>
                        <m:t>M</m:t>
                      </m:r>
                    </m:e>
                    <m:sub>
                      <m:r>
                        <w:rPr>
                          <w:rFonts w:ascii="Cambria Math" w:hAnsi="Cambria Math" w:cs="Times New Roman"/>
                          <w:color w:val="000000"/>
                        </w:rPr>
                        <m:t>0</m:t>
                      </m:r>
                    </m:sub>
                  </m:sSub>
                </m:e>
              </m:acc>
            </m:oMath>
            <w:r w:rsidR="008642E2" w:rsidRPr="00AA0B9C">
              <w:rPr>
                <w:rFonts w:ascii="Times New Roman" w:eastAsiaTheme="minorEastAsia" w:hAnsi="Times New Roman" w:cs="Times New Roman"/>
                <w:bCs/>
                <w:color w:val="000000"/>
              </w:rPr>
              <w:t xml:space="preserve"> (Nm/yr)</w:t>
            </w:r>
          </w:p>
        </w:tc>
        <w:tc>
          <w:tcPr>
            <w:tcW w:w="1375" w:type="dxa"/>
            <w:tcBorders>
              <w:top w:val="nil"/>
              <w:bottom w:val="single" w:sz="4" w:space="0" w:color="auto"/>
              <w:right w:val="nil"/>
            </w:tcBorders>
            <w:vAlign w:val="center"/>
          </w:tcPr>
          <w:p w14:paraId="7676F26F" w14:textId="77777777" w:rsidR="008642E2" w:rsidRPr="00AA0B9C" w:rsidRDefault="008642E2" w:rsidP="0047645E">
            <w:pPr>
              <w:jc w:val="center"/>
              <w:rPr>
                <w:rFonts w:ascii="Times New Roman" w:hAnsi="Times New Roman" w:cs="Times New Roman"/>
                <w:bCs/>
              </w:rPr>
            </w:pPr>
            <m:oMath>
              <m:r>
                <w:rPr>
                  <w:rFonts w:ascii="Cambria Math" w:hAnsi="Cambria Math" w:cs="Times New Roman"/>
                  <w:color w:val="000000"/>
                  <w:szCs w:val="24"/>
                </w:rPr>
                <m:t>A</m:t>
              </m:r>
              <m:d>
                <m:dPr>
                  <m:ctrlPr>
                    <w:rPr>
                      <w:rFonts w:ascii="Cambria Math" w:hAnsi="Cambria Math" w:cs="Times New Roman"/>
                      <w:bCs/>
                      <w:i/>
                      <w:color w:val="000000"/>
                      <w:szCs w:val="24"/>
                    </w:rPr>
                  </m:ctrlPr>
                </m:dPr>
                <m:e>
                  <m:r>
                    <w:rPr>
                      <w:rFonts w:ascii="Cambria Math" w:hAnsi="Cambria Math" w:cs="Times New Roman"/>
                      <w:color w:val="000000"/>
                      <w:szCs w:val="24"/>
                    </w:rPr>
                    <m:t>t</m:t>
                  </m:r>
                </m:e>
              </m:d>
            </m:oMath>
            <w:r w:rsidRPr="00AA0B9C">
              <w:rPr>
                <w:rFonts w:ascii="Times New Roman" w:eastAsiaTheme="minorEastAsia" w:hAnsi="Times New Roman" w:cs="Times New Roman"/>
                <w:bCs/>
                <w:color w:val="000000"/>
              </w:rPr>
              <w:t xml:space="preserve"> (1/yr)</w:t>
            </w:r>
          </w:p>
        </w:tc>
        <w:tc>
          <w:tcPr>
            <w:tcW w:w="1376" w:type="dxa"/>
            <w:tcBorders>
              <w:top w:val="nil"/>
              <w:left w:val="nil"/>
              <w:bottom w:val="single" w:sz="4" w:space="0" w:color="auto"/>
              <w:right w:val="nil"/>
            </w:tcBorders>
            <w:vAlign w:val="center"/>
          </w:tcPr>
          <w:p w14:paraId="4C3F9584" w14:textId="77777777" w:rsidR="008642E2" w:rsidRPr="00AA0B9C" w:rsidRDefault="00000000" w:rsidP="0047645E">
            <w:pPr>
              <w:jc w:val="center"/>
              <w:rPr>
                <w:rFonts w:ascii="Times New Roman" w:hAnsi="Times New Roman" w:cs="Times New Roman"/>
                <w:bCs/>
                <w:i/>
                <w:iCs/>
              </w:rPr>
            </w:pPr>
            <m:oMathPara>
              <m:oMath>
                <m:sSub>
                  <m:sSubPr>
                    <m:ctrlPr>
                      <w:rPr>
                        <w:rFonts w:ascii="Cambria Math" w:hAnsi="Cambria Math" w:cs="Times New Roman"/>
                        <w:bCs/>
                        <w:i/>
                        <w:color w:val="000000"/>
                      </w:rPr>
                    </m:ctrlPr>
                  </m:sSubPr>
                  <m:e>
                    <m:r>
                      <w:rPr>
                        <w:rFonts w:ascii="Cambria Math" w:hAnsi="Cambria Math" w:cs="Times New Roman"/>
                        <w:color w:val="000000"/>
                      </w:rPr>
                      <m:t>m</m:t>
                    </m:r>
                  </m:e>
                  <m:sub>
                    <m:r>
                      <w:rPr>
                        <w:rFonts w:ascii="Cambria Math" w:hAnsi="Cambria Math" w:cs="Times New Roman"/>
                        <w:color w:val="000000"/>
                      </w:rPr>
                      <m:t>a</m:t>
                    </m:r>
                  </m:sub>
                </m:sSub>
              </m:oMath>
            </m:oMathPara>
          </w:p>
        </w:tc>
        <w:tc>
          <w:tcPr>
            <w:tcW w:w="1376" w:type="dxa"/>
            <w:tcBorders>
              <w:top w:val="nil"/>
              <w:left w:val="nil"/>
              <w:bottom w:val="single" w:sz="4" w:space="0" w:color="auto"/>
              <w:right w:val="nil"/>
            </w:tcBorders>
            <w:vAlign w:val="center"/>
          </w:tcPr>
          <w:p w14:paraId="3E57D945" w14:textId="77777777" w:rsidR="008642E2" w:rsidRPr="00AA0B9C" w:rsidRDefault="008642E2" w:rsidP="0047645E">
            <w:pPr>
              <w:jc w:val="center"/>
              <w:rPr>
                <w:rFonts w:ascii="Times New Roman" w:hAnsi="Times New Roman" w:cs="Times New Roman"/>
                <w:bCs/>
              </w:rPr>
            </w:pPr>
            <m:oMath>
              <m:r>
                <w:rPr>
                  <w:rFonts w:ascii="Cambria Math" w:hAnsi="Cambria Math" w:cs="Times New Roman"/>
                </w:rPr>
                <m:t>p</m:t>
              </m:r>
            </m:oMath>
            <w:r w:rsidRPr="00AA0B9C">
              <w:rPr>
                <w:rFonts w:ascii="Times New Roman" w:eastAsiaTheme="minorEastAsia" w:hAnsi="Times New Roman" w:cs="Times New Roman"/>
                <w:bCs/>
              </w:rPr>
              <w:t xml:space="preserve"> range</w:t>
            </w:r>
          </w:p>
        </w:tc>
        <w:tc>
          <w:tcPr>
            <w:tcW w:w="1376" w:type="dxa"/>
            <w:vMerge/>
            <w:tcBorders>
              <w:bottom w:val="single" w:sz="4" w:space="0" w:color="auto"/>
              <w:right w:val="nil"/>
            </w:tcBorders>
          </w:tcPr>
          <w:p w14:paraId="4B37109F" w14:textId="77777777" w:rsidR="008642E2" w:rsidRPr="00AA0B9C" w:rsidRDefault="008642E2" w:rsidP="0047645E">
            <w:pPr>
              <w:rPr>
                <w:rFonts w:ascii="Times New Roman" w:hAnsi="Times New Roman" w:cs="Times New Roman"/>
                <w:bCs/>
                <w:color w:val="000000"/>
              </w:rPr>
            </w:pPr>
          </w:p>
        </w:tc>
      </w:tr>
      <w:tr w:rsidR="008642E2" w:rsidRPr="00AA0B9C" w14:paraId="6A2D987E" w14:textId="77777777" w:rsidTr="0047645E">
        <w:trPr>
          <w:jc w:val="center"/>
        </w:trPr>
        <w:tc>
          <w:tcPr>
            <w:tcW w:w="1375" w:type="dxa"/>
            <w:tcBorders>
              <w:top w:val="single" w:sz="4" w:space="0" w:color="auto"/>
              <w:left w:val="nil"/>
              <w:bottom w:val="single" w:sz="4" w:space="0" w:color="auto"/>
              <w:right w:val="single" w:sz="4" w:space="0" w:color="auto"/>
            </w:tcBorders>
            <w:vAlign w:val="center"/>
          </w:tcPr>
          <w:p w14:paraId="0CD19E66"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Reference</w:t>
            </w:r>
          </w:p>
        </w:tc>
        <w:tc>
          <w:tcPr>
            <w:tcW w:w="1375" w:type="dxa"/>
            <w:tcBorders>
              <w:top w:val="single" w:sz="4" w:space="0" w:color="auto"/>
              <w:left w:val="single" w:sz="4" w:space="0" w:color="auto"/>
              <w:bottom w:val="single" w:sz="4" w:space="0" w:color="auto"/>
              <w:right w:val="single" w:sz="4" w:space="0" w:color="auto"/>
            </w:tcBorders>
            <w:vAlign w:val="center"/>
          </w:tcPr>
          <w:p w14:paraId="60B66620"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2.0E+17</w:t>
            </w:r>
          </w:p>
        </w:tc>
        <w:tc>
          <w:tcPr>
            <w:tcW w:w="1375" w:type="dxa"/>
            <w:tcBorders>
              <w:top w:val="single" w:sz="4" w:space="0" w:color="auto"/>
              <w:left w:val="single" w:sz="4" w:space="0" w:color="auto"/>
              <w:bottom w:val="single" w:sz="4" w:space="0" w:color="auto"/>
              <w:right w:val="nil"/>
            </w:tcBorders>
            <w:vAlign w:val="center"/>
          </w:tcPr>
          <w:p w14:paraId="5078C6DF"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1.3</w:t>
            </w:r>
          </w:p>
        </w:tc>
        <w:tc>
          <w:tcPr>
            <w:tcW w:w="1376" w:type="dxa"/>
            <w:tcBorders>
              <w:top w:val="single" w:sz="4" w:space="0" w:color="auto"/>
              <w:left w:val="nil"/>
              <w:bottom w:val="single" w:sz="4" w:space="0" w:color="auto"/>
              <w:right w:val="nil"/>
            </w:tcBorders>
            <w:vAlign w:val="center"/>
          </w:tcPr>
          <w:p w14:paraId="44722C68"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6.2</w:t>
            </w:r>
          </w:p>
        </w:tc>
        <w:tc>
          <w:tcPr>
            <w:tcW w:w="1376" w:type="dxa"/>
            <w:tcBorders>
              <w:top w:val="single" w:sz="4" w:space="0" w:color="auto"/>
              <w:left w:val="nil"/>
              <w:bottom w:val="single" w:sz="4" w:space="0" w:color="auto"/>
              <w:right w:val="single" w:sz="4" w:space="0" w:color="auto"/>
            </w:tcBorders>
            <w:vAlign w:val="center"/>
          </w:tcPr>
          <w:p w14:paraId="6B1E71FD"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[1.1, 1.4]</w:t>
            </w:r>
          </w:p>
        </w:tc>
        <w:tc>
          <w:tcPr>
            <w:tcW w:w="1376" w:type="dxa"/>
            <w:tcBorders>
              <w:top w:val="single" w:sz="4" w:space="0" w:color="auto"/>
              <w:left w:val="single" w:sz="4" w:space="0" w:color="auto"/>
              <w:bottom w:val="single" w:sz="4" w:space="0" w:color="auto"/>
              <w:right w:val="nil"/>
            </w:tcBorders>
            <w:vAlign w:val="center"/>
          </w:tcPr>
          <w:p w14:paraId="0A07D972"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 xml:space="preserve">0.80 </w:t>
            </w:r>
            <w:r w:rsidRPr="00AA0B9C">
              <w:rPr>
                <w:rFonts w:ascii="Times New Roman" w:hAnsi="Times New Roman" w:cs="Times New Roman"/>
                <w:color w:val="000000"/>
              </w:rPr>
              <w:t>± 0.01</w:t>
            </w:r>
          </w:p>
        </w:tc>
      </w:tr>
      <w:tr w:rsidR="008642E2" w:rsidRPr="00AA0B9C" w14:paraId="039FB22B" w14:textId="77777777" w:rsidTr="0047645E">
        <w:trPr>
          <w:jc w:val="center"/>
        </w:trPr>
        <w:tc>
          <w:tcPr>
            <w:tcW w:w="1375" w:type="dxa"/>
            <w:tcBorders>
              <w:top w:val="single" w:sz="4" w:space="0" w:color="auto"/>
              <w:left w:val="nil"/>
              <w:bottom w:val="nil"/>
              <w:right w:val="single" w:sz="4" w:space="0" w:color="auto"/>
            </w:tcBorders>
            <w:vAlign w:val="center"/>
          </w:tcPr>
          <w:p w14:paraId="72400ECF" w14:textId="77777777" w:rsidR="008642E2" w:rsidRPr="00AA0B9C" w:rsidRDefault="008642E2" w:rsidP="0047645E">
            <w:pPr>
              <w:jc w:val="center"/>
              <w:rPr>
                <w:rFonts w:ascii="Times New Roman" w:hAnsi="Times New Roman" w:cs="Times New Roman"/>
                <w:b/>
              </w:rPr>
            </w:pPr>
            <w:r w:rsidRPr="00AA0B9C">
              <w:rPr>
                <w:rFonts w:ascii="Times New Roman" w:hAnsi="Times New Roman" w:cs="Times New Roman"/>
                <w:bCs/>
              </w:rPr>
              <w:t>1a</w:t>
            </w:r>
          </w:p>
        </w:tc>
        <w:tc>
          <w:tcPr>
            <w:tcW w:w="1375" w:type="dxa"/>
            <w:tcBorders>
              <w:top w:val="single" w:sz="4" w:space="0" w:color="auto"/>
              <w:left w:val="single" w:sz="4" w:space="0" w:color="auto"/>
              <w:bottom w:val="nil"/>
              <w:right w:val="single" w:sz="4" w:space="0" w:color="auto"/>
            </w:tcBorders>
            <w:vAlign w:val="center"/>
          </w:tcPr>
          <w:p w14:paraId="1E8510C4"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1.5E+17</w:t>
            </w:r>
          </w:p>
        </w:tc>
        <w:tc>
          <w:tcPr>
            <w:tcW w:w="1375" w:type="dxa"/>
            <w:tcBorders>
              <w:top w:val="single" w:sz="4" w:space="0" w:color="auto"/>
              <w:left w:val="single" w:sz="4" w:space="0" w:color="auto"/>
              <w:bottom w:val="nil"/>
              <w:right w:val="nil"/>
            </w:tcBorders>
            <w:vAlign w:val="center"/>
          </w:tcPr>
          <w:p w14:paraId="71E0E287"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1.3</w:t>
            </w:r>
          </w:p>
        </w:tc>
        <w:tc>
          <w:tcPr>
            <w:tcW w:w="1376" w:type="dxa"/>
            <w:tcBorders>
              <w:top w:val="single" w:sz="4" w:space="0" w:color="auto"/>
              <w:left w:val="nil"/>
              <w:bottom w:val="nil"/>
              <w:right w:val="nil"/>
            </w:tcBorders>
            <w:vAlign w:val="center"/>
          </w:tcPr>
          <w:p w14:paraId="5B5F3F24"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6.2</w:t>
            </w:r>
          </w:p>
        </w:tc>
        <w:tc>
          <w:tcPr>
            <w:tcW w:w="1376" w:type="dxa"/>
            <w:tcBorders>
              <w:top w:val="single" w:sz="4" w:space="0" w:color="auto"/>
              <w:left w:val="nil"/>
              <w:bottom w:val="nil"/>
              <w:right w:val="single" w:sz="4" w:space="0" w:color="auto"/>
            </w:tcBorders>
            <w:vAlign w:val="center"/>
          </w:tcPr>
          <w:p w14:paraId="700629B5"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[1.1, 1.4]</w:t>
            </w:r>
          </w:p>
        </w:tc>
        <w:tc>
          <w:tcPr>
            <w:tcW w:w="1376" w:type="dxa"/>
            <w:tcBorders>
              <w:top w:val="single" w:sz="4" w:space="0" w:color="auto"/>
              <w:left w:val="single" w:sz="4" w:space="0" w:color="auto"/>
              <w:bottom w:val="nil"/>
              <w:right w:val="nil"/>
            </w:tcBorders>
            <w:vAlign w:val="center"/>
          </w:tcPr>
          <w:p w14:paraId="377AF898"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 xml:space="preserve">0.71 </w:t>
            </w:r>
            <w:r w:rsidRPr="00AA0B9C">
              <w:rPr>
                <w:rFonts w:ascii="Times New Roman" w:hAnsi="Times New Roman" w:cs="Times New Roman"/>
                <w:color w:val="000000"/>
              </w:rPr>
              <w:t>± 0.02</w:t>
            </w:r>
          </w:p>
        </w:tc>
      </w:tr>
      <w:tr w:rsidR="008642E2" w:rsidRPr="00AA0B9C" w14:paraId="6503D7B5" w14:textId="77777777" w:rsidTr="0047645E">
        <w:trPr>
          <w:jc w:val="center"/>
        </w:trPr>
        <w:tc>
          <w:tcPr>
            <w:tcW w:w="1375" w:type="dxa"/>
            <w:tcBorders>
              <w:top w:val="nil"/>
              <w:left w:val="nil"/>
              <w:bottom w:val="single" w:sz="4" w:space="0" w:color="auto"/>
              <w:right w:val="single" w:sz="4" w:space="0" w:color="auto"/>
            </w:tcBorders>
            <w:vAlign w:val="center"/>
          </w:tcPr>
          <w:p w14:paraId="2082D205"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1b</w:t>
            </w:r>
          </w:p>
        </w:tc>
        <w:tc>
          <w:tcPr>
            <w:tcW w:w="1375" w:type="dxa"/>
            <w:tcBorders>
              <w:top w:val="nil"/>
              <w:left w:val="single" w:sz="4" w:space="0" w:color="auto"/>
              <w:bottom w:val="single" w:sz="4" w:space="0" w:color="auto"/>
              <w:right w:val="single" w:sz="4" w:space="0" w:color="auto"/>
            </w:tcBorders>
            <w:vAlign w:val="center"/>
          </w:tcPr>
          <w:p w14:paraId="55BFDEB6"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1.0E+17</w:t>
            </w:r>
          </w:p>
        </w:tc>
        <w:tc>
          <w:tcPr>
            <w:tcW w:w="1375" w:type="dxa"/>
            <w:tcBorders>
              <w:top w:val="nil"/>
              <w:left w:val="single" w:sz="4" w:space="0" w:color="auto"/>
              <w:bottom w:val="single" w:sz="4" w:space="0" w:color="auto"/>
              <w:right w:val="nil"/>
            </w:tcBorders>
            <w:vAlign w:val="center"/>
          </w:tcPr>
          <w:p w14:paraId="3CCFBE3D"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1.3</w:t>
            </w:r>
          </w:p>
        </w:tc>
        <w:tc>
          <w:tcPr>
            <w:tcW w:w="1376" w:type="dxa"/>
            <w:tcBorders>
              <w:top w:val="nil"/>
              <w:left w:val="nil"/>
              <w:bottom w:val="single" w:sz="4" w:space="0" w:color="auto"/>
              <w:right w:val="nil"/>
            </w:tcBorders>
            <w:vAlign w:val="center"/>
          </w:tcPr>
          <w:p w14:paraId="08C20700"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6.2</w:t>
            </w:r>
          </w:p>
        </w:tc>
        <w:tc>
          <w:tcPr>
            <w:tcW w:w="1376" w:type="dxa"/>
            <w:tcBorders>
              <w:top w:val="nil"/>
              <w:left w:val="nil"/>
              <w:bottom w:val="single" w:sz="4" w:space="0" w:color="auto"/>
              <w:right w:val="single" w:sz="4" w:space="0" w:color="auto"/>
            </w:tcBorders>
            <w:vAlign w:val="center"/>
          </w:tcPr>
          <w:p w14:paraId="16934080"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[1.1, 1.4]</w:t>
            </w:r>
          </w:p>
        </w:tc>
        <w:tc>
          <w:tcPr>
            <w:tcW w:w="1376" w:type="dxa"/>
            <w:tcBorders>
              <w:top w:val="nil"/>
              <w:left w:val="single" w:sz="4" w:space="0" w:color="auto"/>
              <w:bottom w:val="single" w:sz="4" w:space="0" w:color="auto"/>
              <w:right w:val="nil"/>
            </w:tcBorders>
            <w:vAlign w:val="center"/>
          </w:tcPr>
          <w:p w14:paraId="2A1E3C81"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color w:val="000000"/>
              </w:rPr>
              <w:t>0.50 ± 0.00</w:t>
            </w:r>
          </w:p>
        </w:tc>
      </w:tr>
      <w:tr w:rsidR="008642E2" w:rsidRPr="00AA0B9C" w14:paraId="0F9B912E" w14:textId="77777777" w:rsidTr="0047645E">
        <w:trPr>
          <w:jc w:val="center"/>
        </w:trPr>
        <w:tc>
          <w:tcPr>
            <w:tcW w:w="1375" w:type="dxa"/>
            <w:tcBorders>
              <w:top w:val="single" w:sz="4" w:space="0" w:color="auto"/>
              <w:left w:val="nil"/>
              <w:bottom w:val="nil"/>
              <w:right w:val="single" w:sz="4" w:space="0" w:color="auto"/>
            </w:tcBorders>
            <w:vAlign w:val="center"/>
          </w:tcPr>
          <w:p w14:paraId="5F773975"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2a</w:t>
            </w:r>
          </w:p>
        </w:tc>
        <w:tc>
          <w:tcPr>
            <w:tcW w:w="1375" w:type="dxa"/>
            <w:tcBorders>
              <w:top w:val="single" w:sz="4" w:space="0" w:color="auto"/>
              <w:left w:val="single" w:sz="4" w:space="0" w:color="auto"/>
              <w:bottom w:val="nil"/>
              <w:right w:val="single" w:sz="4" w:space="0" w:color="auto"/>
            </w:tcBorders>
            <w:vAlign w:val="center"/>
          </w:tcPr>
          <w:p w14:paraId="7BE41D42"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2.0E+17</w:t>
            </w:r>
          </w:p>
        </w:tc>
        <w:tc>
          <w:tcPr>
            <w:tcW w:w="1375" w:type="dxa"/>
            <w:tcBorders>
              <w:top w:val="single" w:sz="4" w:space="0" w:color="auto"/>
              <w:left w:val="single" w:sz="4" w:space="0" w:color="auto"/>
              <w:bottom w:val="nil"/>
              <w:right w:val="nil"/>
            </w:tcBorders>
            <w:vAlign w:val="center"/>
          </w:tcPr>
          <w:p w14:paraId="7943726C"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1.0</w:t>
            </w:r>
          </w:p>
        </w:tc>
        <w:tc>
          <w:tcPr>
            <w:tcW w:w="1376" w:type="dxa"/>
            <w:tcBorders>
              <w:top w:val="single" w:sz="4" w:space="0" w:color="auto"/>
              <w:left w:val="nil"/>
              <w:bottom w:val="nil"/>
              <w:right w:val="nil"/>
            </w:tcBorders>
            <w:vAlign w:val="center"/>
          </w:tcPr>
          <w:p w14:paraId="2B898668"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6.2</w:t>
            </w:r>
          </w:p>
        </w:tc>
        <w:tc>
          <w:tcPr>
            <w:tcW w:w="1376" w:type="dxa"/>
            <w:tcBorders>
              <w:top w:val="single" w:sz="4" w:space="0" w:color="auto"/>
              <w:left w:val="nil"/>
              <w:bottom w:val="nil"/>
              <w:right w:val="single" w:sz="4" w:space="0" w:color="auto"/>
            </w:tcBorders>
            <w:vAlign w:val="center"/>
          </w:tcPr>
          <w:p w14:paraId="55F61048"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[1.1, 1.4]</w:t>
            </w:r>
          </w:p>
        </w:tc>
        <w:tc>
          <w:tcPr>
            <w:tcW w:w="1376" w:type="dxa"/>
            <w:tcBorders>
              <w:top w:val="single" w:sz="4" w:space="0" w:color="auto"/>
              <w:left w:val="single" w:sz="4" w:space="0" w:color="auto"/>
              <w:bottom w:val="nil"/>
              <w:right w:val="nil"/>
            </w:tcBorders>
            <w:vAlign w:val="center"/>
          </w:tcPr>
          <w:p w14:paraId="5BDB8574"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 xml:space="preserve">0.80 </w:t>
            </w:r>
            <w:r w:rsidRPr="00AA0B9C">
              <w:rPr>
                <w:rFonts w:ascii="Times New Roman" w:hAnsi="Times New Roman" w:cs="Times New Roman"/>
                <w:color w:val="000000"/>
              </w:rPr>
              <w:t>± 0.01</w:t>
            </w:r>
          </w:p>
        </w:tc>
      </w:tr>
      <w:tr w:rsidR="008642E2" w:rsidRPr="00AA0B9C" w14:paraId="3E2206C4" w14:textId="77777777" w:rsidTr="0047645E">
        <w:trPr>
          <w:jc w:val="center"/>
        </w:trPr>
        <w:tc>
          <w:tcPr>
            <w:tcW w:w="1375" w:type="dxa"/>
            <w:tcBorders>
              <w:top w:val="nil"/>
              <w:left w:val="nil"/>
              <w:bottom w:val="nil"/>
              <w:right w:val="single" w:sz="4" w:space="0" w:color="auto"/>
            </w:tcBorders>
            <w:vAlign w:val="center"/>
          </w:tcPr>
          <w:p w14:paraId="5E1D439D"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2b</w:t>
            </w:r>
          </w:p>
        </w:tc>
        <w:tc>
          <w:tcPr>
            <w:tcW w:w="1375" w:type="dxa"/>
            <w:tcBorders>
              <w:top w:val="nil"/>
              <w:left w:val="single" w:sz="4" w:space="0" w:color="auto"/>
              <w:bottom w:val="nil"/>
              <w:right w:val="single" w:sz="4" w:space="0" w:color="auto"/>
            </w:tcBorders>
            <w:vAlign w:val="center"/>
          </w:tcPr>
          <w:p w14:paraId="23B7B6D4"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2.0E+17</w:t>
            </w:r>
          </w:p>
        </w:tc>
        <w:tc>
          <w:tcPr>
            <w:tcW w:w="1375" w:type="dxa"/>
            <w:tcBorders>
              <w:top w:val="nil"/>
              <w:left w:val="single" w:sz="4" w:space="0" w:color="auto"/>
              <w:bottom w:val="nil"/>
              <w:right w:val="nil"/>
            </w:tcBorders>
            <w:vAlign w:val="center"/>
          </w:tcPr>
          <w:p w14:paraId="59ED9FDB"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1.5</w:t>
            </w:r>
          </w:p>
        </w:tc>
        <w:tc>
          <w:tcPr>
            <w:tcW w:w="1376" w:type="dxa"/>
            <w:tcBorders>
              <w:top w:val="nil"/>
              <w:left w:val="nil"/>
              <w:bottom w:val="nil"/>
              <w:right w:val="nil"/>
            </w:tcBorders>
            <w:vAlign w:val="center"/>
          </w:tcPr>
          <w:p w14:paraId="0C1A8148"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6.2</w:t>
            </w:r>
          </w:p>
        </w:tc>
        <w:tc>
          <w:tcPr>
            <w:tcW w:w="1376" w:type="dxa"/>
            <w:tcBorders>
              <w:top w:val="nil"/>
              <w:left w:val="nil"/>
              <w:bottom w:val="nil"/>
              <w:right w:val="single" w:sz="4" w:space="0" w:color="auto"/>
            </w:tcBorders>
            <w:vAlign w:val="center"/>
          </w:tcPr>
          <w:p w14:paraId="6FDE7022"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[1.1, 1.4]</w:t>
            </w:r>
          </w:p>
        </w:tc>
        <w:tc>
          <w:tcPr>
            <w:tcW w:w="1376" w:type="dxa"/>
            <w:tcBorders>
              <w:top w:val="nil"/>
              <w:left w:val="single" w:sz="4" w:space="0" w:color="auto"/>
              <w:bottom w:val="nil"/>
              <w:right w:val="nil"/>
            </w:tcBorders>
            <w:vAlign w:val="center"/>
          </w:tcPr>
          <w:p w14:paraId="4380C568"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 xml:space="preserve">0.80 </w:t>
            </w:r>
            <w:r w:rsidRPr="00AA0B9C">
              <w:rPr>
                <w:rFonts w:ascii="Times New Roman" w:hAnsi="Times New Roman" w:cs="Times New Roman"/>
                <w:color w:val="000000"/>
              </w:rPr>
              <w:t>± 0.01</w:t>
            </w:r>
          </w:p>
        </w:tc>
      </w:tr>
      <w:tr w:rsidR="008642E2" w:rsidRPr="00AA0B9C" w14:paraId="4270AF25" w14:textId="77777777" w:rsidTr="0047645E">
        <w:trPr>
          <w:jc w:val="center"/>
        </w:trPr>
        <w:tc>
          <w:tcPr>
            <w:tcW w:w="1375" w:type="dxa"/>
            <w:tcBorders>
              <w:top w:val="nil"/>
              <w:left w:val="nil"/>
              <w:bottom w:val="single" w:sz="4" w:space="0" w:color="auto"/>
              <w:right w:val="single" w:sz="4" w:space="0" w:color="auto"/>
            </w:tcBorders>
            <w:vAlign w:val="center"/>
          </w:tcPr>
          <w:p w14:paraId="3A6A5AD4"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2c</w:t>
            </w:r>
          </w:p>
        </w:tc>
        <w:tc>
          <w:tcPr>
            <w:tcW w:w="1375" w:type="dxa"/>
            <w:tcBorders>
              <w:top w:val="nil"/>
              <w:left w:val="single" w:sz="4" w:space="0" w:color="auto"/>
              <w:bottom w:val="single" w:sz="4" w:space="0" w:color="auto"/>
              <w:right w:val="single" w:sz="4" w:space="0" w:color="auto"/>
            </w:tcBorders>
            <w:vAlign w:val="center"/>
          </w:tcPr>
          <w:p w14:paraId="1D2B57C0"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2.0E+17</w:t>
            </w:r>
          </w:p>
        </w:tc>
        <w:tc>
          <w:tcPr>
            <w:tcW w:w="1375" w:type="dxa"/>
            <w:tcBorders>
              <w:top w:val="nil"/>
              <w:left w:val="single" w:sz="4" w:space="0" w:color="auto"/>
              <w:bottom w:val="single" w:sz="4" w:space="0" w:color="auto"/>
              <w:right w:val="nil"/>
            </w:tcBorders>
            <w:vAlign w:val="center"/>
          </w:tcPr>
          <w:p w14:paraId="22D22756"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1.8</w:t>
            </w:r>
          </w:p>
        </w:tc>
        <w:tc>
          <w:tcPr>
            <w:tcW w:w="1376" w:type="dxa"/>
            <w:tcBorders>
              <w:top w:val="nil"/>
              <w:left w:val="nil"/>
              <w:bottom w:val="single" w:sz="4" w:space="0" w:color="auto"/>
              <w:right w:val="nil"/>
            </w:tcBorders>
            <w:vAlign w:val="center"/>
          </w:tcPr>
          <w:p w14:paraId="733BC5C3"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6.2</w:t>
            </w:r>
          </w:p>
        </w:tc>
        <w:tc>
          <w:tcPr>
            <w:tcW w:w="1376" w:type="dxa"/>
            <w:tcBorders>
              <w:top w:val="nil"/>
              <w:left w:val="nil"/>
              <w:bottom w:val="single" w:sz="4" w:space="0" w:color="auto"/>
              <w:right w:val="single" w:sz="4" w:space="0" w:color="auto"/>
            </w:tcBorders>
            <w:vAlign w:val="center"/>
          </w:tcPr>
          <w:p w14:paraId="571EBA88"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[1.1, 1.4]</w:t>
            </w:r>
          </w:p>
        </w:tc>
        <w:tc>
          <w:tcPr>
            <w:tcW w:w="1376" w:type="dxa"/>
            <w:tcBorders>
              <w:top w:val="nil"/>
              <w:left w:val="single" w:sz="4" w:space="0" w:color="auto"/>
              <w:bottom w:val="single" w:sz="4" w:space="0" w:color="auto"/>
              <w:right w:val="nil"/>
            </w:tcBorders>
            <w:vAlign w:val="center"/>
          </w:tcPr>
          <w:p w14:paraId="50E6D470"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 xml:space="preserve">0.77 </w:t>
            </w:r>
            <w:r w:rsidRPr="00AA0B9C">
              <w:rPr>
                <w:rFonts w:ascii="Times New Roman" w:hAnsi="Times New Roman" w:cs="Times New Roman"/>
                <w:color w:val="000000"/>
              </w:rPr>
              <w:t>± 0.01</w:t>
            </w:r>
          </w:p>
        </w:tc>
      </w:tr>
      <w:tr w:rsidR="008642E2" w:rsidRPr="00AA0B9C" w14:paraId="2B1C2DA3" w14:textId="77777777" w:rsidTr="0047645E">
        <w:trPr>
          <w:jc w:val="center"/>
        </w:trPr>
        <w:tc>
          <w:tcPr>
            <w:tcW w:w="1375" w:type="dxa"/>
            <w:tcBorders>
              <w:top w:val="single" w:sz="4" w:space="0" w:color="auto"/>
              <w:left w:val="nil"/>
              <w:bottom w:val="nil"/>
              <w:right w:val="single" w:sz="4" w:space="0" w:color="auto"/>
            </w:tcBorders>
            <w:vAlign w:val="center"/>
          </w:tcPr>
          <w:p w14:paraId="77FBEBD7"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3a</w:t>
            </w:r>
          </w:p>
        </w:tc>
        <w:tc>
          <w:tcPr>
            <w:tcW w:w="1375" w:type="dxa"/>
            <w:tcBorders>
              <w:top w:val="single" w:sz="4" w:space="0" w:color="auto"/>
              <w:left w:val="single" w:sz="4" w:space="0" w:color="auto"/>
              <w:bottom w:val="nil"/>
              <w:right w:val="single" w:sz="4" w:space="0" w:color="auto"/>
            </w:tcBorders>
            <w:vAlign w:val="center"/>
          </w:tcPr>
          <w:p w14:paraId="1693894D"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2.0E+17</w:t>
            </w:r>
          </w:p>
        </w:tc>
        <w:tc>
          <w:tcPr>
            <w:tcW w:w="1375" w:type="dxa"/>
            <w:tcBorders>
              <w:top w:val="single" w:sz="4" w:space="0" w:color="auto"/>
              <w:left w:val="single" w:sz="4" w:space="0" w:color="auto"/>
              <w:bottom w:val="nil"/>
              <w:right w:val="nil"/>
            </w:tcBorders>
            <w:vAlign w:val="center"/>
          </w:tcPr>
          <w:p w14:paraId="3506FB8E"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1.3</w:t>
            </w:r>
          </w:p>
        </w:tc>
        <w:tc>
          <w:tcPr>
            <w:tcW w:w="1376" w:type="dxa"/>
            <w:tcBorders>
              <w:top w:val="single" w:sz="4" w:space="0" w:color="auto"/>
              <w:left w:val="nil"/>
              <w:bottom w:val="nil"/>
              <w:right w:val="nil"/>
            </w:tcBorders>
            <w:vAlign w:val="center"/>
          </w:tcPr>
          <w:p w14:paraId="67ED5358"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6.0</w:t>
            </w:r>
          </w:p>
        </w:tc>
        <w:tc>
          <w:tcPr>
            <w:tcW w:w="1376" w:type="dxa"/>
            <w:tcBorders>
              <w:top w:val="single" w:sz="4" w:space="0" w:color="auto"/>
              <w:left w:val="nil"/>
              <w:bottom w:val="nil"/>
              <w:right w:val="single" w:sz="4" w:space="0" w:color="auto"/>
            </w:tcBorders>
            <w:vAlign w:val="center"/>
          </w:tcPr>
          <w:p w14:paraId="16A3523B"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[1.1, 1.4]</w:t>
            </w:r>
          </w:p>
        </w:tc>
        <w:tc>
          <w:tcPr>
            <w:tcW w:w="1376" w:type="dxa"/>
            <w:tcBorders>
              <w:top w:val="single" w:sz="4" w:space="0" w:color="auto"/>
              <w:left w:val="single" w:sz="4" w:space="0" w:color="auto"/>
              <w:bottom w:val="nil"/>
              <w:right w:val="nil"/>
            </w:tcBorders>
            <w:vAlign w:val="center"/>
          </w:tcPr>
          <w:p w14:paraId="12964D32"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 xml:space="preserve">0.79 </w:t>
            </w:r>
            <w:r w:rsidRPr="00AA0B9C">
              <w:rPr>
                <w:rFonts w:ascii="Times New Roman" w:hAnsi="Times New Roman" w:cs="Times New Roman"/>
                <w:color w:val="000000"/>
              </w:rPr>
              <w:t>± 0.01</w:t>
            </w:r>
          </w:p>
        </w:tc>
      </w:tr>
      <w:tr w:rsidR="008642E2" w:rsidRPr="00AA0B9C" w14:paraId="6B7C2526" w14:textId="77777777" w:rsidTr="0047645E">
        <w:trPr>
          <w:jc w:val="center"/>
        </w:trPr>
        <w:tc>
          <w:tcPr>
            <w:tcW w:w="1375" w:type="dxa"/>
            <w:tcBorders>
              <w:top w:val="nil"/>
              <w:left w:val="nil"/>
              <w:bottom w:val="nil"/>
              <w:right w:val="single" w:sz="4" w:space="0" w:color="auto"/>
            </w:tcBorders>
            <w:vAlign w:val="center"/>
          </w:tcPr>
          <w:p w14:paraId="730FA213"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3b</w:t>
            </w:r>
          </w:p>
        </w:tc>
        <w:tc>
          <w:tcPr>
            <w:tcW w:w="1375" w:type="dxa"/>
            <w:tcBorders>
              <w:top w:val="nil"/>
              <w:left w:val="single" w:sz="4" w:space="0" w:color="auto"/>
              <w:bottom w:val="nil"/>
              <w:right w:val="single" w:sz="4" w:space="0" w:color="auto"/>
            </w:tcBorders>
            <w:vAlign w:val="center"/>
          </w:tcPr>
          <w:p w14:paraId="39C9A744"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2.0E+17</w:t>
            </w:r>
          </w:p>
        </w:tc>
        <w:tc>
          <w:tcPr>
            <w:tcW w:w="1375" w:type="dxa"/>
            <w:tcBorders>
              <w:top w:val="nil"/>
              <w:left w:val="single" w:sz="4" w:space="0" w:color="auto"/>
              <w:bottom w:val="nil"/>
              <w:right w:val="nil"/>
            </w:tcBorders>
            <w:vAlign w:val="center"/>
          </w:tcPr>
          <w:p w14:paraId="0822B8FE"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1.3</w:t>
            </w:r>
          </w:p>
        </w:tc>
        <w:tc>
          <w:tcPr>
            <w:tcW w:w="1376" w:type="dxa"/>
            <w:tcBorders>
              <w:top w:val="nil"/>
              <w:left w:val="nil"/>
              <w:bottom w:val="nil"/>
              <w:right w:val="nil"/>
            </w:tcBorders>
            <w:vAlign w:val="center"/>
          </w:tcPr>
          <w:p w14:paraId="371FA138"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6.5</w:t>
            </w:r>
          </w:p>
        </w:tc>
        <w:tc>
          <w:tcPr>
            <w:tcW w:w="1376" w:type="dxa"/>
            <w:tcBorders>
              <w:top w:val="nil"/>
              <w:left w:val="nil"/>
              <w:bottom w:val="nil"/>
              <w:right w:val="single" w:sz="4" w:space="0" w:color="auto"/>
            </w:tcBorders>
            <w:vAlign w:val="center"/>
          </w:tcPr>
          <w:p w14:paraId="5378BCFB"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[1.1, 1.4]</w:t>
            </w:r>
          </w:p>
        </w:tc>
        <w:tc>
          <w:tcPr>
            <w:tcW w:w="1376" w:type="dxa"/>
            <w:tcBorders>
              <w:top w:val="nil"/>
              <w:left w:val="single" w:sz="4" w:space="0" w:color="auto"/>
              <w:bottom w:val="nil"/>
              <w:right w:val="nil"/>
            </w:tcBorders>
            <w:vAlign w:val="center"/>
          </w:tcPr>
          <w:p w14:paraId="59F6C8A4"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 xml:space="preserve">0.77 </w:t>
            </w:r>
            <w:r w:rsidRPr="00AA0B9C">
              <w:rPr>
                <w:rFonts w:ascii="Times New Roman" w:hAnsi="Times New Roman" w:cs="Times New Roman"/>
                <w:color w:val="000000"/>
              </w:rPr>
              <w:t>± 0.01</w:t>
            </w:r>
          </w:p>
        </w:tc>
      </w:tr>
      <w:tr w:rsidR="008642E2" w:rsidRPr="00AA0B9C" w14:paraId="6115CE08" w14:textId="77777777" w:rsidTr="0047645E">
        <w:trPr>
          <w:jc w:val="center"/>
        </w:trPr>
        <w:tc>
          <w:tcPr>
            <w:tcW w:w="1375" w:type="dxa"/>
            <w:tcBorders>
              <w:top w:val="nil"/>
              <w:left w:val="nil"/>
              <w:bottom w:val="single" w:sz="4" w:space="0" w:color="auto"/>
              <w:right w:val="single" w:sz="4" w:space="0" w:color="auto"/>
            </w:tcBorders>
            <w:vAlign w:val="center"/>
          </w:tcPr>
          <w:p w14:paraId="14AA2063"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3c</w:t>
            </w:r>
          </w:p>
        </w:tc>
        <w:tc>
          <w:tcPr>
            <w:tcW w:w="1375" w:type="dxa"/>
            <w:tcBorders>
              <w:top w:val="nil"/>
              <w:left w:val="single" w:sz="4" w:space="0" w:color="auto"/>
              <w:bottom w:val="single" w:sz="4" w:space="0" w:color="auto"/>
              <w:right w:val="single" w:sz="4" w:space="0" w:color="auto"/>
            </w:tcBorders>
            <w:vAlign w:val="center"/>
          </w:tcPr>
          <w:p w14:paraId="5DA939EC"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2.0E+17</w:t>
            </w:r>
          </w:p>
        </w:tc>
        <w:tc>
          <w:tcPr>
            <w:tcW w:w="1375" w:type="dxa"/>
            <w:tcBorders>
              <w:top w:val="nil"/>
              <w:left w:val="single" w:sz="4" w:space="0" w:color="auto"/>
              <w:bottom w:val="single" w:sz="4" w:space="0" w:color="auto"/>
              <w:right w:val="nil"/>
            </w:tcBorders>
            <w:vAlign w:val="center"/>
          </w:tcPr>
          <w:p w14:paraId="40200945"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1.3</w:t>
            </w:r>
          </w:p>
        </w:tc>
        <w:tc>
          <w:tcPr>
            <w:tcW w:w="1376" w:type="dxa"/>
            <w:tcBorders>
              <w:top w:val="nil"/>
              <w:left w:val="nil"/>
              <w:bottom w:val="single" w:sz="4" w:space="0" w:color="auto"/>
              <w:right w:val="nil"/>
            </w:tcBorders>
            <w:vAlign w:val="center"/>
          </w:tcPr>
          <w:p w14:paraId="2810838B"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6.7</w:t>
            </w:r>
          </w:p>
        </w:tc>
        <w:tc>
          <w:tcPr>
            <w:tcW w:w="1376" w:type="dxa"/>
            <w:tcBorders>
              <w:top w:val="nil"/>
              <w:left w:val="nil"/>
              <w:bottom w:val="single" w:sz="4" w:space="0" w:color="auto"/>
              <w:right w:val="single" w:sz="4" w:space="0" w:color="auto"/>
            </w:tcBorders>
            <w:vAlign w:val="center"/>
          </w:tcPr>
          <w:p w14:paraId="1C933F6B"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[1.1, 1.4]</w:t>
            </w:r>
          </w:p>
        </w:tc>
        <w:tc>
          <w:tcPr>
            <w:tcW w:w="1376" w:type="dxa"/>
            <w:tcBorders>
              <w:top w:val="nil"/>
              <w:left w:val="single" w:sz="4" w:space="0" w:color="auto"/>
              <w:bottom w:val="single" w:sz="4" w:space="0" w:color="auto"/>
              <w:right w:val="nil"/>
            </w:tcBorders>
            <w:vAlign w:val="center"/>
          </w:tcPr>
          <w:p w14:paraId="57F4B021" w14:textId="77777777" w:rsidR="008642E2" w:rsidRPr="00AA0B9C" w:rsidRDefault="008642E2" w:rsidP="0047645E">
            <w:pPr>
              <w:jc w:val="center"/>
              <w:rPr>
                <w:rFonts w:ascii="Times New Roman" w:hAnsi="Times New Roman" w:cs="Times New Roman"/>
                <w:bCs/>
                <w:color w:val="000000"/>
              </w:rPr>
            </w:pPr>
            <w:r w:rsidRPr="00AA0B9C">
              <w:rPr>
                <w:rFonts w:ascii="Times New Roman" w:hAnsi="Times New Roman" w:cs="Times New Roman"/>
                <w:bCs/>
              </w:rPr>
              <w:t xml:space="preserve">0.79 </w:t>
            </w:r>
            <w:r w:rsidRPr="00AA0B9C">
              <w:rPr>
                <w:rFonts w:ascii="Times New Roman" w:hAnsi="Times New Roman" w:cs="Times New Roman"/>
                <w:color w:val="000000"/>
              </w:rPr>
              <w:t>± 0.01</w:t>
            </w:r>
          </w:p>
        </w:tc>
      </w:tr>
      <w:tr w:rsidR="008642E2" w:rsidRPr="00AA0B9C" w14:paraId="2390261D" w14:textId="77777777" w:rsidTr="0047645E">
        <w:trPr>
          <w:jc w:val="center"/>
        </w:trPr>
        <w:tc>
          <w:tcPr>
            <w:tcW w:w="1375" w:type="dxa"/>
            <w:tcBorders>
              <w:top w:val="single" w:sz="4" w:space="0" w:color="auto"/>
              <w:left w:val="nil"/>
              <w:bottom w:val="single" w:sz="4" w:space="0" w:color="auto"/>
              <w:right w:val="single" w:sz="4" w:space="0" w:color="auto"/>
            </w:tcBorders>
            <w:vAlign w:val="center"/>
          </w:tcPr>
          <w:p w14:paraId="1C8E0644"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4a</w:t>
            </w:r>
          </w:p>
        </w:tc>
        <w:tc>
          <w:tcPr>
            <w:tcW w:w="1375" w:type="dxa"/>
            <w:tcBorders>
              <w:top w:val="single" w:sz="4" w:space="0" w:color="auto"/>
              <w:left w:val="single" w:sz="4" w:space="0" w:color="auto"/>
              <w:bottom w:val="single" w:sz="4" w:space="0" w:color="auto"/>
              <w:right w:val="single" w:sz="4" w:space="0" w:color="auto"/>
            </w:tcBorders>
            <w:vAlign w:val="center"/>
          </w:tcPr>
          <w:p w14:paraId="0F930DC3"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2.0E+17</w:t>
            </w:r>
          </w:p>
        </w:tc>
        <w:tc>
          <w:tcPr>
            <w:tcW w:w="1375" w:type="dxa"/>
            <w:tcBorders>
              <w:top w:val="single" w:sz="4" w:space="0" w:color="auto"/>
              <w:left w:val="single" w:sz="4" w:space="0" w:color="auto"/>
              <w:bottom w:val="single" w:sz="4" w:space="0" w:color="auto"/>
              <w:right w:val="nil"/>
            </w:tcBorders>
            <w:vAlign w:val="center"/>
          </w:tcPr>
          <w:p w14:paraId="1783A804"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1.3</w:t>
            </w:r>
          </w:p>
        </w:tc>
        <w:tc>
          <w:tcPr>
            <w:tcW w:w="1376" w:type="dxa"/>
            <w:tcBorders>
              <w:top w:val="single" w:sz="4" w:space="0" w:color="auto"/>
              <w:left w:val="nil"/>
              <w:bottom w:val="single" w:sz="4" w:space="0" w:color="auto"/>
              <w:right w:val="nil"/>
            </w:tcBorders>
            <w:vAlign w:val="center"/>
          </w:tcPr>
          <w:p w14:paraId="30D16171"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6.2</w:t>
            </w:r>
          </w:p>
        </w:tc>
        <w:tc>
          <w:tcPr>
            <w:tcW w:w="1376" w:type="dxa"/>
            <w:tcBorders>
              <w:top w:val="single" w:sz="4" w:space="0" w:color="auto"/>
              <w:left w:val="nil"/>
              <w:bottom w:val="single" w:sz="4" w:space="0" w:color="auto"/>
              <w:right w:val="single" w:sz="4" w:space="0" w:color="auto"/>
            </w:tcBorders>
            <w:vAlign w:val="center"/>
          </w:tcPr>
          <w:p w14:paraId="6B940A88"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[0.8, 1.8]</w:t>
            </w:r>
          </w:p>
        </w:tc>
        <w:tc>
          <w:tcPr>
            <w:tcW w:w="1376" w:type="dxa"/>
            <w:tcBorders>
              <w:top w:val="single" w:sz="4" w:space="0" w:color="auto"/>
              <w:left w:val="single" w:sz="4" w:space="0" w:color="auto"/>
              <w:bottom w:val="single" w:sz="4" w:space="0" w:color="auto"/>
              <w:right w:val="nil"/>
            </w:tcBorders>
            <w:vAlign w:val="center"/>
          </w:tcPr>
          <w:p w14:paraId="2965057C" w14:textId="77777777" w:rsidR="008642E2" w:rsidRPr="00AA0B9C" w:rsidRDefault="008642E2" w:rsidP="0047645E">
            <w:pPr>
              <w:jc w:val="center"/>
              <w:rPr>
                <w:rFonts w:ascii="Times New Roman" w:hAnsi="Times New Roman" w:cs="Times New Roman"/>
                <w:bCs/>
              </w:rPr>
            </w:pPr>
            <w:r w:rsidRPr="00AA0B9C">
              <w:rPr>
                <w:rFonts w:ascii="Times New Roman" w:hAnsi="Times New Roman" w:cs="Times New Roman"/>
                <w:bCs/>
              </w:rPr>
              <w:t xml:space="preserve">0.78 </w:t>
            </w:r>
            <w:r w:rsidRPr="00AA0B9C">
              <w:rPr>
                <w:rFonts w:ascii="Times New Roman" w:hAnsi="Times New Roman" w:cs="Times New Roman"/>
                <w:color w:val="000000"/>
              </w:rPr>
              <w:t>± 0.01</w:t>
            </w:r>
          </w:p>
        </w:tc>
      </w:tr>
    </w:tbl>
    <w:p w14:paraId="5264FE2E" w14:textId="77777777" w:rsidR="008642E2" w:rsidRDefault="008642E2" w:rsidP="008642E2">
      <w:pPr>
        <w:rPr>
          <w:bCs/>
          <w:szCs w:val="24"/>
        </w:rPr>
      </w:pPr>
    </w:p>
    <w:p w14:paraId="2F832A69" w14:textId="77777777" w:rsidR="00D353AF" w:rsidRPr="00B1012E" w:rsidRDefault="00D353AF" w:rsidP="00E84B68">
      <w:pPr>
        <w:pStyle w:val="SMText"/>
        <w:rPr>
          <w:rFonts w:ascii="Times-Roman" w:hAnsi="Times-Roman" w:cs="Times-Roman"/>
          <w:szCs w:val="24"/>
        </w:rPr>
      </w:pPr>
    </w:p>
    <w:sectPr w:rsidR="00D353AF" w:rsidRPr="00B1012E" w:rsidSect="002C5B68">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F675B" w14:textId="77777777" w:rsidR="00DE5AED" w:rsidRDefault="00DE5AED">
      <w:r>
        <w:separator/>
      </w:r>
    </w:p>
  </w:endnote>
  <w:endnote w:type="continuationSeparator" w:id="0">
    <w:p w14:paraId="019679B8" w14:textId="77777777" w:rsidR="00DE5AED" w:rsidRDefault="00DE5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roid Sans Fallback">
    <w:altName w:val="Times New Roman"/>
    <w:panose1 w:val="00000000000000000000"/>
    <w:charset w:val="00"/>
    <w:family w:val="roman"/>
    <w:notTrueType/>
    <w:pitch w:val="default"/>
  </w:font>
  <w:font w:name="Times-Roman">
    <w:altName w:val="Times New Roman"/>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6102A" w14:textId="77777777" w:rsidR="001966FD" w:rsidRDefault="00196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8E7ED" w14:textId="77777777" w:rsidR="00F125EE" w:rsidRDefault="00114193">
    <w:pPr>
      <w:pStyle w:val="Footer"/>
      <w:jc w:val="right"/>
    </w:pPr>
    <w:r>
      <w:fldChar w:fldCharType="begin"/>
    </w:r>
    <w:r>
      <w:instrText xml:space="preserve"> PAGE   \* MERGEFORMAT </w:instrText>
    </w:r>
    <w:r>
      <w:fldChar w:fldCharType="separate"/>
    </w:r>
    <w:r w:rsidR="00D10134">
      <w:rPr>
        <w:noProof/>
      </w:rPr>
      <w:t>1</w:t>
    </w:r>
    <w:r>
      <w:fldChar w:fldCharType="end"/>
    </w:r>
  </w:p>
  <w:p w14:paraId="486656F3" w14:textId="77777777" w:rsidR="00F125EE" w:rsidRDefault="00F125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BBCA3" w14:textId="77777777" w:rsidR="001966FD" w:rsidRDefault="00196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7C237" w14:textId="77777777" w:rsidR="00DE5AED" w:rsidRDefault="00DE5AED">
      <w:r>
        <w:separator/>
      </w:r>
    </w:p>
  </w:footnote>
  <w:footnote w:type="continuationSeparator" w:id="0">
    <w:p w14:paraId="46A79668" w14:textId="77777777" w:rsidR="00DE5AED" w:rsidRDefault="00DE5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9EF6B" w14:textId="77777777" w:rsidR="001966FD" w:rsidRDefault="00196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23C1C" w14:textId="77777777" w:rsidR="003A2FD8" w:rsidRPr="005001AC" w:rsidRDefault="003A2FD8" w:rsidP="005001AC">
    <w:pPr>
      <w:jc w:val="right"/>
      <w:rPr>
        <w:sz w:val="20"/>
      </w:rPr>
    </w:pPr>
  </w:p>
  <w:p w14:paraId="18F8F636" w14:textId="77777777" w:rsidR="003A2FD8" w:rsidRDefault="003A2F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C5ADD" w14:textId="77777777" w:rsidR="001966FD" w:rsidRDefault="00196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1901DB9"/>
    <w:multiLevelType w:val="hybridMultilevel"/>
    <w:tmpl w:val="00B686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9D4332"/>
    <w:multiLevelType w:val="multilevel"/>
    <w:tmpl w:val="4ECE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D508A0"/>
    <w:multiLevelType w:val="multilevel"/>
    <w:tmpl w:val="02BA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D37AC4"/>
    <w:multiLevelType w:val="hybridMultilevel"/>
    <w:tmpl w:val="F894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410DB6"/>
    <w:multiLevelType w:val="hybridMultilevel"/>
    <w:tmpl w:val="77E4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81017E"/>
    <w:multiLevelType w:val="hybridMultilevel"/>
    <w:tmpl w:val="DAD6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399125">
    <w:abstractNumId w:val="9"/>
  </w:num>
  <w:num w:numId="2" w16cid:durableId="2033215806">
    <w:abstractNumId w:val="7"/>
  </w:num>
  <w:num w:numId="3" w16cid:durableId="1944335922">
    <w:abstractNumId w:val="6"/>
  </w:num>
  <w:num w:numId="4" w16cid:durableId="880215763">
    <w:abstractNumId w:val="5"/>
  </w:num>
  <w:num w:numId="5" w16cid:durableId="1304894234">
    <w:abstractNumId w:val="4"/>
  </w:num>
  <w:num w:numId="6" w16cid:durableId="994188857">
    <w:abstractNumId w:val="8"/>
  </w:num>
  <w:num w:numId="7" w16cid:durableId="1506046954">
    <w:abstractNumId w:val="3"/>
  </w:num>
  <w:num w:numId="8" w16cid:durableId="31543740">
    <w:abstractNumId w:val="2"/>
  </w:num>
  <w:num w:numId="9" w16cid:durableId="1501461087">
    <w:abstractNumId w:val="1"/>
  </w:num>
  <w:num w:numId="10" w16cid:durableId="909004882">
    <w:abstractNumId w:val="0"/>
  </w:num>
  <w:num w:numId="11" w16cid:durableId="920213288">
    <w:abstractNumId w:val="11"/>
  </w:num>
  <w:num w:numId="12" w16cid:durableId="438374261">
    <w:abstractNumId w:val="13"/>
  </w:num>
  <w:num w:numId="13" w16cid:durableId="1146118364">
    <w:abstractNumId w:val="10"/>
  </w:num>
  <w:num w:numId="14" w16cid:durableId="1984233882">
    <w:abstractNumId w:val="15"/>
  </w:num>
  <w:num w:numId="15" w16cid:durableId="1230462683">
    <w:abstractNumId w:val="14"/>
  </w:num>
  <w:num w:numId="16" w16cid:durableId="1196040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0F"/>
    <w:rsid w:val="00015F74"/>
    <w:rsid w:val="00043571"/>
    <w:rsid w:val="00065EBD"/>
    <w:rsid w:val="00083B44"/>
    <w:rsid w:val="000850DC"/>
    <w:rsid w:val="00094365"/>
    <w:rsid w:val="000B2E64"/>
    <w:rsid w:val="000C2771"/>
    <w:rsid w:val="000D68BD"/>
    <w:rsid w:val="000F0DCE"/>
    <w:rsid w:val="00111843"/>
    <w:rsid w:val="00112C5B"/>
    <w:rsid w:val="00113908"/>
    <w:rsid w:val="00114193"/>
    <w:rsid w:val="001154E6"/>
    <w:rsid w:val="00115A38"/>
    <w:rsid w:val="0011687B"/>
    <w:rsid w:val="00124F82"/>
    <w:rsid w:val="001265FA"/>
    <w:rsid w:val="001278E3"/>
    <w:rsid w:val="00130743"/>
    <w:rsid w:val="00130B50"/>
    <w:rsid w:val="0016337A"/>
    <w:rsid w:val="00164269"/>
    <w:rsid w:val="001966FD"/>
    <w:rsid w:val="00197826"/>
    <w:rsid w:val="001A1BDE"/>
    <w:rsid w:val="001C1C55"/>
    <w:rsid w:val="001C7B4E"/>
    <w:rsid w:val="001F0876"/>
    <w:rsid w:val="001F167C"/>
    <w:rsid w:val="001F5E91"/>
    <w:rsid w:val="0020183F"/>
    <w:rsid w:val="002077B9"/>
    <w:rsid w:val="00221C70"/>
    <w:rsid w:val="002251AF"/>
    <w:rsid w:val="00227D86"/>
    <w:rsid w:val="00243B68"/>
    <w:rsid w:val="00246361"/>
    <w:rsid w:val="00262D72"/>
    <w:rsid w:val="002800B6"/>
    <w:rsid w:val="002B35D4"/>
    <w:rsid w:val="002C030F"/>
    <w:rsid w:val="002C5B68"/>
    <w:rsid w:val="002F3966"/>
    <w:rsid w:val="003062E0"/>
    <w:rsid w:val="00320E2C"/>
    <w:rsid w:val="00331D75"/>
    <w:rsid w:val="00355362"/>
    <w:rsid w:val="00363E44"/>
    <w:rsid w:val="00380923"/>
    <w:rsid w:val="00380E0C"/>
    <w:rsid w:val="00395E86"/>
    <w:rsid w:val="003A2FD8"/>
    <w:rsid w:val="003B40E6"/>
    <w:rsid w:val="003C007A"/>
    <w:rsid w:val="003E1980"/>
    <w:rsid w:val="003F6E14"/>
    <w:rsid w:val="00400604"/>
    <w:rsid w:val="00405336"/>
    <w:rsid w:val="004568BC"/>
    <w:rsid w:val="004571D5"/>
    <w:rsid w:val="00462F1B"/>
    <w:rsid w:val="0046356B"/>
    <w:rsid w:val="00472B28"/>
    <w:rsid w:val="0047303A"/>
    <w:rsid w:val="00477182"/>
    <w:rsid w:val="004779CB"/>
    <w:rsid w:val="00481118"/>
    <w:rsid w:val="004A53B4"/>
    <w:rsid w:val="004B2481"/>
    <w:rsid w:val="004D2A8C"/>
    <w:rsid w:val="004E42D8"/>
    <w:rsid w:val="004E7BA2"/>
    <w:rsid w:val="004F7EDF"/>
    <w:rsid w:val="005001AC"/>
    <w:rsid w:val="00517016"/>
    <w:rsid w:val="00527D71"/>
    <w:rsid w:val="00527D84"/>
    <w:rsid w:val="005314B5"/>
    <w:rsid w:val="00535092"/>
    <w:rsid w:val="0054432F"/>
    <w:rsid w:val="00552C23"/>
    <w:rsid w:val="005607DD"/>
    <w:rsid w:val="00572DFF"/>
    <w:rsid w:val="005A558C"/>
    <w:rsid w:val="005A5F7C"/>
    <w:rsid w:val="005B186E"/>
    <w:rsid w:val="005C6651"/>
    <w:rsid w:val="005D6D71"/>
    <w:rsid w:val="005E28F8"/>
    <w:rsid w:val="005E6513"/>
    <w:rsid w:val="00611F9E"/>
    <w:rsid w:val="006237D4"/>
    <w:rsid w:val="00630B9F"/>
    <w:rsid w:val="00651114"/>
    <w:rsid w:val="006622CF"/>
    <w:rsid w:val="00664A12"/>
    <w:rsid w:val="0066722B"/>
    <w:rsid w:val="00670299"/>
    <w:rsid w:val="0068469F"/>
    <w:rsid w:val="00691985"/>
    <w:rsid w:val="006962C1"/>
    <w:rsid w:val="006A1B64"/>
    <w:rsid w:val="006B03AD"/>
    <w:rsid w:val="006D65ED"/>
    <w:rsid w:val="006D7541"/>
    <w:rsid w:val="006E5E31"/>
    <w:rsid w:val="006F602A"/>
    <w:rsid w:val="007108F5"/>
    <w:rsid w:val="00713AF2"/>
    <w:rsid w:val="00713E5B"/>
    <w:rsid w:val="00731D94"/>
    <w:rsid w:val="007402FC"/>
    <w:rsid w:val="007411A1"/>
    <w:rsid w:val="007563F2"/>
    <w:rsid w:val="007610F2"/>
    <w:rsid w:val="00764008"/>
    <w:rsid w:val="00795D4D"/>
    <w:rsid w:val="007D7E61"/>
    <w:rsid w:val="00807D35"/>
    <w:rsid w:val="008115D9"/>
    <w:rsid w:val="00812C13"/>
    <w:rsid w:val="00825950"/>
    <w:rsid w:val="008642E2"/>
    <w:rsid w:val="00864E0B"/>
    <w:rsid w:val="00885C9B"/>
    <w:rsid w:val="008927D0"/>
    <w:rsid w:val="00896FAB"/>
    <w:rsid w:val="008A1B05"/>
    <w:rsid w:val="008D1E26"/>
    <w:rsid w:val="008D5D2A"/>
    <w:rsid w:val="008E2CF1"/>
    <w:rsid w:val="008F08DC"/>
    <w:rsid w:val="008F5A8A"/>
    <w:rsid w:val="009055D1"/>
    <w:rsid w:val="00906745"/>
    <w:rsid w:val="00914B63"/>
    <w:rsid w:val="00922705"/>
    <w:rsid w:val="00924546"/>
    <w:rsid w:val="00932FE5"/>
    <w:rsid w:val="00932FF0"/>
    <w:rsid w:val="009354F3"/>
    <w:rsid w:val="009447DC"/>
    <w:rsid w:val="00961BA5"/>
    <w:rsid w:val="009725D3"/>
    <w:rsid w:val="00973185"/>
    <w:rsid w:val="009743A9"/>
    <w:rsid w:val="00975720"/>
    <w:rsid w:val="009859A7"/>
    <w:rsid w:val="009A5287"/>
    <w:rsid w:val="009B2AC5"/>
    <w:rsid w:val="009B7984"/>
    <w:rsid w:val="009F2765"/>
    <w:rsid w:val="009F4BED"/>
    <w:rsid w:val="009F7D93"/>
    <w:rsid w:val="00A22F8D"/>
    <w:rsid w:val="00A276DF"/>
    <w:rsid w:val="00A3084A"/>
    <w:rsid w:val="00A3403B"/>
    <w:rsid w:val="00A50033"/>
    <w:rsid w:val="00A51A12"/>
    <w:rsid w:val="00A52CD8"/>
    <w:rsid w:val="00A627D4"/>
    <w:rsid w:val="00A74DA2"/>
    <w:rsid w:val="00A92733"/>
    <w:rsid w:val="00AA76F3"/>
    <w:rsid w:val="00AC7DA6"/>
    <w:rsid w:val="00AD499C"/>
    <w:rsid w:val="00B10120"/>
    <w:rsid w:val="00B1012E"/>
    <w:rsid w:val="00B21496"/>
    <w:rsid w:val="00B30334"/>
    <w:rsid w:val="00B3147F"/>
    <w:rsid w:val="00B327F5"/>
    <w:rsid w:val="00B36869"/>
    <w:rsid w:val="00B43B31"/>
    <w:rsid w:val="00B47CFA"/>
    <w:rsid w:val="00B529C0"/>
    <w:rsid w:val="00B57F00"/>
    <w:rsid w:val="00B626CB"/>
    <w:rsid w:val="00B7560C"/>
    <w:rsid w:val="00B77E40"/>
    <w:rsid w:val="00B82C22"/>
    <w:rsid w:val="00B93DBA"/>
    <w:rsid w:val="00B9440A"/>
    <w:rsid w:val="00B952C1"/>
    <w:rsid w:val="00B968D7"/>
    <w:rsid w:val="00BA3953"/>
    <w:rsid w:val="00BB2D2A"/>
    <w:rsid w:val="00BD58CF"/>
    <w:rsid w:val="00BF1BEB"/>
    <w:rsid w:val="00BF1BF9"/>
    <w:rsid w:val="00C04CC1"/>
    <w:rsid w:val="00C071FC"/>
    <w:rsid w:val="00C22C02"/>
    <w:rsid w:val="00C27F6F"/>
    <w:rsid w:val="00C30E83"/>
    <w:rsid w:val="00C50C6D"/>
    <w:rsid w:val="00C56EB2"/>
    <w:rsid w:val="00C600D9"/>
    <w:rsid w:val="00C634D7"/>
    <w:rsid w:val="00C73E09"/>
    <w:rsid w:val="00CB5072"/>
    <w:rsid w:val="00CC1384"/>
    <w:rsid w:val="00CD3720"/>
    <w:rsid w:val="00CE120F"/>
    <w:rsid w:val="00CE6EAA"/>
    <w:rsid w:val="00CF1848"/>
    <w:rsid w:val="00CF5C2F"/>
    <w:rsid w:val="00D04BCF"/>
    <w:rsid w:val="00D10134"/>
    <w:rsid w:val="00D143D9"/>
    <w:rsid w:val="00D319BD"/>
    <w:rsid w:val="00D353AF"/>
    <w:rsid w:val="00D4372A"/>
    <w:rsid w:val="00D60BB0"/>
    <w:rsid w:val="00D65708"/>
    <w:rsid w:val="00D6579D"/>
    <w:rsid w:val="00D8159F"/>
    <w:rsid w:val="00DC2F99"/>
    <w:rsid w:val="00DD1D04"/>
    <w:rsid w:val="00DD79D7"/>
    <w:rsid w:val="00DE2349"/>
    <w:rsid w:val="00DE5AED"/>
    <w:rsid w:val="00E20431"/>
    <w:rsid w:val="00E257C8"/>
    <w:rsid w:val="00E40896"/>
    <w:rsid w:val="00E43D2D"/>
    <w:rsid w:val="00E449CB"/>
    <w:rsid w:val="00E52A8F"/>
    <w:rsid w:val="00E63760"/>
    <w:rsid w:val="00E64049"/>
    <w:rsid w:val="00E84B68"/>
    <w:rsid w:val="00E9773B"/>
    <w:rsid w:val="00EC13A3"/>
    <w:rsid w:val="00EC7C85"/>
    <w:rsid w:val="00ED69CA"/>
    <w:rsid w:val="00EE35AB"/>
    <w:rsid w:val="00EF25A3"/>
    <w:rsid w:val="00F125EE"/>
    <w:rsid w:val="00F12E98"/>
    <w:rsid w:val="00F22029"/>
    <w:rsid w:val="00F2203D"/>
    <w:rsid w:val="00F23E46"/>
    <w:rsid w:val="00F3515C"/>
    <w:rsid w:val="00F47BA3"/>
    <w:rsid w:val="00F56E67"/>
    <w:rsid w:val="00F57E0F"/>
    <w:rsid w:val="00F630EA"/>
    <w:rsid w:val="00F6474F"/>
    <w:rsid w:val="00F7007E"/>
    <w:rsid w:val="00F73193"/>
    <w:rsid w:val="00F74F95"/>
    <w:rsid w:val="00F80705"/>
    <w:rsid w:val="00F82F7E"/>
    <w:rsid w:val="00FA1481"/>
    <w:rsid w:val="00FB1C42"/>
    <w:rsid w:val="00FB32EC"/>
    <w:rsid w:val="00FF04E3"/>
    <w:rsid w:val="00FF3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D9FF7"/>
  <w15:chartTrackingRefBased/>
  <w15:docId w15:val="{70801E18-7CCF-4C88-A79C-4DFA6FFF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semiHidden="1"/>
    <w:lsdException w:name="annotation reference" w:semiHidden="1"/>
    <w:lsdException w:name="line number" w:semiHidden="1"/>
    <w:lsdException w:name="endnote reference" w:semiHidden="1"/>
    <w:lsdException w:name="Title" w:qFormat="1"/>
    <w:lsdException w:name="Subtitle" w:qFormat="1"/>
    <w:lsdException w:name="FollowedHyperlink" w:semiHidden="1"/>
    <w:lsdException w:name="Strong" w:semiHidden="1" w:uiPriority="22" w:qFormat="1"/>
    <w:lsdException w:name="Emphasis" w:semiHidden="1" w:qFormat="1"/>
    <w:lsdException w:name="Normal (Web)" w:uiPriority="99"/>
    <w:lsdException w:name="HTML Acronym" w:semiHidden="1"/>
    <w:lsdException w:name="HTML Cite" w:semiHidden="1"/>
    <w:lsdException w:name="HTML Code" w:semiHidden="1"/>
    <w:lsdException w:name="HTML Definition" w:semiHidden="1"/>
    <w:lsdException w:name="HTML Keyboard" w:semiHidden="1"/>
    <w:lsdException w:name="HTML Sample" w:semiHidden="1"/>
    <w:lsdException w:name="HTML Typewriter" w:semiHidden="1"/>
    <w:lsdException w:name="HTML Variable"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0EA"/>
    <w:rPr>
      <w:sz w:val="24"/>
    </w:rPr>
  </w:style>
  <w:style w:type="paragraph" w:styleId="Heading1">
    <w:name w:val="heading 1"/>
    <w:basedOn w:val="Normal"/>
    <w:next w:val="Normal"/>
    <w:link w:val="Heading1Char"/>
    <w:semiHidden/>
    <w:qFormat/>
    <w:rsid w:val="00B43B31"/>
    <w:pPr>
      <w:keepNext/>
      <w:spacing w:before="240" w:after="60"/>
      <w:outlineLvl w:val="0"/>
    </w:pPr>
    <w:rPr>
      <w:b/>
      <w:bCs/>
      <w:kern w:val="32"/>
      <w:szCs w:val="24"/>
    </w:rPr>
  </w:style>
  <w:style w:type="paragraph" w:styleId="Heading2">
    <w:name w:val="heading 2"/>
    <w:basedOn w:val="Normal"/>
    <w:next w:val="Normal"/>
    <w:link w:val="Heading2Char"/>
    <w:semiHidden/>
    <w:qFormat/>
    <w:rsid w:val="007411A1"/>
    <w:pPr>
      <w:keepNext/>
      <w:spacing w:before="240" w:after="60"/>
      <w:outlineLvl w:val="1"/>
    </w:pPr>
    <w:rPr>
      <w:rFonts w:ascii="Cambria" w:hAnsi="Cambria"/>
      <w:b/>
      <w:bCs/>
      <w:i/>
      <w:iCs/>
      <w:sz w:val="28"/>
      <w:szCs w:val="28"/>
    </w:rPr>
  </w:style>
  <w:style w:type="paragraph" w:styleId="Heading3">
    <w:name w:val="heading 3"/>
    <w:basedOn w:val="Normal"/>
    <w:next w:val="Normal"/>
    <w:semiHidden/>
    <w:qFormat/>
    <w:rsid w:val="00C600D9"/>
    <w:pPr>
      <w:keepNext/>
      <w:spacing w:line="480" w:lineRule="auto"/>
      <w:outlineLvl w:val="2"/>
    </w:pPr>
    <w:rPr>
      <w:rFonts w:ascii="Times" w:eastAsia="Times" w:hAnsi="Times"/>
      <w:b/>
    </w:rPr>
  </w:style>
  <w:style w:type="paragraph" w:styleId="Heading4">
    <w:name w:val="heading 4"/>
    <w:basedOn w:val="Normal"/>
    <w:next w:val="Normal"/>
    <w:semiHidden/>
    <w:qFormat/>
    <w:rsid w:val="00C600D9"/>
    <w:pPr>
      <w:keepNext/>
      <w:spacing w:line="480" w:lineRule="auto"/>
      <w:outlineLvl w:val="3"/>
    </w:pPr>
    <w:rPr>
      <w:rFonts w:ascii="Times" w:hAnsi="Times"/>
      <w:b/>
      <w:color w:val="0000FF"/>
      <w:sz w:val="44"/>
    </w:rPr>
  </w:style>
  <w:style w:type="paragraph" w:styleId="Heading5">
    <w:name w:val="heading 5"/>
    <w:basedOn w:val="Normal"/>
    <w:next w:val="Normal"/>
    <w:link w:val="Heading5Char"/>
    <w:semiHidden/>
    <w:qFormat/>
    <w:rsid w:val="007411A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qFormat/>
    <w:rsid w:val="007411A1"/>
    <w:pPr>
      <w:spacing w:before="240" w:after="60"/>
      <w:outlineLvl w:val="5"/>
    </w:pPr>
    <w:rPr>
      <w:rFonts w:ascii="Calibri" w:hAnsi="Calibri"/>
      <w:b/>
      <w:bCs/>
      <w:sz w:val="22"/>
      <w:szCs w:val="22"/>
    </w:rPr>
  </w:style>
  <w:style w:type="paragraph" w:styleId="Heading7">
    <w:name w:val="heading 7"/>
    <w:basedOn w:val="Normal"/>
    <w:next w:val="Normal"/>
    <w:link w:val="Heading7Char"/>
    <w:semiHidden/>
    <w:qFormat/>
    <w:rsid w:val="007411A1"/>
    <w:pPr>
      <w:spacing w:before="240" w:after="60"/>
      <w:outlineLvl w:val="6"/>
    </w:pPr>
    <w:rPr>
      <w:rFonts w:ascii="Calibri" w:hAnsi="Calibri"/>
      <w:szCs w:val="24"/>
    </w:rPr>
  </w:style>
  <w:style w:type="paragraph" w:styleId="Heading8">
    <w:name w:val="heading 8"/>
    <w:basedOn w:val="Normal"/>
    <w:next w:val="Normal"/>
    <w:link w:val="Heading8Char"/>
    <w:semiHidden/>
    <w:qFormat/>
    <w:rsid w:val="007411A1"/>
    <w:pPr>
      <w:spacing w:before="240" w:after="60"/>
      <w:outlineLvl w:val="7"/>
    </w:pPr>
    <w:rPr>
      <w:rFonts w:ascii="Calibri" w:hAnsi="Calibri"/>
      <w:i/>
      <w:iCs/>
      <w:szCs w:val="24"/>
    </w:rPr>
  </w:style>
  <w:style w:type="paragraph" w:styleId="Heading9">
    <w:name w:val="heading 9"/>
    <w:basedOn w:val="Normal"/>
    <w:next w:val="Normal"/>
    <w:link w:val="Heading9Char"/>
    <w:semiHidden/>
    <w:qFormat/>
    <w:rsid w:val="007411A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477182"/>
  </w:style>
  <w:style w:type="character" w:customStyle="1" w:styleId="Heading1Char">
    <w:name w:val="Heading 1 Char"/>
    <w:link w:val="Heading1"/>
    <w:semiHidden/>
    <w:rsid w:val="00FF04E3"/>
    <w:rPr>
      <w:b/>
      <w:bCs/>
      <w:kern w:val="32"/>
      <w:sz w:val="24"/>
      <w:szCs w:val="24"/>
    </w:rPr>
  </w:style>
  <w:style w:type="character" w:customStyle="1" w:styleId="Heading2Char">
    <w:name w:val="Heading 2 Char"/>
    <w:link w:val="Heading2"/>
    <w:semiHidden/>
    <w:rsid w:val="00FF04E3"/>
    <w:rPr>
      <w:rFonts w:ascii="Cambria" w:hAnsi="Cambria"/>
      <w:b/>
      <w:bCs/>
      <w:i/>
      <w:iCs/>
      <w:sz w:val="28"/>
      <w:szCs w:val="28"/>
    </w:rPr>
  </w:style>
  <w:style w:type="character" w:customStyle="1" w:styleId="Heading5Char">
    <w:name w:val="Heading 5 Char"/>
    <w:link w:val="Heading5"/>
    <w:semiHidden/>
    <w:rsid w:val="00FF04E3"/>
    <w:rPr>
      <w:rFonts w:ascii="Calibri" w:hAnsi="Calibri"/>
      <w:b/>
      <w:bCs/>
      <w:i/>
      <w:iCs/>
      <w:sz w:val="26"/>
      <w:szCs w:val="26"/>
    </w:rPr>
  </w:style>
  <w:style w:type="character" w:customStyle="1" w:styleId="Heading6Char">
    <w:name w:val="Heading 6 Char"/>
    <w:link w:val="Heading6"/>
    <w:semiHidden/>
    <w:rsid w:val="00FF04E3"/>
    <w:rPr>
      <w:rFonts w:ascii="Calibri" w:hAnsi="Calibri"/>
      <w:b/>
      <w:bCs/>
      <w:sz w:val="22"/>
      <w:szCs w:val="22"/>
    </w:rPr>
  </w:style>
  <w:style w:type="character" w:customStyle="1" w:styleId="Heading7Char">
    <w:name w:val="Heading 7 Char"/>
    <w:link w:val="Heading7"/>
    <w:semiHidden/>
    <w:rsid w:val="00FF04E3"/>
    <w:rPr>
      <w:rFonts w:ascii="Calibri" w:hAnsi="Calibri"/>
      <w:sz w:val="24"/>
      <w:szCs w:val="24"/>
    </w:rPr>
  </w:style>
  <w:style w:type="character" w:customStyle="1" w:styleId="Heading8Char">
    <w:name w:val="Heading 8 Char"/>
    <w:link w:val="Heading8"/>
    <w:semiHidden/>
    <w:rsid w:val="00FF04E3"/>
    <w:rPr>
      <w:rFonts w:ascii="Calibri" w:hAnsi="Calibri"/>
      <w:i/>
      <w:iCs/>
      <w:sz w:val="24"/>
      <w:szCs w:val="24"/>
    </w:rPr>
  </w:style>
  <w:style w:type="character" w:customStyle="1" w:styleId="Heading9Char">
    <w:name w:val="Heading 9 Char"/>
    <w:link w:val="Heading9"/>
    <w:semiHidden/>
    <w:rsid w:val="00FF04E3"/>
    <w:rPr>
      <w:rFonts w:ascii="Cambria" w:hAnsi="Cambria"/>
      <w:sz w:val="22"/>
      <w:szCs w:val="22"/>
    </w:rPr>
  </w:style>
  <w:style w:type="paragraph" w:customStyle="1" w:styleId="SMHeading">
    <w:name w:val="SM Heading"/>
    <w:basedOn w:val="Heading1"/>
    <w:qFormat/>
    <w:rsid w:val="00F74F95"/>
  </w:style>
  <w:style w:type="paragraph" w:customStyle="1" w:styleId="SMSubheading">
    <w:name w:val="SM Subheading"/>
    <w:basedOn w:val="Normal"/>
    <w:qFormat/>
    <w:rsid w:val="00B9440A"/>
    <w:rPr>
      <w:u w:val="words"/>
    </w:rPr>
  </w:style>
  <w:style w:type="paragraph" w:customStyle="1" w:styleId="SMText">
    <w:name w:val="SM Text"/>
    <w:basedOn w:val="Normal"/>
    <w:qFormat/>
    <w:rsid w:val="00B9440A"/>
    <w:pPr>
      <w:ind w:firstLine="480"/>
    </w:pPr>
  </w:style>
  <w:style w:type="paragraph" w:customStyle="1" w:styleId="SMcaption">
    <w:name w:val="SM caption"/>
    <w:basedOn w:val="SMText"/>
    <w:qFormat/>
    <w:rsid w:val="00B9440A"/>
    <w:pPr>
      <w:ind w:firstLine="0"/>
    </w:pPr>
  </w:style>
  <w:style w:type="paragraph" w:styleId="BalloonText">
    <w:name w:val="Balloon Text"/>
    <w:basedOn w:val="Normal"/>
    <w:link w:val="BalloonTextChar"/>
    <w:semiHidden/>
    <w:rsid w:val="00405336"/>
    <w:rPr>
      <w:rFonts w:ascii="Tahoma" w:hAnsi="Tahoma" w:cs="Tahoma"/>
      <w:sz w:val="16"/>
      <w:szCs w:val="16"/>
    </w:rPr>
  </w:style>
  <w:style w:type="character" w:customStyle="1" w:styleId="BalloonTextChar">
    <w:name w:val="Balloon Text Char"/>
    <w:link w:val="BalloonText"/>
    <w:semiHidden/>
    <w:rsid w:val="00FF04E3"/>
    <w:rPr>
      <w:rFonts w:ascii="Tahoma" w:hAnsi="Tahoma" w:cs="Tahoma"/>
      <w:sz w:val="16"/>
      <w:szCs w:val="16"/>
    </w:rPr>
  </w:style>
  <w:style w:type="paragraph" w:styleId="Bibliography">
    <w:name w:val="Bibliography"/>
    <w:basedOn w:val="Normal"/>
    <w:next w:val="Normal"/>
    <w:uiPriority w:val="37"/>
    <w:semiHidden/>
    <w:rsid w:val="00405336"/>
  </w:style>
  <w:style w:type="paragraph" w:styleId="BlockText">
    <w:name w:val="Block Text"/>
    <w:basedOn w:val="Normal"/>
    <w:semiHidden/>
    <w:rsid w:val="00405336"/>
    <w:pPr>
      <w:spacing w:after="120"/>
      <w:ind w:left="1440" w:right="1440"/>
    </w:pPr>
  </w:style>
  <w:style w:type="paragraph" w:styleId="BodyText">
    <w:name w:val="Body Text"/>
    <w:basedOn w:val="Normal"/>
    <w:link w:val="BodyTextChar"/>
    <w:semiHidden/>
    <w:rsid w:val="00405336"/>
    <w:pPr>
      <w:spacing w:after="120"/>
    </w:pPr>
  </w:style>
  <w:style w:type="character" w:customStyle="1" w:styleId="BodyTextChar">
    <w:name w:val="Body Text Char"/>
    <w:link w:val="BodyText"/>
    <w:rsid w:val="00FF04E3"/>
    <w:rPr>
      <w:sz w:val="24"/>
    </w:rPr>
  </w:style>
  <w:style w:type="paragraph" w:styleId="BodyText2">
    <w:name w:val="Body Text 2"/>
    <w:basedOn w:val="Normal"/>
    <w:link w:val="BodyText2Char"/>
    <w:semiHidden/>
    <w:rsid w:val="00405336"/>
    <w:pPr>
      <w:spacing w:after="120" w:line="480" w:lineRule="auto"/>
    </w:pPr>
  </w:style>
  <w:style w:type="character" w:customStyle="1" w:styleId="BodyText2Char">
    <w:name w:val="Body Text 2 Char"/>
    <w:link w:val="BodyText2"/>
    <w:semiHidden/>
    <w:rsid w:val="00FF04E3"/>
    <w:rPr>
      <w:sz w:val="24"/>
    </w:rPr>
  </w:style>
  <w:style w:type="paragraph" w:styleId="BodyText3">
    <w:name w:val="Body Text 3"/>
    <w:basedOn w:val="Normal"/>
    <w:link w:val="BodyText3Char"/>
    <w:semiHidden/>
    <w:rsid w:val="00405336"/>
    <w:pPr>
      <w:spacing w:after="120"/>
    </w:pPr>
    <w:rPr>
      <w:sz w:val="16"/>
      <w:szCs w:val="16"/>
    </w:rPr>
  </w:style>
  <w:style w:type="character" w:customStyle="1" w:styleId="BodyText3Char">
    <w:name w:val="Body Text 3 Char"/>
    <w:link w:val="BodyText3"/>
    <w:semiHidden/>
    <w:rsid w:val="00FF04E3"/>
    <w:rPr>
      <w:sz w:val="16"/>
      <w:szCs w:val="16"/>
    </w:rPr>
  </w:style>
  <w:style w:type="paragraph" w:styleId="BodyTextFirstIndent">
    <w:name w:val="Body Text First Indent"/>
    <w:basedOn w:val="BodyText"/>
    <w:link w:val="BodyTextFirstIndentChar"/>
    <w:semiHidden/>
    <w:rsid w:val="00405336"/>
    <w:pPr>
      <w:ind w:firstLine="210"/>
    </w:pPr>
  </w:style>
  <w:style w:type="character" w:customStyle="1" w:styleId="BodyTextFirstIndentChar">
    <w:name w:val="Body Text First Indent Char"/>
    <w:basedOn w:val="BodyTextChar"/>
    <w:link w:val="BodyTextFirstIndent"/>
    <w:semiHidden/>
    <w:rsid w:val="00FF04E3"/>
    <w:rPr>
      <w:sz w:val="24"/>
    </w:rPr>
  </w:style>
  <w:style w:type="paragraph" w:styleId="BodyTextIndent">
    <w:name w:val="Body Text Indent"/>
    <w:basedOn w:val="Normal"/>
    <w:link w:val="BodyTextIndentChar"/>
    <w:semiHidden/>
    <w:rsid w:val="00405336"/>
    <w:pPr>
      <w:spacing w:after="120"/>
      <w:ind w:left="360"/>
    </w:pPr>
  </w:style>
  <w:style w:type="character" w:customStyle="1" w:styleId="BodyTextIndentChar">
    <w:name w:val="Body Text Indent Char"/>
    <w:link w:val="BodyTextIndent"/>
    <w:semiHidden/>
    <w:rsid w:val="00FF04E3"/>
    <w:rPr>
      <w:sz w:val="24"/>
    </w:rPr>
  </w:style>
  <w:style w:type="paragraph" w:styleId="BodyTextFirstIndent2">
    <w:name w:val="Body Text First Indent 2"/>
    <w:basedOn w:val="BodyTextIndent"/>
    <w:link w:val="BodyTextFirstIndent2Char"/>
    <w:semiHidden/>
    <w:rsid w:val="00405336"/>
    <w:pPr>
      <w:ind w:firstLine="210"/>
    </w:pPr>
  </w:style>
  <w:style w:type="character" w:customStyle="1" w:styleId="BodyTextFirstIndent2Char">
    <w:name w:val="Body Text First Indent 2 Char"/>
    <w:basedOn w:val="BodyTextIndentChar"/>
    <w:link w:val="BodyTextFirstIndent2"/>
    <w:semiHidden/>
    <w:rsid w:val="00FF04E3"/>
    <w:rPr>
      <w:sz w:val="24"/>
    </w:rPr>
  </w:style>
  <w:style w:type="paragraph" w:styleId="BodyTextIndent2">
    <w:name w:val="Body Text Indent 2"/>
    <w:basedOn w:val="Normal"/>
    <w:link w:val="BodyTextIndent2Char"/>
    <w:semiHidden/>
    <w:rsid w:val="00405336"/>
    <w:pPr>
      <w:spacing w:after="120" w:line="480" w:lineRule="auto"/>
      <w:ind w:left="360"/>
    </w:pPr>
  </w:style>
  <w:style w:type="character" w:customStyle="1" w:styleId="BodyTextIndent2Char">
    <w:name w:val="Body Text Indent 2 Char"/>
    <w:link w:val="BodyTextIndent2"/>
    <w:semiHidden/>
    <w:rsid w:val="00FF04E3"/>
    <w:rPr>
      <w:sz w:val="24"/>
    </w:rPr>
  </w:style>
  <w:style w:type="paragraph" w:styleId="BodyTextIndent3">
    <w:name w:val="Body Text Indent 3"/>
    <w:basedOn w:val="Normal"/>
    <w:link w:val="BodyTextIndent3Char"/>
    <w:semiHidden/>
    <w:rsid w:val="00405336"/>
    <w:pPr>
      <w:spacing w:after="120"/>
      <w:ind w:left="360"/>
    </w:pPr>
    <w:rPr>
      <w:sz w:val="16"/>
      <w:szCs w:val="16"/>
    </w:rPr>
  </w:style>
  <w:style w:type="character" w:customStyle="1" w:styleId="BodyTextIndent3Char">
    <w:name w:val="Body Text Indent 3 Char"/>
    <w:link w:val="BodyTextIndent3"/>
    <w:semiHidden/>
    <w:rsid w:val="00FF04E3"/>
    <w:rPr>
      <w:sz w:val="16"/>
      <w:szCs w:val="16"/>
    </w:rPr>
  </w:style>
  <w:style w:type="paragraph" w:styleId="Caption">
    <w:name w:val="caption"/>
    <w:basedOn w:val="Normal"/>
    <w:next w:val="Normal"/>
    <w:semiHidden/>
    <w:qFormat/>
    <w:rsid w:val="00405336"/>
    <w:rPr>
      <w:b/>
      <w:bCs/>
      <w:sz w:val="20"/>
    </w:rPr>
  </w:style>
  <w:style w:type="paragraph" w:styleId="Closing">
    <w:name w:val="Closing"/>
    <w:basedOn w:val="Normal"/>
    <w:link w:val="ClosingChar"/>
    <w:semiHidden/>
    <w:rsid w:val="00405336"/>
    <w:pPr>
      <w:ind w:left="4320"/>
    </w:pPr>
  </w:style>
  <w:style w:type="character" w:customStyle="1" w:styleId="ClosingChar">
    <w:name w:val="Closing Char"/>
    <w:link w:val="Closing"/>
    <w:semiHidden/>
    <w:rsid w:val="00FF04E3"/>
    <w:rPr>
      <w:sz w:val="24"/>
    </w:rPr>
  </w:style>
  <w:style w:type="paragraph" w:styleId="CommentText">
    <w:name w:val="annotation text"/>
    <w:basedOn w:val="Normal"/>
    <w:link w:val="CommentTextChar"/>
    <w:semiHidden/>
    <w:rsid w:val="00405336"/>
    <w:rPr>
      <w:sz w:val="20"/>
    </w:rPr>
  </w:style>
  <w:style w:type="character" w:customStyle="1" w:styleId="CommentTextChar">
    <w:name w:val="Comment Text Char"/>
    <w:basedOn w:val="DefaultParagraphFont"/>
    <w:link w:val="CommentText"/>
    <w:semiHidden/>
    <w:rsid w:val="00FF04E3"/>
  </w:style>
  <w:style w:type="paragraph" w:styleId="CommentSubject">
    <w:name w:val="annotation subject"/>
    <w:basedOn w:val="CommentText"/>
    <w:next w:val="CommentText"/>
    <w:link w:val="CommentSubjectChar"/>
    <w:semiHidden/>
    <w:rsid w:val="00405336"/>
    <w:rPr>
      <w:b/>
      <w:bCs/>
    </w:rPr>
  </w:style>
  <w:style w:type="character" w:customStyle="1" w:styleId="CommentSubjectChar">
    <w:name w:val="Comment Subject Char"/>
    <w:link w:val="CommentSubject"/>
    <w:semiHidden/>
    <w:rsid w:val="00FF04E3"/>
    <w:rPr>
      <w:b/>
      <w:bCs/>
    </w:rPr>
  </w:style>
  <w:style w:type="paragraph" w:styleId="Date">
    <w:name w:val="Date"/>
    <w:basedOn w:val="Normal"/>
    <w:next w:val="Normal"/>
    <w:link w:val="DateChar"/>
    <w:semiHidden/>
    <w:rsid w:val="00405336"/>
  </w:style>
  <w:style w:type="character" w:customStyle="1" w:styleId="DateChar">
    <w:name w:val="Date Char"/>
    <w:link w:val="Date"/>
    <w:semiHidden/>
    <w:rsid w:val="00FF04E3"/>
    <w:rPr>
      <w:sz w:val="24"/>
    </w:rPr>
  </w:style>
  <w:style w:type="paragraph" w:styleId="DocumentMap">
    <w:name w:val="Document Map"/>
    <w:basedOn w:val="Normal"/>
    <w:link w:val="DocumentMapChar"/>
    <w:semiHidden/>
    <w:rsid w:val="00405336"/>
    <w:rPr>
      <w:rFonts w:ascii="Tahoma" w:hAnsi="Tahoma" w:cs="Tahoma"/>
      <w:sz w:val="16"/>
      <w:szCs w:val="16"/>
    </w:rPr>
  </w:style>
  <w:style w:type="character" w:customStyle="1" w:styleId="DocumentMapChar">
    <w:name w:val="Document Map Char"/>
    <w:link w:val="DocumentMap"/>
    <w:semiHidden/>
    <w:rsid w:val="00FF04E3"/>
    <w:rPr>
      <w:rFonts w:ascii="Tahoma" w:hAnsi="Tahoma" w:cs="Tahoma"/>
      <w:sz w:val="16"/>
      <w:szCs w:val="16"/>
    </w:rPr>
  </w:style>
  <w:style w:type="paragraph" w:styleId="E-mailSignature">
    <w:name w:val="E-mail Signature"/>
    <w:basedOn w:val="Normal"/>
    <w:link w:val="E-mailSignatureChar"/>
    <w:semiHidden/>
    <w:rsid w:val="00405336"/>
  </w:style>
  <w:style w:type="character" w:customStyle="1" w:styleId="E-mailSignatureChar">
    <w:name w:val="E-mail Signature Char"/>
    <w:link w:val="E-mailSignature"/>
    <w:semiHidden/>
    <w:rsid w:val="00FF04E3"/>
    <w:rPr>
      <w:sz w:val="24"/>
    </w:rPr>
  </w:style>
  <w:style w:type="paragraph" w:styleId="EndnoteText">
    <w:name w:val="endnote text"/>
    <w:basedOn w:val="Normal"/>
    <w:link w:val="EndnoteTextChar"/>
    <w:semiHidden/>
    <w:rsid w:val="00405336"/>
    <w:rPr>
      <w:sz w:val="20"/>
    </w:rPr>
  </w:style>
  <w:style w:type="character" w:customStyle="1" w:styleId="EndnoteTextChar">
    <w:name w:val="Endnote Text Char"/>
    <w:basedOn w:val="DefaultParagraphFont"/>
    <w:link w:val="EndnoteText"/>
    <w:semiHidden/>
    <w:rsid w:val="00FF04E3"/>
  </w:style>
  <w:style w:type="paragraph" w:styleId="EnvelopeAddress">
    <w:name w:val="envelope address"/>
    <w:basedOn w:val="Normal"/>
    <w:semiHidden/>
    <w:rsid w:val="00405336"/>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rsid w:val="00405336"/>
    <w:rPr>
      <w:rFonts w:ascii="Cambria" w:hAnsi="Cambria"/>
      <w:sz w:val="20"/>
    </w:rPr>
  </w:style>
  <w:style w:type="paragraph" w:styleId="Footer">
    <w:name w:val="footer"/>
    <w:basedOn w:val="Normal"/>
    <w:link w:val="FooterChar"/>
    <w:semiHidden/>
    <w:rsid w:val="00405336"/>
    <w:pPr>
      <w:tabs>
        <w:tab w:val="center" w:pos="4680"/>
        <w:tab w:val="right" w:pos="9360"/>
      </w:tabs>
    </w:pPr>
  </w:style>
  <w:style w:type="character" w:customStyle="1" w:styleId="FooterChar">
    <w:name w:val="Footer Char"/>
    <w:link w:val="Footer"/>
    <w:semiHidden/>
    <w:rsid w:val="00FF04E3"/>
    <w:rPr>
      <w:sz w:val="24"/>
    </w:rPr>
  </w:style>
  <w:style w:type="paragraph" w:styleId="FootnoteText">
    <w:name w:val="footnote text"/>
    <w:basedOn w:val="Normal"/>
    <w:link w:val="FootnoteTextChar"/>
    <w:semiHidden/>
    <w:rsid w:val="00405336"/>
    <w:rPr>
      <w:sz w:val="20"/>
    </w:rPr>
  </w:style>
  <w:style w:type="character" w:customStyle="1" w:styleId="FootnoteTextChar">
    <w:name w:val="Footnote Text Char"/>
    <w:basedOn w:val="DefaultParagraphFont"/>
    <w:link w:val="FootnoteText"/>
    <w:semiHidden/>
    <w:rsid w:val="00FF04E3"/>
  </w:style>
  <w:style w:type="paragraph" w:styleId="Header">
    <w:name w:val="header"/>
    <w:basedOn w:val="Normal"/>
    <w:link w:val="HeaderChar"/>
    <w:semiHidden/>
    <w:rsid w:val="00405336"/>
    <w:pPr>
      <w:tabs>
        <w:tab w:val="center" w:pos="4680"/>
        <w:tab w:val="right" w:pos="9360"/>
      </w:tabs>
    </w:pPr>
  </w:style>
  <w:style w:type="character" w:customStyle="1" w:styleId="HeaderChar">
    <w:name w:val="Header Char"/>
    <w:link w:val="Header"/>
    <w:semiHidden/>
    <w:rsid w:val="00FF04E3"/>
    <w:rPr>
      <w:sz w:val="24"/>
    </w:rPr>
  </w:style>
  <w:style w:type="paragraph" w:styleId="HTMLAddress">
    <w:name w:val="HTML Address"/>
    <w:basedOn w:val="Normal"/>
    <w:link w:val="HTMLAddressChar"/>
    <w:semiHidden/>
    <w:rsid w:val="00405336"/>
    <w:rPr>
      <w:i/>
      <w:iCs/>
    </w:rPr>
  </w:style>
  <w:style w:type="character" w:customStyle="1" w:styleId="HTMLAddressChar">
    <w:name w:val="HTML Address Char"/>
    <w:link w:val="HTMLAddress"/>
    <w:semiHidden/>
    <w:rsid w:val="00FF04E3"/>
    <w:rPr>
      <w:i/>
      <w:iCs/>
      <w:sz w:val="24"/>
    </w:rPr>
  </w:style>
  <w:style w:type="paragraph" w:styleId="HTMLPreformatted">
    <w:name w:val="HTML Preformatted"/>
    <w:basedOn w:val="Normal"/>
    <w:link w:val="HTMLPreformattedChar"/>
    <w:semiHidden/>
    <w:rsid w:val="00405336"/>
    <w:rPr>
      <w:rFonts w:ascii="Courier New" w:hAnsi="Courier New" w:cs="Courier New"/>
      <w:sz w:val="20"/>
    </w:rPr>
  </w:style>
  <w:style w:type="character" w:customStyle="1" w:styleId="HTMLPreformattedChar">
    <w:name w:val="HTML Preformatted Char"/>
    <w:link w:val="HTMLPreformatted"/>
    <w:semiHidden/>
    <w:rsid w:val="00FF04E3"/>
    <w:rPr>
      <w:rFonts w:ascii="Courier New" w:hAnsi="Courier New" w:cs="Courier New"/>
    </w:rPr>
  </w:style>
  <w:style w:type="paragraph" w:styleId="Index1">
    <w:name w:val="index 1"/>
    <w:basedOn w:val="Normal"/>
    <w:next w:val="Normal"/>
    <w:autoRedefine/>
    <w:semiHidden/>
    <w:rsid w:val="00405336"/>
    <w:pPr>
      <w:ind w:left="240" w:hanging="240"/>
    </w:pPr>
  </w:style>
  <w:style w:type="paragraph" w:styleId="Index2">
    <w:name w:val="index 2"/>
    <w:basedOn w:val="Normal"/>
    <w:next w:val="Normal"/>
    <w:autoRedefine/>
    <w:semiHidden/>
    <w:rsid w:val="00405336"/>
    <w:pPr>
      <w:ind w:left="480" w:hanging="240"/>
    </w:pPr>
  </w:style>
  <w:style w:type="paragraph" w:styleId="Index3">
    <w:name w:val="index 3"/>
    <w:basedOn w:val="Normal"/>
    <w:next w:val="Normal"/>
    <w:autoRedefine/>
    <w:semiHidden/>
    <w:rsid w:val="00405336"/>
    <w:pPr>
      <w:ind w:left="720" w:hanging="240"/>
    </w:pPr>
  </w:style>
  <w:style w:type="paragraph" w:styleId="Index4">
    <w:name w:val="index 4"/>
    <w:basedOn w:val="Normal"/>
    <w:next w:val="Normal"/>
    <w:autoRedefine/>
    <w:semiHidden/>
    <w:rsid w:val="00405336"/>
    <w:pPr>
      <w:ind w:left="960" w:hanging="240"/>
    </w:pPr>
  </w:style>
  <w:style w:type="paragraph" w:styleId="Index5">
    <w:name w:val="index 5"/>
    <w:basedOn w:val="Normal"/>
    <w:next w:val="Normal"/>
    <w:autoRedefine/>
    <w:semiHidden/>
    <w:rsid w:val="00405336"/>
    <w:pPr>
      <w:ind w:left="1200" w:hanging="240"/>
    </w:pPr>
  </w:style>
  <w:style w:type="paragraph" w:styleId="Index6">
    <w:name w:val="index 6"/>
    <w:basedOn w:val="Normal"/>
    <w:next w:val="Normal"/>
    <w:autoRedefine/>
    <w:semiHidden/>
    <w:rsid w:val="00405336"/>
    <w:pPr>
      <w:ind w:left="1440" w:hanging="240"/>
    </w:pPr>
  </w:style>
  <w:style w:type="paragraph" w:styleId="Index7">
    <w:name w:val="index 7"/>
    <w:basedOn w:val="Normal"/>
    <w:next w:val="Normal"/>
    <w:autoRedefine/>
    <w:semiHidden/>
    <w:rsid w:val="00405336"/>
    <w:pPr>
      <w:ind w:left="1680" w:hanging="240"/>
    </w:pPr>
  </w:style>
  <w:style w:type="paragraph" w:styleId="Index8">
    <w:name w:val="index 8"/>
    <w:basedOn w:val="Normal"/>
    <w:next w:val="Normal"/>
    <w:autoRedefine/>
    <w:semiHidden/>
    <w:rsid w:val="00405336"/>
    <w:pPr>
      <w:ind w:left="1920" w:hanging="240"/>
    </w:pPr>
  </w:style>
  <w:style w:type="paragraph" w:styleId="Index9">
    <w:name w:val="index 9"/>
    <w:basedOn w:val="Normal"/>
    <w:next w:val="Normal"/>
    <w:autoRedefine/>
    <w:semiHidden/>
    <w:rsid w:val="00405336"/>
    <w:pPr>
      <w:ind w:left="2160" w:hanging="240"/>
    </w:pPr>
  </w:style>
  <w:style w:type="paragraph" w:styleId="IndexHeading">
    <w:name w:val="index heading"/>
    <w:basedOn w:val="Normal"/>
    <w:next w:val="Index1"/>
    <w:semiHidden/>
    <w:rsid w:val="00405336"/>
    <w:rPr>
      <w:rFonts w:ascii="Cambria" w:hAnsi="Cambria"/>
      <w:b/>
      <w:bCs/>
    </w:rPr>
  </w:style>
  <w:style w:type="paragraph" w:styleId="IntenseQuote">
    <w:name w:val="Intense Quote"/>
    <w:basedOn w:val="Normal"/>
    <w:next w:val="Normal"/>
    <w:link w:val="IntenseQuoteChar"/>
    <w:uiPriority w:val="30"/>
    <w:semiHidden/>
    <w:qFormat/>
    <w:rsid w:val="0040533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FF04E3"/>
    <w:rPr>
      <w:b/>
      <w:bCs/>
      <w:i/>
      <w:iCs/>
      <w:color w:val="4F81BD"/>
      <w:sz w:val="24"/>
    </w:rPr>
  </w:style>
  <w:style w:type="paragraph" w:styleId="List">
    <w:name w:val="List"/>
    <w:basedOn w:val="Normal"/>
    <w:semiHidden/>
    <w:rsid w:val="00405336"/>
    <w:pPr>
      <w:ind w:left="360" w:hanging="360"/>
      <w:contextualSpacing/>
    </w:pPr>
  </w:style>
  <w:style w:type="paragraph" w:styleId="List2">
    <w:name w:val="List 2"/>
    <w:basedOn w:val="Normal"/>
    <w:semiHidden/>
    <w:rsid w:val="00405336"/>
    <w:pPr>
      <w:ind w:left="720" w:hanging="360"/>
      <w:contextualSpacing/>
    </w:pPr>
  </w:style>
  <w:style w:type="paragraph" w:styleId="List3">
    <w:name w:val="List 3"/>
    <w:basedOn w:val="Normal"/>
    <w:semiHidden/>
    <w:rsid w:val="00405336"/>
    <w:pPr>
      <w:ind w:left="1080" w:hanging="360"/>
      <w:contextualSpacing/>
    </w:pPr>
  </w:style>
  <w:style w:type="paragraph" w:styleId="List4">
    <w:name w:val="List 4"/>
    <w:basedOn w:val="Normal"/>
    <w:semiHidden/>
    <w:rsid w:val="00405336"/>
    <w:pPr>
      <w:ind w:left="1440" w:hanging="360"/>
      <w:contextualSpacing/>
    </w:pPr>
  </w:style>
  <w:style w:type="paragraph" w:styleId="List5">
    <w:name w:val="List 5"/>
    <w:basedOn w:val="Normal"/>
    <w:semiHidden/>
    <w:rsid w:val="00405336"/>
    <w:pPr>
      <w:ind w:left="1800" w:hanging="360"/>
      <w:contextualSpacing/>
    </w:pPr>
  </w:style>
  <w:style w:type="paragraph" w:styleId="ListBullet">
    <w:name w:val="List Bullet"/>
    <w:basedOn w:val="Normal"/>
    <w:semiHidden/>
    <w:rsid w:val="00405336"/>
    <w:pPr>
      <w:numPr>
        <w:numId w:val="1"/>
      </w:numPr>
      <w:contextualSpacing/>
    </w:pPr>
  </w:style>
  <w:style w:type="paragraph" w:styleId="ListBullet2">
    <w:name w:val="List Bullet 2"/>
    <w:basedOn w:val="Normal"/>
    <w:semiHidden/>
    <w:rsid w:val="00405336"/>
    <w:pPr>
      <w:numPr>
        <w:numId w:val="2"/>
      </w:numPr>
      <w:contextualSpacing/>
    </w:pPr>
  </w:style>
  <w:style w:type="paragraph" w:styleId="ListBullet3">
    <w:name w:val="List Bullet 3"/>
    <w:basedOn w:val="Normal"/>
    <w:semiHidden/>
    <w:rsid w:val="00405336"/>
    <w:pPr>
      <w:numPr>
        <w:numId w:val="3"/>
      </w:numPr>
      <w:contextualSpacing/>
    </w:pPr>
  </w:style>
  <w:style w:type="paragraph" w:styleId="ListBullet4">
    <w:name w:val="List Bullet 4"/>
    <w:basedOn w:val="Normal"/>
    <w:semiHidden/>
    <w:rsid w:val="00405336"/>
    <w:pPr>
      <w:numPr>
        <w:numId w:val="4"/>
      </w:numPr>
      <w:contextualSpacing/>
    </w:pPr>
  </w:style>
  <w:style w:type="paragraph" w:styleId="ListBullet5">
    <w:name w:val="List Bullet 5"/>
    <w:basedOn w:val="Normal"/>
    <w:semiHidden/>
    <w:rsid w:val="00405336"/>
    <w:pPr>
      <w:numPr>
        <w:numId w:val="5"/>
      </w:numPr>
      <w:contextualSpacing/>
    </w:pPr>
  </w:style>
  <w:style w:type="paragraph" w:styleId="ListContinue">
    <w:name w:val="List Continue"/>
    <w:basedOn w:val="Normal"/>
    <w:semiHidden/>
    <w:rsid w:val="00405336"/>
    <w:pPr>
      <w:spacing w:after="120"/>
      <w:ind w:left="360"/>
      <w:contextualSpacing/>
    </w:pPr>
  </w:style>
  <w:style w:type="paragraph" w:styleId="ListContinue2">
    <w:name w:val="List Continue 2"/>
    <w:basedOn w:val="Normal"/>
    <w:semiHidden/>
    <w:rsid w:val="00405336"/>
    <w:pPr>
      <w:spacing w:after="120"/>
      <w:ind w:left="720"/>
      <w:contextualSpacing/>
    </w:pPr>
  </w:style>
  <w:style w:type="paragraph" w:styleId="ListContinue3">
    <w:name w:val="List Continue 3"/>
    <w:basedOn w:val="Normal"/>
    <w:semiHidden/>
    <w:rsid w:val="00405336"/>
    <w:pPr>
      <w:spacing w:after="120"/>
      <w:ind w:left="1080"/>
      <w:contextualSpacing/>
    </w:pPr>
  </w:style>
  <w:style w:type="paragraph" w:styleId="ListContinue4">
    <w:name w:val="List Continue 4"/>
    <w:basedOn w:val="Normal"/>
    <w:semiHidden/>
    <w:rsid w:val="00405336"/>
    <w:pPr>
      <w:spacing w:after="120"/>
      <w:ind w:left="1440"/>
      <w:contextualSpacing/>
    </w:pPr>
  </w:style>
  <w:style w:type="paragraph" w:styleId="ListContinue5">
    <w:name w:val="List Continue 5"/>
    <w:basedOn w:val="Normal"/>
    <w:semiHidden/>
    <w:rsid w:val="00405336"/>
    <w:pPr>
      <w:spacing w:after="120"/>
      <w:ind w:left="1800"/>
      <w:contextualSpacing/>
    </w:pPr>
  </w:style>
  <w:style w:type="paragraph" w:styleId="ListNumber">
    <w:name w:val="List Number"/>
    <w:basedOn w:val="Normal"/>
    <w:semiHidden/>
    <w:rsid w:val="00405336"/>
    <w:pPr>
      <w:numPr>
        <w:numId w:val="6"/>
      </w:numPr>
      <w:contextualSpacing/>
    </w:pPr>
  </w:style>
  <w:style w:type="paragraph" w:styleId="ListNumber2">
    <w:name w:val="List Number 2"/>
    <w:basedOn w:val="Normal"/>
    <w:semiHidden/>
    <w:rsid w:val="00405336"/>
    <w:pPr>
      <w:numPr>
        <w:numId w:val="7"/>
      </w:numPr>
      <w:contextualSpacing/>
    </w:pPr>
  </w:style>
  <w:style w:type="paragraph" w:styleId="ListNumber3">
    <w:name w:val="List Number 3"/>
    <w:basedOn w:val="Normal"/>
    <w:semiHidden/>
    <w:rsid w:val="00405336"/>
    <w:pPr>
      <w:numPr>
        <w:numId w:val="8"/>
      </w:numPr>
      <w:contextualSpacing/>
    </w:pPr>
  </w:style>
  <w:style w:type="paragraph" w:styleId="ListNumber4">
    <w:name w:val="List Number 4"/>
    <w:basedOn w:val="Normal"/>
    <w:semiHidden/>
    <w:rsid w:val="00405336"/>
    <w:pPr>
      <w:numPr>
        <w:numId w:val="9"/>
      </w:numPr>
      <w:contextualSpacing/>
    </w:pPr>
  </w:style>
  <w:style w:type="paragraph" w:styleId="ListNumber5">
    <w:name w:val="List Number 5"/>
    <w:basedOn w:val="Normal"/>
    <w:semiHidden/>
    <w:rsid w:val="00405336"/>
    <w:pPr>
      <w:numPr>
        <w:numId w:val="10"/>
      </w:numPr>
      <w:contextualSpacing/>
    </w:pPr>
  </w:style>
  <w:style w:type="paragraph" w:styleId="ListParagraph">
    <w:name w:val="List Paragraph"/>
    <w:basedOn w:val="Normal"/>
    <w:uiPriority w:val="34"/>
    <w:semiHidden/>
    <w:qFormat/>
    <w:rsid w:val="00405336"/>
    <w:pPr>
      <w:ind w:left="720"/>
    </w:pPr>
  </w:style>
  <w:style w:type="paragraph" w:styleId="MacroText">
    <w:name w:val="macro"/>
    <w:link w:val="MacroTextCh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semiHidden/>
    <w:rsid w:val="00FF04E3"/>
    <w:rPr>
      <w:rFonts w:ascii="Courier New" w:hAnsi="Courier New" w:cs="Courier New"/>
      <w:lang w:val="en-US" w:eastAsia="en-US" w:bidi="ar-SA"/>
    </w:rPr>
  </w:style>
  <w:style w:type="paragraph" w:styleId="MessageHeader">
    <w:name w:val="Message Header"/>
    <w:basedOn w:val="Normal"/>
    <w:link w:val="MessageHeaderCh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semiHidden/>
    <w:rsid w:val="00FF04E3"/>
    <w:rPr>
      <w:rFonts w:ascii="Cambria" w:hAnsi="Cambria"/>
      <w:sz w:val="24"/>
      <w:szCs w:val="24"/>
      <w:shd w:val="pct20" w:color="auto" w:fill="auto"/>
    </w:rPr>
  </w:style>
  <w:style w:type="paragraph" w:styleId="NoSpacing">
    <w:name w:val="No Spacing"/>
    <w:uiPriority w:val="1"/>
    <w:semiHidden/>
    <w:qFormat/>
    <w:rsid w:val="00405336"/>
    <w:rPr>
      <w:sz w:val="24"/>
    </w:rPr>
  </w:style>
  <w:style w:type="paragraph" w:styleId="NormalWeb">
    <w:name w:val="Normal (Web)"/>
    <w:basedOn w:val="Normal"/>
    <w:uiPriority w:val="99"/>
    <w:semiHidden/>
    <w:rsid w:val="00405336"/>
    <w:rPr>
      <w:szCs w:val="24"/>
    </w:rPr>
  </w:style>
  <w:style w:type="paragraph" w:styleId="NormalIndent">
    <w:name w:val="Normal Indent"/>
    <w:basedOn w:val="Normal"/>
    <w:semiHidden/>
    <w:rsid w:val="00405336"/>
    <w:pPr>
      <w:ind w:left="720"/>
    </w:pPr>
  </w:style>
  <w:style w:type="paragraph" w:styleId="NoteHeading">
    <w:name w:val="Note Heading"/>
    <w:basedOn w:val="Normal"/>
    <w:next w:val="Normal"/>
    <w:link w:val="NoteHeadingChar"/>
    <w:semiHidden/>
    <w:rsid w:val="00405336"/>
  </w:style>
  <w:style w:type="character" w:customStyle="1" w:styleId="NoteHeadingChar">
    <w:name w:val="Note Heading Char"/>
    <w:link w:val="NoteHeading"/>
    <w:semiHidden/>
    <w:rsid w:val="00FF04E3"/>
    <w:rPr>
      <w:sz w:val="24"/>
    </w:rPr>
  </w:style>
  <w:style w:type="paragraph" w:styleId="PlainText">
    <w:name w:val="Plain Text"/>
    <w:basedOn w:val="Normal"/>
    <w:link w:val="PlainTextChar"/>
    <w:semiHidden/>
    <w:rsid w:val="00405336"/>
    <w:rPr>
      <w:rFonts w:ascii="Courier New" w:hAnsi="Courier New" w:cs="Courier New"/>
      <w:sz w:val="20"/>
    </w:rPr>
  </w:style>
  <w:style w:type="character" w:customStyle="1" w:styleId="PlainTextChar">
    <w:name w:val="Plain Text Char"/>
    <w:link w:val="PlainText"/>
    <w:semiHidden/>
    <w:rsid w:val="00FF04E3"/>
    <w:rPr>
      <w:rFonts w:ascii="Courier New" w:hAnsi="Courier New" w:cs="Courier New"/>
    </w:rPr>
  </w:style>
  <w:style w:type="paragraph" w:styleId="Quote">
    <w:name w:val="Quote"/>
    <w:basedOn w:val="Normal"/>
    <w:next w:val="Normal"/>
    <w:link w:val="QuoteChar"/>
    <w:uiPriority w:val="29"/>
    <w:semiHidden/>
    <w:qFormat/>
    <w:rsid w:val="00405336"/>
    <w:rPr>
      <w:i/>
      <w:iCs/>
      <w:color w:val="000000"/>
    </w:rPr>
  </w:style>
  <w:style w:type="character" w:customStyle="1" w:styleId="QuoteChar">
    <w:name w:val="Quote Char"/>
    <w:link w:val="Quote"/>
    <w:uiPriority w:val="29"/>
    <w:semiHidden/>
    <w:rsid w:val="00FF04E3"/>
    <w:rPr>
      <w:i/>
      <w:iCs/>
      <w:color w:val="000000"/>
      <w:sz w:val="24"/>
    </w:rPr>
  </w:style>
  <w:style w:type="paragraph" w:styleId="Salutation">
    <w:name w:val="Salutation"/>
    <w:basedOn w:val="Normal"/>
    <w:next w:val="Normal"/>
    <w:link w:val="SalutationChar"/>
    <w:semiHidden/>
    <w:rsid w:val="00405336"/>
  </w:style>
  <w:style w:type="character" w:customStyle="1" w:styleId="SalutationChar">
    <w:name w:val="Salutation Char"/>
    <w:link w:val="Salutation"/>
    <w:semiHidden/>
    <w:rsid w:val="00FF04E3"/>
    <w:rPr>
      <w:sz w:val="24"/>
    </w:rPr>
  </w:style>
  <w:style w:type="paragraph" w:styleId="Signature">
    <w:name w:val="Signature"/>
    <w:basedOn w:val="Normal"/>
    <w:link w:val="SignatureChar"/>
    <w:semiHidden/>
    <w:rsid w:val="00405336"/>
    <w:pPr>
      <w:ind w:left="4320"/>
    </w:pPr>
  </w:style>
  <w:style w:type="character" w:customStyle="1" w:styleId="SignatureChar">
    <w:name w:val="Signature Char"/>
    <w:link w:val="Signature"/>
    <w:semiHidden/>
    <w:rsid w:val="00FF04E3"/>
    <w:rPr>
      <w:sz w:val="24"/>
    </w:rPr>
  </w:style>
  <w:style w:type="paragraph" w:styleId="Subtitle">
    <w:name w:val="Subtitle"/>
    <w:basedOn w:val="Normal"/>
    <w:next w:val="Normal"/>
    <w:link w:val="SubtitleChar"/>
    <w:semiHidden/>
    <w:qFormat/>
    <w:rsid w:val="00405336"/>
    <w:pPr>
      <w:spacing w:after="60"/>
      <w:jc w:val="center"/>
      <w:outlineLvl w:val="1"/>
    </w:pPr>
    <w:rPr>
      <w:rFonts w:ascii="Cambria" w:hAnsi="Cambria"/>
      <w:szCs w:val="24"/>
    </w:rPr>
  </w:style>
  <w:style w:type="character" w:customStyle="1" w:styleId="SubtitleChar">
    <w:name w:val="Subtitle Char"/>
    <w:link w:val="Subtitle"/>
    <w:semiHidden/>
    <w:rsid w:val="00FF04E3"/>
    <w:rPr>
      <w:rFonts w:ascii="Cambria" w:hAnsi="Cambria"/>
      <w:sz w:val="24"/>
      <w:szCs w:val="24"/>
    </w:rPr>
  </w:style>
  <w:style w:type="paragraph" w:styleId="TableofAuthorities">
    <w:name w:val="table of authorities"/>
    <w:basedOn w:val="Normal"/>
    <w:next w:val="Normal"/>
    <w:semiHidden/>
    <w:rsid w:val="00405336"/>
    <w:pPr>
      <w:ind w:left="240" w:hanging="240"/>
    </w:pPr>
  </w:style>
  <w:style w:type="paragraph" w:styleId="TableofFigures">
    <w:name w:val="table of figures"/>
    <w:basedOn w:val="Normal"/>
    <w:next w:val="Normal"/>
    <w:semiHidden/>
    <w:rsid w:val="00405336"/>
  </w:style>
  <w:style w:type="paragraph" w:styleId="Title">
    <w:name w:val="Title"/>
    <w:basedOn w:val="Normal"/>
    <w:next w:val="Normal"/>
    <w:link w:val="TitleChar"/>
    <w:semiHidden/>
    <w:qFormat/>
    <w:rsid w:val="00405336"/>
    <w:pPr>
      <w:spacing w:before="240" w:after="60"/>
      <w:jc w:val="center"/>
      <w:outlineLvl w:val="0"/>
    </w:pPr>
    <w:rPr>
      <w:rFonts w:ascii="Cambria" w:hAnsi="Cambria"/>
      <w:b/>
      <w:bCs/>
      <w:kern w:val="28"/>
      <w:sz w:val="32"/>
      <w:szCs w:val="32"/>
    </w:rPr>
  </w:style>
  <w:style w:type="character" w:customStyle="1" w:styleId="TitleChar">
    <w:name w:val="Title Char"/>
    <w:link w:val="Title"/>
    <w:semiHidden/>
    <w:rsid w:val="00FF04E3"/>
    <w:rPr>
      <w:rFonts w:ascii="Cambria" w:hAnsi="Cambria"/>
      <w:b/>
      <w:bCs/>
      <w:kern w:val="28"/>
      <w:sz w:val="32"/>
      <w:szCs w:val="32"/>
    </w:rPr>
  </w:style>
  <w:style w:type="paragraph" w:styleId="TOAHeading">
    <w:name w:val="toa heading"/>
    <w:basedOn w:val="Normal"/>
    <w:next w:val="Normal"/>
    <w:semiHidden/>
    <w:rsid w:val="00405336"/>
    <w:pPr>
      <w:spacing w:before="120"/>
    </w:pPr>
    <w:rPr>
      <w:rFonts w:ascii="Cambria" w:hAnsi="Cambria"/>
      <w:b/>
      <w:bCs/>
      <w:szCs w:val="24"/>
    </w:rPr>
  </w:style>
  <w:style w:type="paragraph" w:styleId="TOC1">
    <w:name w:val="toc 1"/>
    <w:basedOn w:val="Normal"/>
    <w:next w:val="Normal"/>
    <w:autoRedefine/>
    <w:semiHidden/>
    <w:rsid w:val="00405336"/>
  </w:style>
  <w:style w:type="paragraph" w:styleId="TOC2">
    <w:name w:val="toc 2"/>
    <w:basedOn w:val="Normal"/>
    <w:next w:val="Normal"/>
    <w:autoRedefine/>
    <w:semiHidden/>
    <w:rsid w:val="00405336"/>
    <w:pPr>
      <w:ind w:left="240"/>
    </w:pPr>
  </w:style>
  <w:style w:type="paragraph" w:styleId="TOC3">
    <w:name w:val="toc 3"/>
    <w:basedOn w:val="Normal"/>
    <w:next w:val="Normal"/>
    <w:autoRedefine/>
    <w:semiHidden/>
    <w:rsid w:val="00405336"/>
    <w:pPr>
      <w:ind w:left="480"/>
    </w:pPr>
  </w:style>
  <w:style w:type="paragraph" w:styleId="TOC4">
    <w:name w:val="toc 4"/>
    <w:basedOn w:val="Normal"/>
    <w:next w:val="Normal"/>
    <w:autoRedefine/>
    <w:semiHidden/>
    <w:rsid w:val="00405336"/>
    <w:pPr>
      <w:ind w:left="720"/>
    </w:pPr>
  </w:style>
  <w:style w:type="paragraph" w:styleId="TOC5">
    <w:name w:val="toc 5"/>
    <w:basedOn w:val="Normal"/>
    <w:next w:val="Normal"/>
    <w:autoRedefine/>
    <w:semiHidden/>
    <w:rsid w:val="00405336"/>
    <w:pPr>
      <w:ind w:left="960"/>
    </w:pPr>
  </w:style>
  <w:style w:type="paragraph" w:styleId="TOC6">
    <w:name w:val="toc 6"/>
    <w:basedOn w:val="Normal"/>
    <w:next w:val="Normal"/>
    <w:autoRedefine/>
    <w:semiHidden/>
    <w:rsid w:val="00405336"/>
    <w:pPr>
      <w:ind w:left="1200"/>
    </w:pPr>
  </w:style>
  <w:style w:type="paragraph" w:styleId="TOC7">
    <w:name w:val="toc 7"/>
    <w:basedOn w:val="Normal"/>
    <w:next w:val="Normal"/>
    <w:autoRedefine/>
    <w:semiHidden/>
    <w:rsid w:val="00405336"/>
    <w:pPr>
      <w:ind w:left="1440"/>
    </w:pPr>
  </w:style>
  <w:style w:type="paragraph" w:styleId="TOC8">
    <w:name w:val="toc 8"/>
    <w:basedOn w:val="Normal"/>
    <w:next w:val="Normal"/>
    <w:autoRedefine/>
    <w:semiHidden/>
    <w:rsid w:val="00405336"/>
    <w:pPr>
      <w:ind w:left="1680"/>
    </w:pPr>
  </w:style>
  <w:style w:type="paragraph" w:styleId="TOC9">
    <w:name w:val="toc 9"/>
    <w:basedOn w:val="Normal"/>
    <w:next w:val="Normal"/>
    <w:autoRedefine/>
    <w:semiHidden/>
    <w:rsid w:val="00405336"/>
    <w:pPr>
      <w:ind w:left="1920"/>
    </w:pPr>
  </w:style>
  <w:style w:type="paragraph" w:styleId="TOCHeading">
    <w:name w:val="TOC Heading"/>
    <w:basedOn w:val="Heading1"/>
    <w:next w:val="Normal"/>
    <w:uiPriority w:val="39"/>
    <w:semiHidden/>
    <w:unhideWhenUsed/>
    <w:qFormat/>
    <w:rsid w:val="00405336"/>
    <w:pPr>
      <w:outlineLvl w:val="9"/>
    </w:pPr>
    <w:rPr>
      <w:rFonts w:ascii="Cambria" w:hAnsi="Cambria"/>
      <w:sz w:val="32"/>
      <w:szCs w:val="32"/>
    </w:rPr>
  </w:style>
  <w:style w:type="character" w:styleId="Hyperlink">
    <w:name w:val="Hyperlink"/>
    <w:semiHidden/>
    <w:rsid w:val="007402FC"/>
    <w:rPr>
      <w:color w:val="0000FF"/>
      <w:u w:val="single"/>
    </w:rPr>
  </w:style>
  <w:style w:type="paragraph" w:customStyle="1" w:styleId="body-copy-normal">
    <w:name w:val="body-copy-normal"/>
    <w:basedOn w:val="Normal"/>
    <w:rsid w:val="00FF3503"/>
    <w:pPr>
      <w:spacing w:before="100" w:beforeAutospacing="1" w:after="100" w:afterAutospacing="1"/>
    </w:pPr>
    <w:rPr>
      <w:szCs w:val="24"/>
    </w:rPr>
  </w:style>
  <w:style w:type="paragraph" w:customStyle="1" w:styleId="body-copy-ndent">
    <w:name w:val="body-copy-ndent"/>
    <w:basedOn w:val="Normal"/>
    <w:rsid w:val="00FF3503"/>
    <w:pPr>
      <w:spacing w:before="100" w:beforeAutospacing="1" w:after="100" w:afterAutospacing="1"/>
    </w:pPr>
    <w:rPr>
      <w:szCs w:val="24"/>
    </w:rPr>
  </w:style>
  <w:style w:type="character" w:styleId="Strong">
    <w:name w:val="Strong"/>
    <w:uiPriority w:val="22"/>
    <w:qFormat/>
    <w:rsid w:val="00FF3503"/>
    <w:rPr>
      <w:b/>
      <w:bCs/>
    </w:rPr>
  </w:style>
  <w:style w:type="character" w:styleId="CommentReference">
    <w:name w:val="annotation reference"/>
    <w:semiHidden/>
    <w:rsid w:val="002800B6"/>
    <w:rPr>
      <w:sz w:val="16"/>
      <w:szCs w:val="16"/>
    </w:rPr>
  </w:style>
  <w:style w:type="table" w:styleId="TableGrid">
    <w:name w:val="Table Grid"/>
    <w:basedOn w:val="TableNormal"/>
    <w:uiPriority w:val="39"/>
    <w:rsid w:val="00630B9F"/>
    <w:rPr>
      <w:rFonts w:ascii="Calibri" w:eastAsia="Calibri" w:hAnsi="Calibri" w:cs="Calibri"/>
      <w:sz w:val="22"/>
      <w:szCs w:val="22"/>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4B68"/>
    <w:rPr>
      <w:sz w:val="24"/>
    </w:rPr>
  </w:style>
  <w:style w:type="character" w:styleId="PlaceholderText">
    <w:name w:val="Placeholder Text"/>
    <w:basedOn w:val="DefaultParagraphFont"/>
    <w:uiPriority w:val="99"/>
    <w:semiHidden/>
    <w:rsid w:val="00E84B6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23527">
      <w:bodyDiv w:val="1"/>
      <w:marLeft w:val="0"/>
      <w:marRight w:val="0"/>
      <w:marTop w:val="0"/>
      <w:marBottom w:val="0"/>
      <w:divBdr>
        <w:top w:val="none" w:sz="0" w:space="0" w:color="auto"/>
        <w:left w:val="none" w:sz="0" w:space="0" w:color="auto"/>
        <w:bottom w:val="none" w:sz="0" w:space="0" w:color="auto"/>
        <w:right w:val="none" w:sz="0" w:space="0" w:color="auto"/>
      </w:divBdr>
    </w:div>
    <w:div w:id="203175800">
      <w:bodyDiv w:val="1"/>
      <w:marLeft w:val="0"/>
      <w:marRight w:val="0"/>
      <w:marTop w:val="0"/>
      <w:marBottom w:val="0"/>
      <w:divBdr>
        <w:top w:val="none" w:sz="0" w:space="0" w:color="auto"/>
        <w:left w:val="none" w:sz="0" w:space="0" w:color="auto"/>
        <w:bottom w:val="none" w:sz="0" w:space="0" w:color="auto"/>
        <w:right w:val="none" w:sz="0" w:space="0" w:color="auto"/>
      </w:divBdr>
    </w:div>
    <w:div w:id="546528266">
      <w:bodyDiv w:val="1"/>
      <w:marLeft w:val="0"/>
      <w:marRight w:val="0"/>
      <w:marTop w:val="0"/>
      <w:marBottom w:val="0"/>
      <w:divBdr>
        <w:top w:val="none" w:sz="0" w:space="0" w:color="auto"/>
        <w:left w:val="none" w:sz="0" w:space="0" w:color="auto"/>
        <w:bottom w:val="none" w:sz="0" w:space="0" w:color="auto"/>
        <w:right w:val="none" w:sz="0" w:space="0" w:color="auto"/>
      </w:divBdr>
    </w:div>
    <w:div w:id="873155705">
      <w:bodyDiv w:val="1"/>
      <w:marLeft w:val="0"/>
      <w:marRight w:val="0"/>
      <w:marTop w:val="0"/>
      <w:marBottom w:val="0"/>
      <w:divBdr>
        <w:top w:val="none" w:sz="0" w:space="0" w:color="auto"/>
        <w:left w:val="none" w:sz="0" w:space="0" w:color="auto"/>
        <w:bottom w:val="none" w:sz="0" w:space="0" w:color="auto"/>
        <w:right w:val="none" w:sz="0" w:space="0" w:color="auto"/>
      </w:divBdr>
    </w:div>
    <w:div w:id="940841139">
      <w:bodyDiv w:val="1"/>
      <w:marLeft w:val="0"/>
      <w:marRight w:val="0"/>
      <w:marTop w:val="0"/>
      <w:marBottom w:val="0"/>
      <w:divBdr>
        <w:top w:val="none" w:sz="0" w:space="0" w:color="auto"/>
        <w:left w:val="none" w:sz="0" w:space="0" w:color="auto"/>
        <w:bottom w:val="none" w:sz="0" w:space="0" w:color="auto"/>
        <w:right w:val="none" w:sz="0" w:space="0" w:color="auto"/>
      </w:divBdr>
    </w:div>
    <w:div w:id="1013923439">
      <w:bodyDiv w:val="1"/>
      <w:marLeft w:val="0"/>
      <w:marRight w:val="0"/>
      <w:marTop w:val="0"/>
      <w:marBottom w:val="0"/>
      <w:divBdr>
        <w:top w:val="none" w:sz="0" w:space="0" w:color="auto"/>
        <w:left w:val="none" w:sz="0" w:space="0" w:color="auto"/>
        <w:bottom w:val="none" w:sz="0" w:space="0" w:color="auto"/>
        <w:right w:val="none" w:sz="0" w:space="0" w:color="auto"/>
      </w:divBdr>
    </w:div>
    <w:div w:id="1223639762">
      <w:bodyDiv w:val="1"/>
      <w:marLeft w:val="0"/>
      <w:marRight w:val="0"/>
      <w:marTop w:val="0"/>
      <w:marBottom w:val="0"/>
      <w:divBdr>
        <w:top w:val="none" w:sz="0" w:space="0" w:color="auto"/>
        <w:left w:val="none" w:sz="0" w:space="0" w:color="auto"/>
        <w:bottom w:val="none" w:sz="0" w:space="0" w:color="auto"/>
        <w:right w:val="none" w:sz="0" w:space="0" w:color="auto"/>
      </w:divBdr>
    </w:div>
    <w:div w:id="1236816127">
      <w:bodyDiv w:val="1"/>
      <w:marLeft w:val="0"/>
      <w:marRight w:val="0"/>
      <w:marTop w:val="0"/>
      <w:marBottom w:val="0"/>
      <w:divBdr>
        <w:top w:val="none" w:sz="0" w:space="0" w:color="auto"/>
        <w:left w:val="none" w:sz="0" w:space="0" w:color="auto"/>
        <w:bottom w:val="none" w:sz="0" w:space="0" w:color="auto"/>
        <w:right w:val="none" w:sz="0" w:space="0" w:color="auto"/>
      </w:divBdr>
    </w:div>
    <w:div w:id="1273397245">
      <w:bodyDiv w:val="1"/>
      <w:marLeft w:val="0"/>
      <w:marRight w:val="0"/>
      <w:marTop w:val="0"/>
      <w:marBottom w:val="0"/>
      <w:divBdr>
        <w:top w:val="none" w:sz="0" w:space="0" w:color="auto"/>
        <w:left w:val="none" w:sz="0" w:space="0" w:color="auto"/>
        <w:bottom w:val="none" w:sz="0" w:space="0" w:color="auto"/>
        <w:right w:val="none" w:sz="0" w:space="0" w:color="auto"/>
      </w:divBdr>
    </w:div>
    <w:div w:id="1450274029">
      <w:bodyDiv w:val="1"/>
      <w:marLeft w:val="0"/>
      <w:marRight w:val="0"/>
      <w:marTop w:val="0"/>
      <w:marBottom w:val="0"/>
      <w:divBdr>
        <w:top w:val="none" w:sz="0" w:space="0" w:color="auto"/>
        <w:left w:val="none" w:sz="0" w:space="0" w:color="auto"/>
        <w:bottom w:val="none" w:sz="0" w:space="0" w:color="auto"/>
        <w:right w:val="none" w:sz="0" w:space="0" w:color="auto"/>
      </w:divBdr>
    </w:div>
    <w:div w:id="183946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B4001-CDFB-452B-901C-D664831F7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Supporting Online Material for</vt:lpstr>
    </vt:vector>
  </TitlesOfParts>
  <Company>AAAS</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subject/>
  <dc:creator>Brooks Hanson;Dawit Tegbaru;Brian Sedora</dc:creator>
  <cp:keywords/>
  <cp:lastModifiedBy>Simone Barani</cp:lastModifiedBy>
  <cp:revision>13</cp:revision>
  <cp:lastPrinted>2014-09-30T16:49:00Z</cp:lastPrinted>
  <dcterms:created xsi:type="dcterms:W3CDTF">2024-04-26T20:09:00Z</dcterms:created>
  <dcterms:modified xsi:type="dcterms:W3CDTF">2024-07-25T21:12:00Z</dcterms:modified>
</cp:coreProperties>
</file>