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Supplementary Figure 1.</w:t>
      </w:r>
      <w:r>
        <w:rPr>
          <w:rFonts w:ascii="TimesNewRomanPS-BoldMT" w:hAnsi="TimesNewRomanPS-BoldMT" w:eastAsia="TimesNewRomanPS-BoldMT" w:cs="TimesNewRomanPS-BoldMT"/>
          <w:b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Relative abundances at the phylum level, the family level and the genus level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of bacterial composition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.</w:t>
      </w:r>
      <w:r>
        <w:rPr>
          <w:rFonts w:ascii="Times New Roman" w:hAnsi="Times New Roman" w:eastAsia="TimesNewRomanPS-BoldMT" w:cs="Times New Roman"/>
          <w:b/>
          <w:color w:val="00000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TimesNewRomanPS-BoldMT" w:cs="Times New Roman"/>
          <w:bCs/>
          <w:color w:val="000000"/>
          <w:sz w:val="18"/>
          <w:szCs w:val="18"/>
          <w:lang w:bidi="ar"/>
        </w:rPr>
        <w:t>(A)</w:t>
      </w:r>
      <w:r>
        <w:rPr>
          <w:rFonts w:ascii="Times New Roman" w:hAnsi="Times New Roman" w:eastAsia="TimesNewRomanPS-BoldMT" w:cs="Times New Roman"/>
          <w:b/>
          <w:color w:val="000000"/>
          <w:sz w:val="18"/>
          <w:szCs w:val="18"/>
          <w:lang w:bidi="ar"/>
        </w:rPr>
        <w:t xml:space="preserve"> 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Relative abundance at the phylum level. 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(B)</w:t>
      </w:r>
      <w:r>
        <w:rPr>
          <w:rFonts w:hint="eastAsia" w:ascii="Times New Roman" w:hAnsi="Times New Roman" w:eastAsia="TimesNewRomanPSMT" w:cs="Times New Roman"/>
          <w:color w:val="000000"/>
          <w:sz w:val="18"/>
          <w:szCs w:val="18"/>
          <w:lang w:bidi="ar"/>
        </w:rPr>
        <w:t xml:space="preserve"> Relative abundance at the family level.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(</w:t>
      </w:r>
      <w:r>
        <w:rPr>
          <w:rFonts w:hint="eastAsia" w:ascii="Times New Roman" w:hAnsi="Times New Roman" w:eastAsia="TimesNewRomanPSMT" w:cs="Times New Roman"/>
          <w:color w:val="000000"/>
          <w:sz w:val="18"/>
          <w:szCs w:val="18"/>
          <w:lang w:bidi="ar"/>
        </w:rPr>
        <w:t>C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bidi="ar"/>
        </w:rPr>
        <w:t xml:space="preserve"> 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>Relative abundance at the genus level.</w:t>
      </w:r>
    </w:p>
    <w:p>
      <w:pPr>
        <w:rPr>
          <w:rFonts w:hint="eastAsia" w:ascii="TimesNewRomanPSMT" w:hAnsi="TimesNewRomanPSMT" w:eastAsia="宋体" w:cs="TimesNewRomanPSMT"/>
          <w:color w:val="000000"/>
          <w:sz w:val="18"/>
          <w:szCs w:val="18"/>
          <w:lang w:eastAsia="zh-CN" w:bidi="ar"/>
        </w:rPr>
      </w:pP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eastAsia="zh-CN" w:bidi="ar"/>
        </w:rPr>
        <w:drawing>
          <wp:inline distT="0" distB="0" distL="114300" distR="114300">
            <wp:extent cx="5494655" cy="7771765"/>
            <wp:effectExtent l="0" t="0" r="6985" b="635"/>
            <wp:docPr id="1" name="图片 1" descr="微信图片_2020112401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1240116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hint="eastAsia" w:ascii="TimesNewRomanPSMT" w:hAnsi="TimesNewRomanPSMT" w:eastAsia="宋体" w:cs="TimesNewRomanPSMT"/>
          <w:color w:val="000000"/>
          <w:sz w:val="18"/>
          <w:szCs w:val="18"/>
          <w:lang w:eastAsia="zh-CN" w:bidi="ar"/>
        </w:rPr>
      </w:pP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Supplementary Figure 2.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 xml:space="preserve"> </w:t>
      </w:r>
      <w:bookmarkStart w:id="0" w:name="OLE_LINK21"/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Significant bacteria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l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genera that contributed to gut microbiota difference between between high trait-anxiety group and</w:t>
      </w:r>
      <w:bookmarkStart w:id="1" w:name="OLE_LINK26"/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healthy control</w:t>
      </w:r>
      <w:bookmarkEnd w:id="1"/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group. (A) OPLS_DA analysis. (B) Bray-Curtis distance. (C) Significant genera with vipscore ＞ 2 in OPLS_DA analysis.</w:t>
      </w:r>
      <w:bookmarkEnd w:id="0"/>
    </w:p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9230" cy="4894580"/>
            <wp:effectExtent l="0" t="0" r="3810" b="12700"/>
            <wp:docPr id="6" name="图片 6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>
      <w:bookmarkStart w:id="3" w:name="_GoBack"/>
      <w:bookmarkEnd w:id="3"/>
    </w:p>
    <w:p>
      <w:pPr>
        <w:widowControl/>
        <w:jc w:val="left"/>
      </w:pP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Supplementary Figure 3. Relative abundance of significant genera between high trait-anxiety group and healthy control group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. </w:t>
      </w:r>
      <w:bookmarkStart w:id="2" w:name="OLE_LINK27"/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Lower relative abundance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among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high trait-anxiety group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:</w:t>
      </w:r>
      <w:bookmarkEnd w:id="2"/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Streptococcus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(A)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Blautia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B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Romboutsia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C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Escherichia_Shigella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F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,</w:t>
      </w:r>
      <w:r>
        <w:rPr>
          <w:rFonts w:hint="eastAsia" w:ascii="TimesNewRomanPSMT" w:hAnsi="TimesNewRomanPSMT" w:eastAsia="宋体" w:cs="TimesNewRomanPSMT"/>
          <w:i/>
          <w:iCs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Eubacterium_hallii_group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K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,</w:t>
      </w:r>
      <w:r>
        <w:rPr>
          <w:rFonts w:hint="eastAsia" w:ascii="TimesNewRomanPSMT" w:hAnsi="TimesNewRomanPSMT" w:eastAsia="宋体" w:cs="TimesNewRomanPSMT"/>
          <w:i/>
          <w:iCs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Eggerthella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L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,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and</w:t>
      </w:r>
      <w:r>
        <w:rPr>
          <w:rFonts w:hint="eastAsia" w:ascii="TimesNewRomanPSMT" w:hAnsi="TimesNewRomanPSMT" w:eastAsia="宋体" w:cs="TimesNewRomanPSMT"/>
          <w:i/>
          <w:iCs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Allorhizobium_Neorhizobium_Pararhizobium_Rhizobium</w:t>
      </w:r>
      <w:r>
        <w:rPr>
          <w:rFonts w:hint="eastAsia" w:ascii="TimesNewRomanPSMT" w:hAnsi="TimesNewRomanPSMT" w:eastAsia="宋体" w:cs="TimesNewRomanPSMT"/>
          <w:i/>
          <w:iCs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M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宋体" w:cs="TimesNewRomanPSMT"/>
          <w:i/>
          <w:iCs/>
          <w:color w:val="000000"/>
          <w:sz w:val="18"/>
          <w:szCs w:val="18"/>
          <w:lang w:val="en-US" w:eastAsia="zh-CN" w:bidi="ar"/>
        </w:rPr>
        <w:t xml:space="preserve">.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val="en-US" w:eastAsia="zh-CN" w:bidi="ar"/>
        </w:rPr>
        <w:t xml:space="preserve">Higher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relative abundance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among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high trait-anxiety group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: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Lachnoanaerobaculum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D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Lachnoclostridium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E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 xml:space="preserve">,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Rothia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G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Leptotrichia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H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Lachnospiraceae_UCG_010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I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Faecalibacterium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J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Coprococcus_3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N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Eubacterium_eligens_group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O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宋体" w:cs="TimesNewRomanPSMT"/>
          <w:i/>
          <w:iCs/>
          <w:color w:val="000000"/>
          <w:sz w:val="18"/>
          <w:szCs w:val="18"/>
          <w:lang w:val="en-US" w:eastAsia="zh-CN" w:bidi="ar"/>
        </w:rPr>
        <w:t xml:space="preserve">,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Atopobium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P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GCA_900066575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Q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and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 Pseudopropionibacterium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R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.</w:t>
      </w:r>
    </w:p>
    <w:p>
      <w:pPr>
        <w:rPr>
          <w:rFonts w:eastAsiaTheme="minorEastAsia"/>
        </w:rPr>
      </w:pPr>
      <w:r>
        <w:rPr>
          <w:rFonts w:hint="eastAsia" w:eastAsiaTheme="minorEastAsia"/>
        </w:rPr>
        <w:drawing>
          <wp:inline distT="0" distB="0" distL="114300" distR="114300">
            <wp:extent cx="5148580" cy="7282815"/>
            <wp:effectExtent l="0" t="0" r="2540" b="1905"/>
            <wp:docPr id="20" name="图片 20" descr="附图1-3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附图1-3 ok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</w:pP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Supplementary Figure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4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. Relative abundance of significant genera in different time points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among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high trait-anxiety group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before and after MBCT intervention (at baseline, at the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end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of intervention, and at the 4-week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following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the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end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of intervention):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Streptococcus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(A)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Blautia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B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Romboutsia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C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Lachnoanaerobaculum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D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Lachnoclostridium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E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 xml:space="preserve">, 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Escherichia_Shigella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F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Rothia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G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Leptotrichia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H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Lachnospiraceae_UCG_010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I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Faecalibacterium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J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Eubacterium_hallii_group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K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Eggerthella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L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, Allorhizobium_Neorhizobium_Pararhizobium_Rhizobium</w:t>
      </w:r>
      <w:r>
        <w:rPr>
          <w:rFonts w:hint="eastAsia" w:ascii="TimesNewRomanPSMT" w:hAnsi="TimesNewRomanPSMT" w:eastAsia="宋体" w:cs="TimesNewRomanPSMT"/>
          <w:i/>
          <w:iCs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M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Coprococcus_3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N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Eubacterium_eligens_group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O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Atopobium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P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, GCA_900066575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Q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 xml:space="preserve"> and Pseudopropionibacterium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R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.</w:t>
      </w:r>
    </w:p>
    <w:p>
      <w:pPr>
        <w:widowControl/>
        <w:jc w:val="left"/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</w:pPr>
      <w:r>
        <w:rPr>
          <w:rFonts w:hint="eastAsia" w:ascii="TimesNewRomanPSMT" w:hAnsi="TimesNewRomanPSMT" w:eastAsia="宋体" w:cs="TimesNewRomanPSMT"/>
          <w:color w:val="000000"/>
          <w:sz w:val="18"/>
          <w:szCs w:val="18"/>
        </w:rPr>
        <w:drawing>
          <wp:inline distT="0" distB="0" distL="114300" distR="114300">
            <wp:extent cx="5060315" cy="7301865"/>
            <wp:effectExtent l="0" t="0" r="14605" b="13335"/>
            <wp:docPr id="23" name="图片 23" descr="附图2-2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附图2-2 ok"/>
                    <pic:cNvPicPr>
                      <a:picLocks noChangeAspect="1"/>
                    </pic:cNvPicPr>
                  </pic:nvPicPr>
                  <pic:blipFill>
                    <a:blip r:embed="rId7"/>
                    <a:srcRect l="5594" t="4079" r="7763" b="7532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Supplementary Figure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5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.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Different structures of gut microbiota obtained from LEfSE analysis. A histogram of the LDA scores for the most abundant phylotypes between high trait-anxiety group and healthy control group (A)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and 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>among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high trait-anxiety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group over different time points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C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).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Only taxa meeting an LDA significant threshold &gt; 2 were shown. Taxonomic cladograms between high trait-anxiety group and healthy control group (B)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and 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among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high trait-anxiety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group over different time points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D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. The diameter of each dot is proportional to its effect size.</w:t>
      </w:r>
    </w:p>
    <w:p>
      <w:pPr>
        <w:rPr>
          <w:rFonts w:hint="eastAsia" w:ascii="TimesNewRomanPSMT" w:hAnsi="TimesNewRomanPSMT" w:eastAsia="宋体" w:cs="TimesNewRomanPSMT"/>
          <w:color w:val="000000"/>
          <w:sz w:val="18"/>
          <w:szCs w:val="18"/>
          <w:lang w:eastAsia="zh-CN" w:bidi="ar"/>
        </w:rPr>
      </w:pP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eastAsia="zh-CN" w:bidi="ar"/>
        </w:rPr>
        <w:drawing>
          <wp:inline distT="0" distB="0" distL="114300" distR="114300">
            <wp:extent cx="5268595" cy="3617595"/>
            <wp:effectExtent l="0" t="0" r="4445" b="9525"/>
            <wp:docPr id="3" name="图片 3" descr="微信图片_2020112401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11240116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>
      <w:pPr>
        <w:widowControl/>
        <w:jc w:val="left"/>
        <w:rPr>
          <w:rFonts w:hint="default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</w:pP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Supplementary Figure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bidi="ar"/>
        </w:rPr>
        <w:t>6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.</w:t>
      </w:r>
      <w:r>
        <w:rPr>
          <w:rFonts w:ascii="TimesNewRomanPS-BoldMT" w:hAnsi="TimesNewRomanPS-BoldMT" w:eastAsia="TimesNewRomanPS-BoldMT" w:cs="TimesNewRomanPS-BoldMT"/>
          <w:b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Relative abundances at the phylum level, the family level and the genus level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of bacterial composition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between high-responder group and low-responder group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.</w:t>
      </w:r>
      <w:r>
        <w:rPr>
          <w:rFonts w:ascii="Times New Roman" w:hAnsi="Times New Roman" w:eastAsia="TimesNewRomanPS-BoldMT" w:cs="Times New Roman"/>
          <w:b/>
          <w:color w:val="00000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TimesNewRomanPS-BoldMT" w:cs="Times New Roman"/>
          <w:bCs/>
          <w:color w:val="000000"/>
          <w:sz w:val="18"/>
          <w:szCs w:val="18"/>
          <w:lang w:bidi="ar"/>
        </w:rPr>
        <w:t>(A)</w:t>
      </w:r>
      <w:r>
        <w:rPr>
          <w:rFonts w:ascii="Times New Roman" w:hAnsi="Times New Roman" w:eastAsia="TimesNewRomanPS-BoldMT" w:cs="Times New Roman"/>
          <w:b/>
          <w:color w:val="000000"/>
          <w:sz w:val="18"/>
          <w:szCs w:val="18"/>
          <w:lang w:bidi="ar"/>
        </w:rPr>
        <w:t xml:space="preserve"> 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Relative abundance at the phylum level. 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(B)</w:t>
      </w:r>
      <w:r>
        <w:rPr>
          <w:rFonts w:hint="eastAsia" w:ascii="Times New Roman" w:hAnsi="Times New Roman" w:eastAsia="TimesNewRomanPSMT" w:cs="Times New Roman"/>
          <w:color w:val="000000"/>
          <w:sz w:val="18"/>
          <w:szCs w:val="18"/>
          <w:lang w:bidi="ar"/>
        </w:rPr>
        <w:t xml:space="preserve"> Relative abundance at the family level.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(</w:t>
      </w:r>
      <w:r>
        <w:rPr>
          <w:rFonts w:hint="eastAsia" w:ascii="Times New Roman" w:hAnsi="Times New Roman" w:eastAsia="TimesNewRomanPSMT" w:cs="Times New Roman"/>
          <w:color w:val="000000"/>
          <w:sz w:val="18"/>
          <w:szCs w:val="18"/>
          <w:lang w:bidi="ar"/>
        </w:rPr>
        <w:t>C</w:t>
      </w:r>
      <w:r>
        <w:rPr>
          <w:rFonts w:ascii="Times New Roman" w:hAnsi="Times New Roman" w:eastAsia="TimesNewRomanPSMT" w:cs="Times New Roman"/>
          <w:color w:val="000000"/>
          <w:sz w:val="18"/>
          <w:szCs w:val="18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>Relative abundance at the genus level.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452360"/>
            <wp:effectExtent l="0" t="0" r="3810" b="0"/>
            <wp:docPr id="2" name="图片 2" descr="微信图片_2020112401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112401165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</w:pPr>
    </w:p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</w:pP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Supplementary Figure 7. The linear 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>correlation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between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the relative abundance of the genera </w:t>
      </w:r>
      <w:r>
        <w:rPr>
          <w:rFonts w:ascii="TimesNewRomanPSMT" w:hAnsi="TimesNewRomanPSMT" w:eastAsia="TimesNewRomanPSMT" w:cs="TimesNewRomanPSMT"/>
          <w:i/>
          <w:iCs/>
          <w:color w:val="000000"/>
          <w:sz w:val="18"/>
          <w:szCs w:val="18"/>
          <w:lang w:bidi="ar"/>
        </w:rPr>
        <w:t>Subdoligranulum</w:t>
      </w:r>
      <w:r>
        <w:rPr>
          <w:rFonts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levels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with psychometric indicators of resilienc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e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(A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-B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), depression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C-D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) and mindfulness (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E-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F)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 among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high-responder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s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 xml:space="preserve">(HR) 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>and low-responder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s</w:t>
      </w:r>
      <w:r>
        <w:rPr>
          <w:rFonts w:hint="eastAsia" w:ascii="TimesNewRomanPSMT" w:hAnsi="TimesNewRomanPSMT" w:eastAsia="TimesNewRomanPSMT" w:cs="TimesNewRomanPSMT"/>
          <w:color w:val="000000"/>
          <w:sz w:val="18"/>
          <w:szCs w:val="18"/>
          <w:lang w:bidi="ar"/>
        </w:rPr>
        <w:t xml:space="preserve"> </w:t>
      </w:r>
      <w:r>
        <w:rPr>
          <w:rFonts w:hint="eastAsia" w:ascii="TimesNewRomanPSMT" w:hAnsi="TimesNewRomanPSMT" w:eastAsia="宋体" w:cs="TimesNewRomanPSMT"/>
          <w:color w:val="000000"/>
          <w:sz w:val="18"/>
          <w:szCs w:val="18"/>
          <w:lang w:val="en-US" w:eastAsia="zh-CN" w:bidi="ar"/>
        </w:rPr>
        <w:t>(LR).</w:t>
      </w: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  <w:r>
        <w:rPr>
          <w:rFonts w:hint="eastAsia" w:ascii="Times New Roman" w:hAnsi="Times New Roman" w:eastAsia="Arial Unicode MS"/>
          <w:iCs/>
          <w:sz w:val="24"/>
          <w:szCs w:val="20"/>
        </w:rPr>
        <w:drawing>
          <wp:inline distT="0" distB="0" distL="114300" distR="114300">
            <wp:extent cx="4669155" cy="6316980"/>
            <wp:effectExtent l="0" t="0" r="9525" b="7620"/>
            <wp:docPr id="5" name="图片 5" descr="微信图片_20201123233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112323343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9155" cy="6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p>
      <w:pPr>
        <w:widowControl/>
        <w:rPr>
          <w:rFonts w:ascii="TimesNewRomanPSMT" w:hAnsi="TimesNewRomanPSMT" w:eastAsia="TimesNewRomanPSMT" w:cs="TimesNewRomanPSMT"/>
          <w:b/>
          <w:bCs/>
          <w:color w:val="000000"/>
          <w:sz w:val="18"/>
          <w:szCs w:val="18"/>
          <w:lang w:bidi="ar"/>
        </w:rPr>
      </w:pPr>
      <w:r>
        <w:rPr>
          <w:rFonts w:hint="eastAsia" w:ascii="TimesNewRomanPSMT" w:hAnsi="TimesNewRomanPSMT" w:eastAsia="TimesNewRomanPSMT" w:cs="TimesNewRomanPSMT"/>
          <w:b/>
          <w:bCs/>
          <w:color w:val="000000"/>
          <w:sz w:val="18"/>
          <w:szCs w:val="18"/>
          <w:lang w:bidi="ar"/>
        </w:rPr>
        <w:t>Supplementary Table S1. Mixed model.</w:t>
      </w:r>
    </w:p>
    <w:tbl>
      <w:tblPr>
        <w:tblStyle w:val="2"/>
        <w:tblW w:w="684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748"/>
        <w:gridCol w:w="2428"/>
        <w:gridCol w:w="9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Nutrients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Mean±SD</w:t>
            </w:r>
          </w:p>
        </w:tc>
        <w:tc>
          <w:tcPr>
            <w:tcW w:w="24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Coefficients (95%CI)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Calories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0w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1625.56±194.72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8w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1088.46±194.72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537.10 (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1067.28 to 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6.92)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0.046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12w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1848.15±194.72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222.59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-307.59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to 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752.77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0.901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Protein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0w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81.40±10.52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8w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51.44±10.52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29.96 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(66.23 to 6.31)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0.137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12w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76.89±10.52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4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50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40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77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to 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31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76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Fat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0w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52.65±7.48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8w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34.27±7.48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18.38 (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39.89 to 3.12)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0.116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12w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56.33±7.48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3.68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(-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17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83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to 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25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18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Fiber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0w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6.46±0.99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8w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4.51±0.99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1.96 (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4.76 to 0.86)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0.271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12w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5.94±0.99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5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3 (-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35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to 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9)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Carbohydrate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0w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204.64±29.28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8w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143.96±29.28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60.69 (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143.94 to 22.57)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0.228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 12w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258.10±29.28</w:t>
            </w:r>
          </w:p>
        </w:tc>
        <w:tc>
          <w:tcPr>
            <w:tcW w:w="24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53.46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(-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29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79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 xml:space="preserve"> to 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136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72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TimesNewRomanPSMT" w:hAnsi="TimesNewRomanPSMT" w:eastAsia="宋体" w:cs="TimesNewRomanPSMT"/>
                <w:color w:val="000000"/>
                <w:sz w:val="18"/>
                <w:szCs w:val="18"/>
                <w:lang w:bidi="ar"/>
              </w:rPr>
              <w:t>0.349</w:t>
            </w:r>
          </w:p>
        </w:tc>
      </w:tr>
    </w:tbl>
    <w:p>
      <w:pPr>
        <w:rPr>
          <w:rFonts w:ascii="Times New Roman" w:hAnsi="Times New Roman" w:eastAsia="宋体" w:cs="Times New Roman"/>
          <w:color w:val="000000"/>
          <w:sz w:val="18"/>
          <w:szCs w:val="18"/>
        </w:rPr>
      </w:pPr>
      <w:r>
        <w:rPr>
          <w:rFonts w:hint="eastAsia" w:ascii="Times New Roman" w:hAnsi="Times New Roman" w:eastAsia="宋体" w:cs="Times New Roman"/>
          <w:color w:val="000000"/>
          <w:sz w:val="18"/>
          <w:szCs w:val="18"/>
        </w:rPr>
        <w:t xml:space="preserve">Note: </w:t>
      </w:r>
      <w:r>
        <w:rPr>
          <w:rFonts w:ascii="Times New Roman" w:hAnsi="Times New Roman" w:eastAsia="宋体" w:cs="Times New Roman"/>
          <w:color w:val="000000"/>
          <w:sz w:val="18"/>
          <w:szCs w:val="18"/>
        </w:rPr>
        <w:t>Results of mixed models looking at the data longitudinally.</w:t>
      </w:r>
    </w:p>
    <w:p>
      <w:pPr>
        <w:rPr>
          <w:rFonts w:ascii="Times New Roman" w:hAnsi="Times New Roman" w:eastAsia="宋体"/>
          <w:b/>
          <w:bCs/>
          <w:szCs w:val="21"/>
        </w:rPr>
      </w:pPr>
    </w:p>
    <w:p>
      <w:pPr>
        <w:jc w:val="center"/>
        <w:rPr>
          <w:rFonts w:hint="eastAsia" w:ascii="Times New Roman" w:hAnsi="Times New Roman" w:eastAsia="Arial Unicode MS"/>
          <w:iCs/>
          <w:sz w:val="24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A2BCE"/>
    <w:rsid w:val="06D74E8C"/>
    <w:rsid w:val="08AC3371"/>
    <w:rsid w:val="0C8F07A1"/>
    <w:rsid w:val="25B90F97"/>
    <w:rsid w:val="2B2A2BCE"/>
    <w:rsid w:val="357B49A3"/>
    <w:rsid w:val="360E6183"/>
    <w:rsid w:val="38AE3F06"/>
    <w:rsid w:val="3B530188"/>
    <w:rsid w:val="60E64182"/>
    <w:rsid w:val="778D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2020-11-16T07:14:00Z</dcterms:created>
  <dc:creator>shirleyw</dc:creator>
  <cp:lastModifiedBy>shirleyw</cp:lastModifiedBy>
  <dcterms:modified xsi:type="dcterms:W3CDTF">2020-12-07T09:25:13Z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