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489DA8">
      <w:pPr>
        <w:rPr>
          <w:rFonts w:hint="default" w:ascii="Times New Roman" w:hAnsi="Times New Roman" w:cs="Times New Roman"/>
          <w:b w:val="0"/>
          <w:bCs w:val="0"/>
          <w:sz w:val="24"/>
          <w:szCs w:val="24"/>
        </w:rPr>
      </w:pPr>
      <w:r>
        <w:rPr>
          <w:rFonts w:hint="default" w:ascii="Times New Roman" w:hAnsi="Times New Roman" w:cs="Times New Roman"/>
          <w:b/>
          <w:bCs/>
          <w:sz w:val="24"/>
          <w:szCs w:val="24"/>
        </w:rPr>
        <w:t xml:space="preserve">Supplemental Table </w:t>
      </w:r>
      <w:r>
        <w:rPr>
          <w:rFonts w:hint="eastAsia" w:ascii="Times New Roman" w:hAnsi="Times New Roman" w:cs="Times New Roman"/>
          <w:b/>
          <w:bCs/>
          <w:sz w:val="24"/>
          <w:szCs w:val="24"/>
          <w:lang w:val="en-US" w:eastAsia="zh-CN"/>
        </w:rPr>
        <w:t>6</w:t>
      </w:r>
      <w:r>
        <w:rPr>
          <w:rFonts w:hint="default" w:ascii="Times New Roman" w:hAnsi="Times New Roman" w:cs="Times New Roman"/>
          <w:b/>
          <w:bCs/>
          <w:sz w:val="24"/>
          <w:szCs w:val="24"/>
        </w:rPr>
        <w:t>.</w:t>
      </w:r>
      <w:bookmarkStart w:id="0" w:name="_GoBack"/>
      <w:bookmarkEnd w:id="0"/>
      <w:r>
        <w:rPr>
          <w:rFonts w:hint="default" w:ascii="Times New Roman" w:hAnsi="Times New Roman" w:cs="Times New Roman"/>
          <w:b w:val="0"/>
          <w:bCs w:val="0"/>
          <w:sz w:val="24"/>
          <w:szCs w:val="24"/>
        </w:rPr>
        <w:t xml:space="preserve">Additional </w:t>
      </w:r>
      <w:r>
        <w:rPr>
          <w:rFonts w:hint="eastAsia" w:ascii="Times New Roman" w:hAnsi="Times New Roman" w:cs="Times New Roman"/>
          <w:b w:val="0"/>
          <w:bCs w:val="0"/>
          <w:sz w:val="24"/>
          <w:szCs w:val="24"/>
          <w:lang w:val="en-US" w:eastAsia="zh-CN"/>
        </w:rPr>
        <w:t>e</w:t>
      </w:r>
      <w:r>
        <w:rPr>
          <w:rFonts w:hint="default" w:ascii="Times New Roman" w:hAnsi="Times New Roman" w:cs="Times New Roman"/>
          <w:b w:val="0"/>
          <w:bCs w:val="0"/>
          <w:sz w:val="24"/>
          <w:szCs w:val="24"/>
        </w:rPr>
        <w:t xml:space="preserve">xperimental </w:t>
      </w:r>
      <w:r>
        <w:rPr>
          <w:rFonts w:hint="eastAsia" w:ascii="Times New Roman" w:hAnsi="Times New Roman" w:cs="Times New Roman"/>
          <w:b w:val="0"/>
          <w:bCs w:val="0"/>
          <w:sz w:val="24"/>
          <w:szCs w:val="24"/>
          <w:lang w:val="en-US" w:eastAsia="zh-CN"/>
        </w:rPr>
        <w:t>m</w:t>
      </w:r>
      <w:r>
        <w:rPr>
          <w:rFonts w:hint="default" w:ascii="Times New Roman" w:hAnsi="Times New Roman" w:cs="Times New Roman"/>
          <w:b w:val="0"/>
          <w:bCs w:val="0"/>
          <w:sz w:val="24"/>
          <w:szCs w:val="24"/>
        </w:rPr>
        <w:t xml:space="preserve">ethodologies </w:t>
      </w:r>
      <w:r>
        <w:rPr>
          <w:rFonts w:hint="eastAsia" w:ascii="Times New Roman" w:hAnsi="Times New Roman" w:cs="Times New Roman"/>
          <w:b w:val="0"/>
          <w:bCs w:val="0"/>
          <w:sz w:val="24"/>
          <w:szCs w:val="24"/>
          <w:lang w:val="en-US" w:eastAsia="zh-CN"/>
        </w:rPr>
        <w:t>i</w:t>
      </w:r>
      <w:r>
        <w:rPr>
          <w:rFonts w:hint="default" w:ascii="Times New Roman" w:hAnsi="Times New Roman" w:cs="Times New Roman"/>
          <w:b w:val="0"/>
          <w:bCs w:val="0"/>
          <w:sz w:val="24"/>
          <w:szCs w:val="24"/>
        </w:rPr>
        <w:t xml:space="preserve">ncluded in </w:t>
      </w:r>
      <w:r>
        <w:rPr>
          <w:rFonts w:hint="eastAsia" w:ascii="Times New Roman" w:hAnsi="Times New Roman" w:cs="Times New Roman"/>
          <w:b w:val="0"/>
          <w:bCs w:val="0"/>
          <w:sz w:val="24"/>
          <w:szCs w:val="24"/>
          <w:lang w:val="en-US" w:eastAsia="zh-CN"/>
        </w:rPr>
        <w:t>t</w:t>
      </w:r>
      <w:r>
        <w:rPr>
          <w:rFonts w:hint="default" w:ascii="Times New Roman" w:hAnsi="Times New Roman" w:cs="Times New Roman"/>
          <w:b w:val="0"/>
          <w:bCs w:val="0"/>
          <w:sz w:val="24"/>
          <w:szCs w:val="24"/>
        </w:rPr>
        <w:t xml:space="preserve">his </w:t>
      </w:r>
      <w:r>
        <w:rPr>
          <w:rFonts w:hint="eastAsia" w:ascii="Times New Roman" w:hAnsi="Times New Roman" w:cs="Times New Roman"/>
          <w:b w:val="0"/>
          <w:bCs w:val="0"/>
          <w:sz w:val="24"/>
          <w:szCs w:val="24"/>
          <w:lang w:val="en-US" w:eastAsia="zh-CN"/>
        </w:rPr>
        <w:t>s</w:t>
      </w:r>
      <w:r>
        <w:rPr>
          <w:rFonts w:hint="default" w:ascii="Times New Roman" w:hAnsi="Times New Roman" w:cs="Times New Roman"/>
          <w:b w:val="0"/>
          <w:bCs w:val="0"/>
          <w:sz w:val="24"/>
          <w:szCs w:val="24"/>
        </w:rPr>
        <w:t>tudy.</w:t>
      </w:r>
    </w:p>
    <w:p w14:paraId="235DAA3C">
      <w:pPr>
        <w:widowControl/>
        <w:rPr>
          <w:rFonts w:ascii="Times New Roman" w:hAnsi="Times New Roman" w:eastAsia="AdvPSA183" w:cs="Times New Roman"/>
          <w:b/>
          <w:bCs/>
          <w:color w:val="000000"/>
          <w:kern w:val="0"/>
          <w:sz w:val="24"/>
          <w:lang w:bidi="ar"/>
        </w:rPr>
      </w:pPr>
    </w:p>
    <w:p w14:paraId="03405CDB">
      <w:pPr>
        <w:widowControl/>
        <w:rPr>
          <w:rFonts w:ascii="Times New Roman" w:hAnsi="Times New Roman" w:eastAsia="AdvPSA183" w:cs="Times New Roman"/>
          <w:b/>
          <w:bCs/>
          <w:color w:val="000000"/>
          <w:kern w:val="0"/>
          <w:sz w:val="24"/>
          <w:lang w:bidi="ar"/>
        </w:rPr>
      </w:pPr>
      <w:r>
        <w:rPr>
          <w:rFonts w:ascii="Times New Roman" w:hAnsi="Times New Roman" w:eastAsia="AdvPSA183" w:cs="Times New Roman"/>
          <w:b/>
          <w:bCs/>
          <w:color w:val="000000"/>
          <w:kern w:val="0"/>
          <w:sz w:val="24"/>
          <w:lang w:bidi="ar"/>
        </w:rPr>
        <w:t>Quantitative real-time PCR (qRT-PCR)</w:t>
      </w:r>
    </w:p>
    <w:p w14:paraId="5B55DA3F">
      <w:pPr>
        <w:widowControl/>
        <w:rPr>
          <w:rFonts w:ascii="Times New Roman" w:hAnsi="Times New Roman" w:eastAsia="AdvPSA183" w:cs="Times New Roman"/>
          <w:b/>
          <w:bCs/>
          <w:color w:val="000000"/>
          <w:kern w:val="0"/>
          <w:sz w:val="24"/>
          <w:lang w:bidi="ar"/>
        </w:rPr>
      </w:pPr>
      <w:r>
        <w:rPr>
          <w:rFonts w:hint="eastAsia" w:ascii="Times New Roman" w:hAnsi="Times New Roman" w:eastAsia="AdvPSA183" w:cs="Times New Roman"/>
          <w:color w:val="000000"/>
          <w:kern w:val="0"/>
          <w:sz w:val="24"/>
          <w:lang w:bidi="ar"/>
        </w:rPr>
        <w:t xml:space="preserve">Total RNA was extracted from tissues and cell lines using Trizol reagent, and reverse </w:t>
      </w:r>
      <w:r>
        <w:rPr>
          <w:rFonts w:hint="default" w:ascii="Times New Roman" w:hAnsi="Times New Roman" w:eastAsia="AdvPSA183" w:cs="Times New Roman"/>
          <w:color w:val="000000"/>
          <w:kern w:val="0"/>
          <w:sz w:val="24"/>
          <w:lang w:bidi="ar"/>
        </w:rPr>
        <w:t>transcription was carried out using Takara PrimeScriptTM RT Master Mix. The obtained cDNA was subjected to PCR using SYBR Green Master PCR Mix (Applied Biosystem). All PCR reactions were conducted in triplicate on the ABI Prism 7500 system (Applied Biosystems, Carlsbad, CA, USA). All data were normalized relative to the β</w:t>
      </w:r>
      <w:r>
        <w:rPr>
          <w:rFonts w:hint="eastAsia" w:ascii="Times New Roman" w:hAnsi="Times New Roman" w:eastAsia="宋体" w:cs="Times New Roman"/>
          <w:color w:val="000000"/>
          <w:kern w:val="0"/>
          <w:sz w:val="24"/>
          <w:lang w:val="en-US" w:eastAsia="zh-CN" w:bidi="ar"/>
        </w:rPr>
        <w:t>-</w:t>
      </w:r>
      <w:r>
        <w:rPr>
          <w:rFonts w:hint="default" w:ascii="Times New Roman" w:hAnsi="Times New Roman" w:eastAsia="AdvPSA183" w:cs="Times New Roman"/>
          <w:color w:val="000000"/>
          <w:kern w:val="0"/>
          <w:sz w:val="24"/>
          <w:lang w:bidi="ar"/>
        </w:rPr>
        <w:t>ACTIN control of each sample. Relative quantification values of each target gene, compared to the target's calibration standard, are expressed as 2- (Ct Cc) (where Ct and Cc represent the average threshold cycle differences normalized to</w:t>
      </w:r>
      <w:r>
        <w:rPr>
          <w:rFonts w:hint="eastAsia" w:ascii="Times New Roman" w:hAnsi="Times New Roman" w:eastAsia="宋体" w:cs="Times New Roman"/>
          <w:color w:val="000000"/>
          <w:kern w:val="0"/>
          <w:sz w:val="24"/>
          <w:lang w:val="en-US" w:eastAsia="zh-CN" w:bidi="ar"/>
        </w:rPr>
        <w:t xml:space="preserve"> </w:t>
      </w:r>
      <w:r>
        <w:rPr>
          <w:rFonts w:hint="default" w:ascii="Times New Roman" w:hAnsi="Times New Roman" w:eastAsia="AdvPSA183" w:cs="Times New Roman"/>
          <w:color w:val="000000"/>
          <w:kern w:val="0"/>
          <w:sz w:val="24"/>
          <w:lang w:bidi="ar"/>
        </w:rPr>
        <w:t>β</w:t>
      </w:r>
      <w:r>
        <w:rPr>
          <w:rFonts w:hint="eastAsia" w:ascii="Times New Roman" w:hAnsi="Times New Roman" w:eastAsia="宋体" w:cs="Times New Roman"/>
          <w:color w:val="000000"/>
          <w:kern w:val="0"/>
          <w:sz w:val="24"/>
          <w:lang w:val="en-US" w:eastAsia="zh-CN" w:bidi="ar"/>
        </w:rPr>
        <w:t>-</w:t>
      </w:r>
      <w:r>
        <w:rPr>
          <w:rFonts w:hint="default" w:ascii="Times New Roman" w:hAnsi="Times New Roman" w:eastAsia="AdvPSA183" w:cs="Times New Roman"/>
          <w:color w:val="000000"/>
          <w:kern w:val="0"/>
          <w:sz w:val="24"/>
          <w:lang w:bidi="ar"/>
        </w:rPr>
        <w:t>ACTIN ). q</w:t>
      </w:r>
      <w:r>
        <w:rPr>
          <w:rFonts w:hint="eastAsia" w:ascii="Times New Roman" w:hAnsi="Times New Roman" w:eastAsia="宋体" w:cs="Times New Roman"/>
          <w:color w:val="000000"/>
          <w:kern w:val="0"/>
          <w:sz w:val="24"/>
          <w:lang w:val="en-US" w:eastAsia="zh-CN" w:bidi="ar"/>
        </w:rPr>
        <w:t>RT-</w:t>
      </w:r>
      <w:r>
        <w:rPr>
          <w:rFonts w:hint="default" w:ascii="Times New Roman" w:hAnsi="Times New Roman" w:eastAsia="AdvPSA183" w:cs="Times New Roman"/>
          <w:color w:val="000000"/>
          <w:kern w:val="0"/>
          <w:sz w:val="24"/>
          <w:lang w:bidi="ar"/>
        </w:rPr>
        <w:t>PCR primers, designed using NCBI Primer</w:t>
      </w:r>
      <w:r>
        <w:rPr>
          <w:rFonts w:hint="eastAsia" w:ascii="Times New Roman" w:hAnsi="Times New Roman" w:eastAsia="宋体" w:cs="Times New Roman"/>
          <w:color w:val="000000"/>
          <w:kern w:val="0"/>
          <w:sz w:val="24"/>
          <w:lang w:val="en-US" w:eastAsia="zh-CN" w:bidi="ar"/>
        </w:rPr>
        <w:t>-</w:t>
      </w:r>
      <w:r>
        <w:rPr>
          <w:rFonts w:hint="default" w:ascii="Times New Roman" w:hAnsi="Times New Roman" w:eastAsia="AdvPSA183" w:cs="Times New Roman"/>
          <w:color w:val="000000"/>
          <w:kern w:val="0"/>
          <w:sz w:val="24"/>
          <w:lang w:bidi="ar"/>
        </w:rPr>
        <w:t>BLAST, are detailed in Supplementary Table S3.</w:t>
      </w:r>
    </w:p>
    <w:p w14:paraId="65BF2E7B">
      <w:pPr>
        <w:widowControl/>
        <w:rPr>
          <w:rFonts w:ascii="Times New Roman" w:hAnsi="Times New Roman" w:eastAsia="AdvPSA183" w:cs="Times New Roman"/>
          <w:color w:val="000000"/>
          <w:kern w:val="0"/>
          <w:sz w:val="24"/>
          <w:lang w:bidi="ar"/>
        </w:rPr>
      </w:pPr>
    </w:p>
    <w:p w14:paraId="6B56B14F">
      <w:pPr>
        <w:widowControl/>
        <w:rPr>
          <w:rFonts w:hint="eastAsia" w:ascii="Times New Roman" w:hAnsi="Times New Roman" w:eastAsia="AdvPSA183" w:cs="Times New Roman"/>
          <w:b/>
          <w:bCs/>
          <w:color w:val="000000"/>
          <w:kern w:val="0"/>
          <w:sz w:val="24"/>
          <w:lang w:bidi="ar"/>
        </w:rPr>
      </w:pPr>
      <w:r>
        <w:rPr>
          <w:rFonts w:hint="eastAsia" w:ascii="Times New Roman" w:hAnsi="Times New Roman" w:eastAsia="AdvPSA183" w:cs="Times New Roman"/>
          <w:b/>
          <w:bCs/>
          <w:color w:val="000000"/>
          <w:kern w:val="0"/>
          <w:sz w:val="24"/>
          <w:lang w:bidi="ar"/>
        </w:rPr>
        <w:t>Western blot</w:t>
      </w:r>
    </w:p>
    <w:p w14:paraId="67A1B890">
      <w:pPr>
        <w:widowControl/>
        <w:rPr>
          <w:rFonts w:hint="eastAsia" w:ascii="Times New Roman" w:hAnsi="Times New Roman" w:eastAsia="AdvPSA183" w:cs="Times New Roman"/>
          <w:color w:val="000000"/>
          <w:kern w:val="0"/>
          <w:sz w:val="24"/>
          <w:lang w:bidi="ar"/>
        </w:rPr>
      </w:pPr>
      <w:r>
        <w:rPr>
          <w:rFonts w:hint="default" w:ascii="Times New Roman" w:hAnsi="Times New Roman" w:eastAsia="AdvPSA183" w:cs="Times New Roman"/>
          <w:color w:val="000000"/>
          <w:kern w:val="0"/>
          <w:sz w:val="24"/>
          <w:lang w:bidi="ar"/>
        </w:rPr>
        <w:t xml:space="preserve">Separate total proteins extracted from cells by 8% - 12% SDS-PAGE and transfer them onto </w:t>
      </w:r>
      <w:r>
        <w:rPr>
          <w:rFonts w:hint="eastAsia" w:ascii="Times New Roman" w:hAnsi="Times New Roman" w:eastAsia="宋体" w:cs="Times New Roman"/>
          <w:color w:val="000000"/>
          <w:kern w:val="0"/>
          <w:sz w:val="24"/>
          <w:lang w:val="en-US" w:eastAsia="zh-CN" w:bidi="ar"/>
        </w:rPr>
        <w:t>PVDF</w:t>
      </w:r>
      <w:r>
        <w:rPr>
          <w:rFonts w:hint="default" w:ascii="Times New Roman" w:hAnsi="Times New Roman" w:eastAsia="AdvPSA183" w:cs="Times New Roman"/>
          <w:color w:val="000000"/>
          <w:kern w:val="0"/>
          <w:sz w:val="24"/>
          <w:lang w:bidi="ar"/>
        </w:rPr>
        <w:t xml:space="preserve"> membranes. Block the membranes with a blocking buffer and incubate overnight with primary antibodies at 4°C. After washing with a washing buffer, the membranes were probed with HRP-conjugated secondary antibodies and visualized using an enhanced chemiluminescence reagent (Pierce, Rockford, IL, USA). β-actin (Cat # A3854, Sigma) served as a loading control. Detection of antibody conjugates was accomplished via chemiluminescence visualization (cat. # 34076, Thermo Fisher Scientific).</w:t>
      </w:r>
    </w:p>
    <w:p w14:paraId="2BBEFB0E">
      <w:pPr>
        <w:widowControl/>
        <w:rPr>
          <w:rFonts w:ascii="Times New Roman" w:hAnsi="Times New Roman" w:cs="Times New Roman"/>
          <w:color w:val="000000"/>
          <w:sz w:val="24"/>
        </w:rPr>
      </w:pPr>
    </w:p>
    <w:p w14:paraId="37FFAB36">
      <w:pPr>
        <w:widowControl/>
        <w:rPr>
          <w:rFonts w:ascii="Times New Roman" w:hAnsi="Times New Roman" w:eastAsia="AdvPSA183" w:cs="Times New Roman"/>
          <w:b/>
          <w:bCs/>
          <w:color w:val="000000"/>
          <w:kern w:val="0"/>
          <w:sz w:val="24"/>
          <w:lang w:bidi="ar"/>
        </w:rPr>
      </w:pPr>
      <w:r>
        <w:rPr>
          <w:rFonts w:hint="eastAsia" w:ascii="Times New Roman" w:hAnsi="Times New Roman" w:eastAsia="AdvPSA183" w:cs="Times New Roman"/>
          <w:b/>
          <w:bCs/>
          <w:color w:val="000000"/>
          <w:kern w:val="0"/>
          <w:sz w:val="24"/>
          <w:lang w:bidi="ar"/>
        </w:rPr>
        <w:t>Cell proliferation and migration assays</w:t>
      </w:r>
    </w:p>
    <w:p w14:paraId="02FF9F24">
      <w:pPr>
        <w:widowControl/>
        <w:rPr>
          <w:rFonts w:hint="eastAsia" w:ascii="Times New Roman" w:hAnsi="Times New Roman" w:cs="Times New Roman"/>
          <w:color w:val="000000"/>
          <w:sz w:val="24"/>
        </w:rPr>
      </w:pPr>
      <w:r>
        <w:rPr>
          <w:rFonts w:hint="eastAsia" w:ascii="Times New Roman" w:hAnsi="Times New Roman" w:cs="Times New Roman"/>
          <w:color w:val="000000"/>
          <w:sz w:val="24"/>
        </w:rPr>
        <w:t>Cells were dispersed in 96-well plates</w:t>
      </w:r>
      <w:r>
        <w:rPr>
          <w:rFonts w:hint="eastAsia" w:ascii="Times New Roman" w:hAnsi="Times New Roman" w:cs="Times New Roman"/>
          <w:color w:val="000000"/>
          <w:sz w:val="24"/>
          <w:lang w:val="en-US" w:eastAsia="zh-CN"/>
        </w:rPr>
        <w:t xml:space="preserve"> </w:t>
      </w:r>
      <w:r>
        <w:rPr>
          <w:rFonts w:hint="eastAsia" w:ascii="Times New Roman" w:hAnsi="Times New Roman" w:cs="Times New Roman"/>
          <w:color w:val="000000"/>
          <w:sz w:val="24"/>
        </w:rPr>
        <w:t xml:space="preserve">at </w:t>
      </w:r>
      <w:r>
        <w:rPr>
          <w:rFonts w:hint="eastAsia" w:ascii="Times New Roman" w:hAnsi="Times New Roman" w:cs="Times New Roman"/>
          <w:color w:val="000000"/>
          <w:sz w:val="24"/>
          <w:lang w:val="en-US" w:eastAsia="zh-CN"/>
        </w:rPr>
        <w:t>the</w:t>
      </w:r>
      <w:r>
        <w:rPr>
          <w:rFonts w:hint="eastAsia" w:ascii="Times New Roman" w:hAnsi="Times New Roman" w:cs="Times New Roman"/>
          <w:color w:val="000000"/>
          <w:sz w:val="24"/>
        </w:rPr>
        <w:t xml:space="preserve"> </w:t>
      </w:r>
      <w:r>
        <w:rPr>
          <w:rFonts w:hint="eastAsia" w:ascii="Times New Roman" w:hAnsi="Times New Roman" w:cs="Times New Roman"/>
          <w:color w:val="000000"/>
          <w:sz w:val="24"/>
          <w:lang w:val="en-US" w:eastAsia="zh-CN"/>
        </w:rPr>
        <w:t>counts</w:t>
      </w:r>
      <w:r>
        <w:rPr>
          <w:rFonts w:hint="eastAsia" w:ascii="Times New Roman" w:hAnsi="Times New Roman" w:cs="Times New Roman"/>
          <w:color w:val="000000"/>
          <w:sz w:val="24"/>
        </w:rPr>
        <w:t xml:space="preserve"> of 1000 cells/well. And their proliferation</w:t>
      </w:r>
      <w:r>
        <w:rPr>
          <w:rFonts w:hint="eastAsia" w:ascii="Times New Roman" w:hAnsi="Times New Roman" w:cs="Times New Roman"/>
          <w:color w:val="000000"/>
          <w:sz w:val="24"/>
          <w:lang w:val="en-US" w:eastAsia="zh-CN"/>
        </w:rPr>
        <w:t xml:space="preserve"> </w:t>
      </w:r>
      <w:r>
        <w:rPr>
          <w:rFonts w:hint="eastAsia" w:ascii="Times New Roman" w:hAnsi="Times New Roman" w:cs="Times New Roman"/>
          <w:color w:val="000000"/>
          <w:sz w:val="24"/>
        </w:rPr>
        <w:t>ability was detecte</w:t>
      </w:r>
      <w:r>
        <w:rPr>
          <w:rFonts w:ascii="宋体" w:hAnsi="宋体" w:eastAsia="宋体" w:cs="宋体"/>
          <w:sz w:val="24"/>
          <w:szCs w:val="24"/>
        </w:rPr>
        <w:t>d</w:t>
      </w:r>
      <w:r>
        <w:rPr>
          <w:rFonts w:hint="eastAsia" w:ascii="Times New Roman" w:hAnsi="Times New Roman" w:cs="Times New Roman"/>
          <w:color w:val="000000"/>
          <w:sz w:val="24"/>
        </w:rPr>
        <w:t xml:space="preserve"> </w:t>
      </w:r>
      <w:r>
        <w:rPr>
          <w:rFonts w:hint="eastAsia" w:ascii="Times New Roman" w:hAnsi="Times New Roman" w:cs="Times New Roman"/>
          <w:color w:val="000000"/>
          <w:sz w:val="24"/>
          <w:lang w:val="en-US" w:eastAsia="zh-CN"/>
        </w:rPr>
        <w:t>by</w:t>
      </w:r>
      <w:r>
        <w:rPr>
          <w:rFonts w:hint="eastAsia" w:ascii="Times New Roman" w:hAnsi="Times New Roman" w:cs="Times New Roman"/>
          <w:color w:val="000000"/>
          <w:sz w:val="24"/>
        </w:rPr>
        <w:t xml:space="preserve"> Cell Counting Kit-8 (CCK8) (Dojindo, Kumamoto, Japan) . For cell</w:t>
      </w:r>
      <w:r>
        <w:rPr>
          <w:rFonts w:hint="eastAsia" w:ascii="Times New Roman" w:hAnsi="Times New Roman" w:cs="Times New Roman"/>
          <w:color w:val="000000"/>
          <w:sz w:val="24"/>
          <w:lang w:val="en-US" w:eastAsia="zh-CN"/>
        </w:rPr>
        <w:t>s</w:t>
      </w:r>
      <w:r>
        <w:rPr>
          <w:rFonts w:hint="eastAsia" w:ascii="Times New Roman" w:hAnsi="Times New Roman" w:cs="Times New Roman"/>
          <w:color w:val="000000"/>
          <w:sz w:val="24"/>
        </w:rPr>
        <w:t xml:space="preserve"> migration ability, cells were seeded 24-well transwell plate (Corning, Costar 3422)</w:t>
      </w:r>
      <w:r>
        <w:rPr>
          <w:rFonts w:hint="eastAsia" w:ascii="Times New Roman" w:hAnsi="Times New Roman" w:cs="Times New Roman"/>
          <w:color w:val="000000"/>
          <w:sz w:val="24"/>
          <w:lang w:val="en-US" w:eastAsia="zh-CN"/>
        </w:rPr>
        <w:t xml:space="preserve"> </w:t>
      </w:r>
      <w:r>
        <w:rPr>
          <w:rFonts w:hint="eastAsia" w:ascii="Times New Roman" w:hAnsi="Times New Roman" w:cs="Times New Roman"/>
          <w:color w:val="000000"/>
          <w:sz w:val="24"/>
        </w:rPr>
        <w:t xml:space="preserve">at </w:t>
      </w:r>
      <w:r>
        <w:rPr>
          <w:rFonts w:hint="eastAsia" w:ascii="Times New Roman" w:hAnsi="Times New Roman" w:cs="Times New Roman"/>
          <w:color w:val="000000"/>
          <w:sz w:val="24"/>
          <w:lang w:val="en-US" w:eastAsia="zh-CN"/>
        </w:rPr>
        <w:t>the</w:t>
      </w:r>
      <w:r>
        <w:rPr>
          <w:rFonts w:hint="eastAsia" w:ascii="Times New Roman" w:hAnsi="Times New Roman" w:cs="Times New Roman"/>
          <w:color w:val="000000"/>
          <w:sz w:val="24"/>
        </w:rPr>
        <w:t xml:space="preserve"> </w:t>
      </w:r>
      <w:r>
        <w:rPr>
          <w:rFonts w:hint="eastAsia" w:ascii="Times New Roman" w:hAnsi="Times New Roman" w:cs="Times New Roman"/>
          <w:color w:val="000000"/>
          <w:sz w:val="24"/>
          <w:lang w:val="en-US" w:eastAsia="zh-CN"/>
        </w:rPr>
        <w:t>counts</w:t>
      </w:r>
      <w:r>
        <w:rPr>
          <w:rFonts w:hint="eastAsia" w:ascii="Times New Roman" w:hAnsi="Times New Roman" w:cs="Times New Roman"/>
          <w:color w:val="000000"/>
          <w:sz w:val="24"/>
        </w:rPr>
        <w:t xml:space="preserve"> of 1000</w:t>
      </w:r>
      <w:r>
        <w:rPr>
          <w:rFonts w:hint="eastAsia" w:ascii="Times New Roman" w:hAnsi="Times New Roman" w:cs="Times New Roman"/>
          <w:color w:val="000000"/>
          <w:sz w:val="24"/>
          <w:lang w:val="en-US" w:eastAsia="zh-CN"/>
        </w:rPr>
        <w:t>0</w:t>
      </w:r>
      <w:r>
        <w:rPr>
          <w:rFonts w:hint="eastAsia" w:ascii="Times New Roman" w:hAnsi="Times New Roman" w:cs="Times New Roman"/>
          <w:color w:val="000000"/>
          <w:sz w:val="24"/>
        </w:rPr>
        <w:t xml:space="preserve"> cells/well. </w:t>
      </w:r>
      <w:r>
        <w:rPr>
          <w:rFonts w:hint="eastAsia" w:ascii="Times New Roman" w:hAnsi="Times New Roman" w:cs="Times New Roman"/>
          <w:color w:val="000000"/>
          <w:sz w:val="24"/>
          <w:lang w:val="en-US" w:eastAsia="zh-CN"/>
        </w:rPr>
        <w:t xml:space="preserve">The medium with </w:t>
      </w:r>
      <w:r>
        <w:rPr>
          <w:rFonts w:hint="eastAsia" w:ascii="Times New Roman" w:hAnsi="Times New Roman" w:cs="Times New Roman"/>
          <w:color w:val="000000"/>
          <w:sz w:val="24"/>
        </w:rPr>
        <w:t>10%</w:t>
      </w:r>
      <w:r>
        <w:rPr>
          <w:rFonts w:hint="eastAsia" w:ascii="Times New Roman" w:hAnsi="Times New Roman" w:cs="Times New Roman"/>
          <w:color w:val="000000"/>
          <w:sz w:val="24"/>
          <w:lang w:val="en-US" w:eastAsia="zh-CN"/>
        </w:rPr>
        <w:t xml:space="preserve"> f</w:t>
      </w:r>
      <w:r>
        <w:rPr>
          <w:rFonts w:hint="eastAsia" w:ascii="Times New Roman" w:hAnsi="Times New Roman" w:cs="Times New Roman"/>
          <w:color w:val="000000"/>
          <w:sz w:val="24"/>
        </w:rPr>
        <w:t xml:space="preserve">etal calf was added to the lower chamber. Ths cells were seeded in upper chambers with </w:t>
      </w:r>
      <w:r>
        <w:rPr>
          <w:rFonts w:hint="eastAsia" w:ascii="Times New Roman" w:hAnsi="Times New Roman" w:cs="Times New Roman"/>
          <w:color w:val="000000"/>
          <w:sz w:val="24"/>
          <w:lang w:val="en-US" w:eastAsia="zh-CN"/>
        </w:rPr>
        <w:t xml:space="preserve">medium </w:t>
      </w:r>
      <w:r>
        <w:rPr>
          <w:rFonts w:hint="eastAsia" w:ascii="Times New Roman" w:hAnsi="Times New Roman" w:cs="Times New Roman"/>
          <w:color w:val="000000"/>
          <w:sz w:val="24"/>
        </w:rPr>
        <w:t>containing</w:t>
      </w:r>
      <w:r>
        <w:rPr>
          <w:rFonts w:hint="eastAsia" w:ascii="Times New Roman" w:hAnsi="Times New Roman" w:cs="Times New Roman"/>
          <w:color w:val="000000"/>
          <w:sz w:val="24"/>
          <w:lang w:val="en-US" w:eastAsia="zh-CN"/>
        </w:rPr>
        <w:t xml:space="preserve"> </w:t>
      </w:r>
      <w:r>
        <w:rPr>
          <w:rFonts w:hint="eastAsia" w:ascii="Times New Roman" w:hAnsi="Times New Roman" w:cs="Times New Roman"/>
          <w:color w:val="000000"/>
          <w:sz w:val="24"/>
        </w:rPr>
        <w:t>2% FBS</w:t>
      </w:r>
      <w:r>
        <w:rPr>
          <w:rFonts w:hint="eastAsia" w:ascii="Times New Roman" w:hAnsi="Times New Roman" w:cs="Times New Roman"/>
          <w:color w:val="000000"/>
          <w:sz w:val="24"/>
          <w:lang w:val="en-US" w:eastAsia="zh-CN"/>
        </w:rPr>
        <w:t xml:space="preserve"> </w:t>
      </w:r>
      <w:r>
        <w:rPr>
          <w:rFonts w:hint="eastAsia" w:ascii="Times New Roman" w:hAnsi="Times New Roman" w:cs="Times New Roman"/>
          <w:color w:val="000000"/>
          <w:sz w:val="24"/>
        </w:rPr>
        <w:t xml:space="preserve">for 24h. Use a cotton swab to remove the non-migrating cells from the upper chamber. Immobilize the migrating cells on the lower side of the filter, stain with hematoxylin, and count in </w:t>
      </w:r>
      <w:r>
        <w:rPr>
          <w:rFonts w:hint="eastAsia" w:ascii="Times New Roman" w:hAnsi="Times New Roman" w:cs="Times New Roman"/>
          <w:color w:val="000000"/>
          <w:sz w:val="24"/>
          <w:lang w:val="en-US" w:eastAsia="zh-CN"/>
        </w:rPr>
        <w:t>three</w:t>
      </w:r>
      <w:r>
        <w:rPr>
          <w:rFonts w:hint="eastAsia" w:ascii="Times New Roman" w:hAnsi="Times New Roman" w:cs="Times New Roman"/>
          <w:color w:val="000000"/>
          <w:sz w:val="24"/>
        </w:rPr>
        <w:t xml:space="preserve"> randomly selected fields from each chamber. </w:t>
      </w:r>
    </w:p>
    <w:p w14:paraId="51E53AF7">
      <w:pPr>
        <w:widowControl/>
        <w:rPr>
          <w:rFonts w:hint="eastAsia" w:ascii="Times New Roman" w:hAnsi="Times New Roman" w:cs="Times New Roman"/>
          <w:color w:val="000000"/>
          <w:sz w:val="24"/>
        </w:rPr>
      </w:pPr>
    </w:p>
    <w:p w14:paraId="5E631F60">
      <w:pPr>
        <w:widowControl/>
        <w:rPr>
          <w:rFonts w:ascii="Times New Roman" w:hAnsi="Times New Roman" w:eastAsia="AdvPSA183" w:cs="Times New Roman"/>
          <w:b/>
          <w:bCs/>
          <w:color w:val="000000"/>
          <w:kern w:val="0"/>
          <w:sz w:val="24"/>
          <w:lang w:bidi="ar"/>
        </w:rPr>
      </w:pPr>
      <w:r>
        <w:rPr>
          <w:rFonts w:hint="eastAsia" w:ascii="Times New Roman" w:hAnsi="Times New Roman" w:eastAsia="AdvPSA183" w:cs="Times New Roman"/>
          <w:b/>
          <w:bCs/>
          <w:color w:val="000000"/>
          <w:kern w:val="0"/>
          <w:sz w:val="24"/>
          <w:lang w:bidi="ar"/>
        </w:rPr>
        <w:t>Immunohistochemistry (IHC)</w:t>
      </w:r>
    </w:p>
    <w:p w14:paraId="70876D90">
      <w:pPr>
        <w:widowControl/>
        <w:rPr>
          <w:rFonts w:hint="eastAsia" w:ascii="Times New Roman" w:hAnsi="Times New Roman" w:cs="Times New Roman"/>
          <w:color w:val="000000"/>
          <w:sz w:val="24"/>
        </w:rPr>
      </w:pPr>
      <w:r>
        <w:rPr>
          <w:rFonts w:hint="eastAsia" w:ascii="Times New Roman" w:hAnsi="Times New Roman" w:eastAsia="AdvPSA183" w:cs="Times New Roman"/>
          <w:color w:val="000000"/>
          <w:kern w:val="0"/>
          <w:sz w:val="24"/>
          <w:lang w:bidi="ar"/>
        </w:rPr>
        <w:t>Formalin-fixed paraffin-embedded tissue (FFPE) sections from subcutaneous transplant tumor</w:t>
      </w:r>
      <w:r>
        <w:rPr>
          <w:rFonts w:hint="eastAsia" w:ascii="Times New Roman" w:hAnsi="Times New Roman" w:eastAsia="宋体" w:cs="Times New Roman"/>
          <w:color w:val="000000"/>
          <w:kern w:val="0"/>
          <w:sz w:val="24"/>
          <w:lang w:val="en-US" w:eastAsia="zh-CN" w:bidi="ar"/>
        </w:rPr>
        <w:t xml:space="preserve"> </w:t>
      </w:r>
      <w:r>
        <w:rPr>
          <w:rFonts w:hint="eastAsia" w:ascii="Times New Roman" w:hAnsi="Times New Roman" w:eastAsia="AdvPSA183" w:cs="Times New Roman"/>
          <w:color w:val="000000"/>
          <w:kern w:val="0"/>
          <w:sz w:val="24"/>
          <w:lang w:bidi="ar"/>
        </w:rPr>
        <w:t>tissue were cut in 4µm serial sections</w:t>
      </w:r>
      <w:r>
        <w:rPr>
          <w:rFonts w:ascii="Times New Roman" w:hAnsi="Times New Roman" w:eastAsia="AdvPSA183" w:cs="Times New Roman"/>
          <w:color w:val="000000"/>
          <w:kern w:val="0"/>
          <w:sz w:val="24"/>
          <w:lang w:bidi="ar"/>
        </w:rPr>
        <w:t xml:space="preserve">. </w:t>
      </w:r>
      <w:r>
        <w:rPr>
          <w:rFonts w:hint="eastAsia" w:ascii="Times New Roman" w:hAnsi="Times New Roman" w:cs="Times New Roman"/>
          <w:color w:val="000000"/>
          <w:sz w:val="24"/>
        </w:rPr>
        <w:t>Sections were incubated in citrate buffer (pH 6.0) at 120</w:t>
      </w:r>
      <w:r>
        <w:rPr>
          <w:rFonts w:hint="eastAsia" w:ascii="Times New Roman" w:hAnsi="Times New Roman" w:eastAsia="AdvPSA183" w:cs="Times New Roman"/>
          <w:color w:val="000000"/>
          <w:kern w:val="0"/>
          <w:sz w:val="24"/>
          <w:lang w:bidi="ar"/>
        </w:rPr>
        <w:t>℃</w:t>
      </w:r>
      <w:r>
        <w:rPr>
          <w:rFonts w:hint="eastAsia" w:ascii="Times New Roman" w:hAnsi="Times New Roman" w:cs="Times New Roman"/>
          <w:color w:val="000000"/>
          <w:sz w:val="24"/>
        </w:rPr>
        <w:t xml:space="preserve"> for </w:t>
      </w:r>
      <w:r>
        <w:rPr>
          <w:rFonts w:hint="eastAsia" w:ascii="Times New Roman" w:hAnsi="Times New Roman" w:cs="Times New Roman"/>
          <w:color w:val="000000"/>
          <w:sz w:val="24"/>
          <w:lang w:val="en-US" w:eastAsia="zh-CN"/>
        </w:rPr>
        <w:t>10</w:t>
      </w:r>
      <w:r>
        <w:rPr>
          <w:rFonts w:hint="eastAsia" w:ascii="Times New Roman" w:hAnsi="Times New Roman" w:cs="Times New Roman"/>
          <w:color w:val="000000"/>
          <w:sz w:val="24"/>
        </w:rPr>
        <w:t xml:space="preserve"> minutes, followed by blocking of endogenous peroxidase with 0.3% H2O2 for </w:t>
      </w:r>
      <w:r>
        <w:rPr>
          <w:rFonts w:hint="eastAsia" w:ascii="Times New Roman" w:hAnsi="Times New Roman" w:cs="Times New Roman"/>
          <w:color w:val="000000"/>
          <w:sz w:val="24"/>
          <w:lang w:val="en-US" w:eastAsia="zh-CN"/>
        </w:rPr>
        <w:t>30</w:t>
      </w:r>
      <w:r>
        <w:rPr>
          <w:rFonts w:hint="eastAsia" w:ascii="Times New Roman" w:hAnsi="Times New Roman" w:cs="Times New Roman"/>
          <w:color w:val="000000"/>
          <w:sz w:val="24"/>
        </w:rPr>
        <w:t xml:space="preserve"> minutes. Slides were incubated with 5% BSA in PBS at 37°C for 30 minutes, then incubated overnight with primary antibodies at 4</w:t>
      </w:r>
      <w:r>
        <w:rPr>
          <w:rFonts w:hint="eastAsia" w:ascii="Times New Roman" w:hAnsi="Times New Roman" w:eastAsia="AdvPSA183" w:cs="Times New Roman"/>
          <w:color w:val="000000"/>
          <w:kern w:val="0"/>
          <w:sz w:val="24"/>
          <w:lang w:bidi="ar"/>
        </w:rPr>
        <w:t>℃</w:t>
      </w:r>
      <w:r>
        <w:rPr>
          <w:rFonts w:hint="eastAsia" w:ascii="Times New Roman" w:hAnsi="Times New Roman" w:cs="Times New Roman"/>
          <w:color w:val="000000"/>
          <w:sz w:val="24"/>
        </w:rPr>
        <w:t>, and subsequently incubated with horseradish peroxidase (HRP) anti-rabbit IgG or anti-mouse IgG antibodies for 1 hour. They were then incubated with the DAB substrate kit (Zsbio, ZLI-9017). Following washing in PBS</w:t>
      </w:r>
      <w:r>
        <w:rPr>
          <w:rFonts w:hint="eastAsia" w:ascii="Times New Roman" w:hAnsi="Times New Roman" w:cs="Times New Roman"/>
          <w:color w:val="000000"/>
          <w:sz w:val="24"/>
          <w:lang w:val="en-US" w:eastAsia="zh-CN"/>
        </w:rPr>
        <w:t xml:space="preserve"> for three times</w:t>
      </w:r>
      <w:r>
        <w:rPr>
          <w:rFonts w:hint="eastAsia" w:ascii="Times New Roman" w:hAnsi="Times New Roman" w:cs="Times New Roman"/>
          <w:color w:val="000000"/>
          <w:sz w:val="24"/>
        </w:rPr>
        <w:t>, the tissue sections were counterstained with hematoxylin and observed under a microscope. Three randomly selected areas in each section were analyzed at a magnification of 200x.</w:t>
      </w:r>
    </w:p>
    <w:p w14:paraId="55C61BE1">
      <w:pPr>
        <w:widowControl/>
        <w:rPr>
          <w:rFonts w:ascii="Times New Roman" w:hAnsi="Times New Roman" w:cs="Times New Roman"/>
          <w:color w:val="000000"/>
          <w:sz w:val="24"/>
        </w:rPr>
      </w:pPr>
    </w:p>
    <w:p w14:paraId="04BB2105">
      <w:pPr>
        <w:widowControl/>
        <w:rPr>
          <w:rFonts w:ascii="Times New Roman" w:hAnsi="Times New Roman" w:cs="Times New Roman"/>
          <w:color w:val="000000"/>
          <w:sz w:val="24"/>
        </w:rPr>
      </w:pPr>
      <w:r>
        <w:rPr>
          <w:rFonts w:ascii="Times New Roman" w:hAnsi="Times New Roman" w:eastAsia="宋体" w:cs="Times New Roman"/>
          <w:b/>
          <w:bCs/>
          <w:color w:val="000000"/>
          <w:kern w:val="0"/>
          <w:sz w:val="24"/>
        </w:rPr>
        <w:t>Flow cytometry</w:t>
      </w:r>
    </w:p>
    <w:p w14:paraId="6007D165">
      <w:pPr>
        <w:widowControl/>
        <w:rPr>
          <w:rFonts w:ascii="Times New Roman" w:hAnsi="Times New Roman" w:eastAsia="AdvPSA183" w:cs="Times New Roman"/>
          <w:color w:val="000000"/>
          <w:kern w:val="0"/>
          <w:sz w:val="24"/>
          <w:lang w:bidi="ar"/>
        </w:rPr>
      </w:pPr>
      <w:r>
        <w:rPr>
          <w:rFonts w:ascii="Times New Roman" w:hAnsi="Times New Roman" w:eastAsia="AdvPSA183" w:cs="Times New Roman"/>
          <w:color w:val="000000"/>
          <w:kern w:val="0"/>
          <w:sz w:val="24"/>
          <w:lang w:bidi="ar"/>
        </w:rPr>
        <w:t xml:space="preserve">We performed fluorescence-activated cell sorting (FACS) of cells extracted from subcutaneous graft tumors in mice treated with different conditions to quantify CD8α and IFN-γ levels. Cells were then stained for cell surface antigens using anti-CD8α (100712，Biolegend) on ice for 30 minutes. </w:t>
      </w:r>
      <w:r>
        <w:rPr>
          <w:rFonts w:hint="eastAsia" w:ascii="Times New Roman" w:hAnsi="Times New Roman" w:eastAsia="宋体" w:cs="Times New Roman"/>
          <w:color w:val="000000"/>
          <w:kern w:val="0"/>
          <w:sz w:val="24"/>
          <w:lang w:val="en-US" w:eastAsia="zh-CN" w:bidi="ar"/>
        </w:rPr>
        <w:t>And</w:t>
      </w:r>
      <w:r>
        <w:rPr>
          <w:rFonts w:ascii="Times New Roman" w:hAnsi="Times New Roman" w:eastAsia="AdvPSA183" w:cs="Times New Roman"/>
          <w:color w:val="000000"/>
          <w:kern w:val="0"/>
          <w:sz w:val="24"/>
          <w:lang w:bidi="ar"/>
        </w:rPr>
        <w:t xml:space="preserve"> the fixed cells were resuspended in intracellularly stained Perm wash buffer (421002,Biolegend) and centrifuged at 350xg for 5-10 minutes and repeated twice. After the cells were washed with Perm wash buffer, PE-anti IFN-γ (505808，Biolegend) was added and incubated on ice for 30 min in the dark. After washing</w:t>
      </w:r>
      <w:r>
        <w:rPr>
          <w:rFonts w:hint="eastAsia" w:ascii="Times New Roman" w:hAnsi="Times New Roman" w:eastAsia="宋体" w:cs="Times New Roman"/>
          <w:color w:val="000000"/>
          <w:kern w:val="0"/>
          <w:sz w:val="24"/>
          <w:lang w:val="en-US" w:eastAsia="zh-CN" w:bidi="ar"/>
        </w:rPr>
        <w:t xml:space="preserve"> by p</w:t>
      </w:r>
      <w:r>
        <w:rPr>
          <w:rFonts w:ascii="Times New Roman" w:hAnsi="Times New Roman" w:eastAsia="AdvPSA183" w:cs="Times New Roman"/>
          <w:color w:val="000000"/>
          <w:kern w:val="0"/>
          <w:sz w:val="24"/>
          <w:lang w:bidi="ar"/>
        </w:rPr>
        <w:t xml:space="preserve">erm wash buffer, </w:t>
      </w:r>
      <w:r>
        <w:rPr>
          <w:rFonts w:hint="eastAsia" w:ascii="Times New Roman" w:hAnsi="Times New Roman" w:eastAsia="宋体" w:cs="Times New Roman"/>
          <w:color w:val="000000"/>
          <w:kern w:val="0"/>
          <w:sz w:val="24"/>
          <w:lang w:val="en-US" w:eastAsia="zh-CN" w:bidi="ar"/>
        </w:rPr>
        <w:t>the</w:t>
      </w:r>
      <w:r>
        <w:rPr>
          <w:rFonts w:ascii="Times New Roman" w:hAnsi="Times New Roman" w:eastAsia="AdvPSA183" w:cs="Times New Roman"/>
          <w:color w:val="000000"/>
          <w:kern w:val="0"/>
          <w:sz w:val="24"/>
          <w:lang w:bidi="ar"/>
        </w:rPr>
        <w:t xml:space="preserve"> fluorescence intensity </w:t>
      </w:r>
      <w:r>
        <w:rPr>
          <w:rFonts w:hint="eastAsia" w:ascii="Times New Roman" w:hAnsi="Times New Roman" w:eastAsia="宋体" w:cs="Times New Roman"/>
          <w:color w:val="000000"/>
          <w:kern w:val="0"/>
          <w:sz w:val="24"/>
          <w:lang w:val="en-US" w:eastAsia="zh-CN" w:bidi="ar"/>
        </w:rPr>
        <w:t xml:space="preserve">of cells </w:t>
      </w:r>
      <w:r>
        <w:rPr>
          <w:rFonts w:ascii="Times New Roman" w:hAnsi="Times New Roman" w:eastAsia="AdvPSA183" w:cs="Times New Roman"/>
          <w:color w:val="000000"/>
          <w:kern w:val="0"/>
          <w:sz w:val="24"/>
          <w:lang w:bidi="ar"/>
        </w:rPr>
        <w:t>w</w:t>
      </w:r>
      <w:r>
        <w:rPr>
          <w:rFonts w:hint="eastAsia" w:ascii="Times New Roman" w:hAnsi="Times New Roman" w:eastAsia="宋体" w:cs="Times New Roman"/>
          <w:color w:val="000000"/>
          <w:kern w:val="0"/>
          <w:sz w:val="24"/>
          <w:lang w:val="en-US" w:eastAsia="zh-CN" w:bidi="ar"/>
        </w:rPr>
        <w:t>ere</w:t>
      </w:r>
      <w:r>
        <w:rPr>
          <w:rFonts w:ascii="Times New Roman" w:hAnsi="Times New Roman" w:eastAsia="AdvPSA183" w:cs="Times New Roman"/>
          <w:color w:val="000000"/>
          <w:kern w:val="0"/>
          <w:sz w:val="24"/>
          <w:lang w:bidi="ar"/>
        </w:rPr>
        <w:t xml:space="preserve"> </w:t>
      </w:r>
      <w:r>
        <w:rPr>
          <w:rFonts w:hint="eastAsia" w:ascii="Times New Roman" w:hAnsi="Times New Roman" w:eastAsia="宋体" w:cs="Times New Roman"/>
          <w:color w:val="000000"/>
          <w:kern w:val="0"/>
          <w:sz w:val="24"/>
          <w:lang w:val="en-US" w:eastAsia="zh-CN" w:bidi="ar"/>
        </w:rPr>
        <w:t>d</w:t>
      </w:r>
      <w:r>
        <w:rPr>
          <w:rFonts w:hint="eastAsia" w:ascii="Times New Roman" w:hAnsi="Times New Roman" w:eastAsia="AdvPSA183" w:cs="Times New Roman"/>
          <w:color w:val="000000"/>
          <w:kern w:val="0"/>
          <w:sz w:val="24"/>
          <w:lang w:bidi="ar"/>
        </w:rPr>
        <w:t>etected</w:t>
      </w:r>
      <w:r>
        <w:rPr>
          <w:rFonts w:hint="eastAsia" w:ascii="Times New Roman" w:hAnsi="Times New Roman" w:eastAsia="宋体" w:cs="Times New Roman"/>
          <w:color w:val="000000"/>
          <w:kern w:val="0"/>
          <w:sz w:val="24"/>
          <w:lang w:val="en-US" w:eastAsia="zh-CN" w:bidi="ar"/>
        </w:rPr>
        <w:t xml:space="preserve"> by</w:t>
      </w:r>
      <w:r>
        <w:rPr>
          <w:rFonts w:ascii="Times New Roman" w:hAnsi="Times New Roman" w:eastAsia="AdvPSA183" w:cs="Times New Roman"/>
          <w:color w:val="000000"/>
          <w:kern w:val="0"/>
          <w:sz w:val="24"/>
          <w:lang w:bidi="ar"/>
        </w:rPr>
        <w:t xml:space="preserve"> flow cytometry to represent the level of CD8</w:t>
      </w:r>
      <w:r>
        <w:rPr>
          <w:rFonts w:hint="default" w:ascii="Times New Roman" w:hAnsi="Times New Roman" w:eastAsia="宋体" w:cs="Times New Roman"/>
          <w:color w:val="000000"/>
          <w:kern w:val="0"/>
          <w:sz w:val="24"/>
          <w:lang w:val="en-US" w:eastAsia="zh-CN" w:bidi="ar"/>
        </w:rPr>
        <w:t>α</w:t>
      </w:r>
      <w:r>
        <w:rPr>
          <w:rFonts w:ascii="Times New Roman" w:hAnsi="Times New Roman" w:eastAsia="AdvPSA183" w:cs="Times New Roman"/>
          <w:color w:val="000000"/>
          <w:kern w:val="0"/>
          <w:sz w:val="24"/>
          <w:lang w:bidi="ar"/>
        </w:rPr>
        <w:t xml:space="preserve"> and IFN-γ.</w:t>
      </w:r>
    </w:p>
    <w:p w14:paraId="124CD9E7">
      <w:pPr>
        <w:spacing w:line="360" w:lineRule="auto"/>
        <w:rPr>
          <w:rFonts w:ascii="Times New Roman" w:hAnsi="Times New Roman" w:cs="Times New Roman"/>
          <w:b/>
          <w:bCs/>
          <w:color w:val="000000"/>
          <w:sz w:val="24"/>
        </w:rPr>
      </w:pPr>
    </w:p>
    <w:p w14:paraId="353992CD">
      <w:pPr>
        <w:widowControl/>
        <w:rPr>
          <w:rFonts w:ascii="Times New Roman" w:hAnsi="Times New Roman" w:eastAsia="AdvPSA183" w:cs="Times New Roman"/>
          <w:b/>
          <w:bCs/>
          <w:color w:val="000000"/>
          <w:kern w:val="0"/>
          <w:sz w:val="24"/>
          <w:highlight w:val="none"/>
          <w:lang w:bidi="ar"/>
        </w:rPr>
      </w:pPr>
      <w:r>
        <w:rPr>
          <w:rFonts w:hint="eastAsia" w:ascii="Times New Roman" w:hAnsi="Times New Roman" w:eastAsia="AdvPSA183" w:cs="Times New Roman"/>
          <w:b/>
          <w:bCs/>
          <w:color w:val="000000"/>
          <w:kern w:val="0"/>
          <w:sz w:val="24"/>
          <w:highlight w:val="none"/>
          <w:lang w:bidi="ar"/>
        </w:rPr>
        <w:t>Whole Exome Sequencing</w:t>
      </w:r>
    </w:p>
    <w:p w14:paraId="7CC18DB3">
      <w:pPr>
        <w:widowControl/>
        <w:rPr>
          <w:rFonts w:ascii="Times New Roman" w:hAnsi="Times New Roman" w:eastAsia="AdvPSA183" w:cs="Times New Roman"/>
          <w:color w:val="000000"/>
          <w:kern w:val="0"/>
          <w:sz w:val="24"/>
          <w:highlight w:val="none"/>
          <w:lang w:bidi="ar"/>
        </w:rPr>
      </w:pPr>
      <w:r>
        <w:rPr>
          <w:rFonts w:ascii="Times New Roman" w:hAnsi="Times New Roman" w:eastAsia="AdvPSA183" w:cs="Times New Roman"/>
          <w:color w:val="000000"/>
          <w:kern w:val="0"/>
          <w:sz w:val="24"/>
          <w:highlight w:val="none"/>
          <w:lang w:bidi="ar"/>
        </w:rPr>
        <w:t>The sample genomic DNA was fragmented into approximately 180-280 bp fragments using</w:t>
      </w:r>
      <w:r>
        <w:rPr>
          <w:rFonts w:hint="eastAsia" w:ascii="Times New Roman" w:hAnsi="Times New Roman" w:eastAsia="AdvPSA183" w:cs="Times New Roman"/>
          <w:color w:val="000000"/>
          <w:kern w:val="0"/>
          <w:sz w:val="24"/>
          <w:highlight w:val="none"/>
          <w:lang w:bidi="ar"/>
        </w:rPr>
        <w:t xml:space="preserve"> </w:t>
      </w:r>
      <w:r>
        <w:rPr>
          <w:rFonts w:ascii="Times New Roman" w:hAnsi="Times New Roman" w:eastAsia="AdvPSA183" w:cs="Times New Roman"/>
          <w:color w:val="000000"/>
          <w:kern w:val="0"/>
          <w:sz w:val="24"/>
          <w:highlight w:val="none"/>
          <w:lang w:bidi="ar"/>
        </w:rPr>
        <w:t>Covaris fragmentor. Following purification, a terminal complementation system was added to the fragments, which were then purified using Agencourt AMPure XP magnetic beads to yield a DNA short fragment library. Subsequently, the library was amplified using high-fidelity polymerase and purified with the Agencourt SPRIselect (Beckman Coulter, USA, Catalog #: 2358413) and Agilent SureSelect Human All Exon V6 kits. This allowed the adapter library to hybridize with a biotin-labeled probe library in liquid phase, effectively capturing the genome's exons. Subsequently, the original library was amplified using high-fidelity polymerase, and the Agilent 5400 system (AATI) was employed for quality control to ensure the integrity of the library. After passing the quality control, sequencing was conducted on the Illumina Novaseq platform based on the library's effective concentration and data yield. Once sequencing was completed, the original sequences were subjected to informational analysis, including SNP, InDel, CNV.</w:t>
      </w:r>
    </w:p>
    <w:p w14:paraId="2865F3F4">
      <w:pPr>
        <w:widowControl/>
        <w:rPr>
          <w:rFonts w:ascii="Times New Roman" w:hAnsi="Times New Roman" w:eastAsia="AdvPSA183" w:cs="Times New Roman"/>
          <w:color w:val="FF0000"/>
          <w:kern w:val="0"/>
          <w:sz w:val="24"/>
          <w:lang w:bidi="ar"/>
        </w:rPr>
      </w:pPr>
    </w:p>
    <w:p w14:paraId="6A4CAF14">
      <w:pPr>
        <w:widowControl/>
        <w:rPr>
          <w:rFonts w:ascii="Times New Roman" w:hAnsi="Times New Roman" w:cs="Times New Roman"/>
          <w:b/>
          <w:bCs/>
          <w:color w:val="auto"/>
          <w:sz w:val="24"/>
        </w:rPr>
      </w:pPr>
      <w:r>
        <w:rPr>
          <w:rFonts w:ascii="Times New Roman" w:hAnsi="Times New Roman" w:cs="Times New Roman"/>
          <w:b/>
          <w:bCs/>
          <w:color w:val="auto"/>
          <w:sz w:val="24"/>
        </w:rPr>
        <w:t>Immunofluorescence confocal imaging</w:t>
      </w:r>
    </w:p>
    <w:p w14:paraId="1614F9A7">
      <w:pPr>
        <w:widowControl/>
        <w:rPr>
          <w:rFonts w:ascii="Times New Roman" w:hAnsi="Times New Roman" w:cs="Times New Roman"/>
          <w:color w:val="auto"/>
          <w:sz w:val="24"/>
        </w:rPr>
      </w:pPr>
      <w:r>
        <w:rPr>
          <w:rFonts w:hint="eastAsia" w:ascii="Times New Roman" w:hAnsi="Times New Roman" w:cs="Times New Roman"/>
          <w:color w:val="auto"/>
          <w:sz w:val="24"/>
        </w:rPr>
        <w:t>Cells grown on glass slides (Nunc Cell Culture, Waltham, MA, USA) were washed three times with PBS and treated with 4% paraformaldehyde at room temperature for 30 minutes.</w:t>
      </w:r>
      <w:r>
        <w:rPr>
          <w:rFonts w:hint="eastAsia" w:ascii="Times New Roman" w:hAnsi="Times New Roman" w:cs="Times New Roman"/>
          <w:color w:val="auto"/>
          <w:sz w:val="24"/>
          <w:lang w:val="en-US" w:eastAsia="zh-CN"/>
        </w:rPr>
        <w:t xml:space="preserve"> T</w:t>
      </w:r>
      <w:r>
        <w:rPr>
          <w:rFonts w:hint="eastAsia" w:ascii="Times New Roman" w:hAnsi="Times New Roman" w:cs="Times New Roman"/>
          <w:color w:val="auto"/>
          <w:sz w:val="24"/>
        </w:rPr>
        <w:t xml:space="preserve">hen </w:t>
      </w:r>
      <w:r>
        <w:rPr>
          <w:rFonts w:hint="eastAsia" w:ascii="Times New Roman" w:hAnsi="Times New Roman" w:cs="Times New Roman"/>
          <w:color w:val="auto"/>
          <w:sz w:val="24"/>
          <w:lang w:val="en-US" w:eastAsia="zh-CN"/>
        </w:rPr>
        <w:t xml:space="preserve">cells were </w:t>
      </w:r>
      <w:r>
        <w:rPr>
          <w:rFonts w:hint="eastAsia" w:ascii="Times New Roman" w:hAnsi="Times New Roman" w:cs="Times New Roman"/>
          <w:color w:val="auto"/>
          <w:sz w:val="24"/>
        </w:rPr>
        <w:t>permeabilized with 0.2% Triton X-100 for 15 minutes. Subsequently, the cells were blocked with</w:t>
      </w:r>
      <w:r>
        <w:rPr>
          <w:rFonts w:hint="eastAsia" w:ascii="Times New Roman" w:hAnsi="Times New Roman" w:cs="Times New Roman"/>
          <w:color w:val="auto"/>
          <w:sz w:val="24"/>
          <w:lang w:val="en-US" w:eastAsia="zh-CN"/>
        </w:rPr>
        <w:t xml:space="preserve"> the </w:t>
      </w:r>
      <w:r>
        <w:rPr>
          <w:rFonts w:hint="eastAsia" w:ascii="Times New Roman" w:hAnsi="Times New Roman" w:cs="Times New Roman"/>
          <w:color w:val="auto"/>
          <w:sz w:val="24"/>
        </w:rPr>
        <w:t>5% bovine serum albumin (Sigma) at room temperature for 30 minutes. Following blocking, the cells were incubated with the primary antibody overnight at 4</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rPr>
        <w:t>. On the second day, the glass slides were washed three times in PBS and incubated with a secondary antibody of Alexa Fluor 594 conjugate (Cat# a-11012, Invitrogen) and Alexa Fluor 488 conjugate (Cat# a-10631, Invitrogen) along with 4',6-diamidino-2-phenylindole (DAPI) for 30 minutes in a humidified chamber at 37</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rPr>
        <w:t>. I</w:t>
      </w:r>
      <w:r>
        <w:rPr>
          <w:rFonts w:ascii="Times New Roman" w:hAnsi="Times New Roman" w:cs="Times New Roman"/>
          <w:color w:val="auto"/>
          <w:sz w:val="24"/>
        </w:rPr>
        <w:t xml:space="preserve">mages were obtained using microscopy systems: ZEISS LSM 900 with an Airyscan 2 confocal microscope and analysed with ZEN Microscopy Software. </w:t>
      </w:r>
    </w:p>
    <w:p w14:paraId="03D60303">
      <w:pPr>
        <w:widowControl/>
        <w:rPr>
          <w:rFonts w:ascii="Times New Roman" w:hAnsi="Times New Roman" w:cs="Times New Roman"/>
          <w:color w:val="auto"/>
          <w:sz w:val="24"/>
        </w:rPr>
      </w:pPr>
    </w:p>
    <w:p w14:paraId="69C1EFFC">
      <w:pPr>
        <w:widowControl/>
        <w:rPr>
          <w:rFonts w:ascii="Times New Roman" w:hAnsi="Times New Roman" w:cs="Times New Roman"/>
          <w:color w:val="000000"/>
          <w:sz w:val="24"/>
        </w:rPr>
      </w:pPr>
      <w:r>
        <w:rPr>
          <w:rFonts w:ascii="Times New Roman" w:hAnsi="Times New Roman" w:cs="Times New Roman"/>
          <w:b/>
          <w:bCs/>
          <w:color w:val="000000"/>
          <w:sz w:val="24"/>
        </w:rPr>
        <w:t>Luciferase reporter assay</w:t>
      </w:r>
    </w:p>
    <w:p w14:paraId="3A9ED84E">
      <w:pPr>
        <w:widowControl/>
        <w:rPr>
          <w:rFonts w:ascii="Times New Roman" w:hAnsi="Times New Roman" w:eastAsia="AdvPSA183" w:cs="Times New Roman"/>
          <w:color w:val="000000"/>
          <w:kern w:val="0"/>
          <w:sz w:val="24"/>
          <w:lang w:bidi="ar"/>
        </w:rPr>
      </w:pPr>
      <w:r>
        <w:rPr>
          <w:rFonts w:ascii="Times New Roman" w:hAnsi="Times New Roman" w:eastAsia="AdvPSA183" w:cs="Times New Roman"/>
          <w:color w:val="000000"/>
          <w:kern w:val="0"/>
          <w:sz w:val="24"/>
          <w:lang w:bidi="ar"/>
        </w:rPr>
        <w:t xml:space="preserve">The pSTAT1-TA-Luc plasmid (Beyotime, D4400-1μg) was introduced into MC38 and RKO cells. </w:t>
      </w:r>
      <w:r>
        <w:rPr>
          <w:rFonts w:hint="eastAsia" w:ascii="Times New Roman" w:hAnsi="Times New Roman" w:eastAsia="AdvPSA183" w:cs="Times New Roman"/>
          <w:color w:val="000000"/>
          <w:kern w:val="0"/>
          <w:sz w:val="24"/>
          <w:lang w:bidi="ar"/>
        </w:rPr>
        <w:t>The pRL-TK reporter</w:t>
      </w:r>
      <w:r>
        <w:rPr>
          <w:rFonts w:hint="eastAsia" w:ascii="Times New Roman" w:hAnsi="Times New Roman" w:eastAsia="宋体" w:cs="Times New Roman"/>
          <w:color w:val="000000"/>
          <w:kern w:val="0"/>
          <w:sz w:val="24"/>
          <w:lang w:val="en-US" w:eastAsia="zh-CN" w:bidi="ar"/>
        </w:rPr>
        <w:t xml:space="preserve"> </w:t>
      </w:r>
      <w:r>
        <w:rPr>
          <w:rFonts w:hint="eastAsia" w:ascii="Times New Roman" w:hAnsi="Times New Roman" w:eastAsia="AdvPSA183" w:cs="Times New Roman"/>
          <w:color w:val="000000"/>
          <w:kern w:val="0"/>
          <w:sz w:val="24"/>
          <w:lang w:bidi="ar"/>
        </w:rPr>
        <w:t xml:space="preserve">construct </w:t>
      </w:r>
      <w:r>
        <w:rPr>
          <w:rFonts w:ascii="Times New Roman" w:hAnsi="Times New Roman" w:eastAsia="AdvPSA183" w:cs="Times New Roman"/>
          <w:color w:val="000000"/>
          <w:kern w:val="0"/>
          <w:sz w:val="24"/>
          <w:lang w:bidi="ar"/>
        </w:rPr>
        <w:t>plasmid</w:t>
      </w:r>
      <w:r>
        <w:rPr>
          <w:rFonts w:hint="eastAsia" w:ascii="Times New Roman" w:hAnsi="Times New Roman" w:eastAsia="AdvPSA183" w:cs="Times New Roman"/>
          <w:color w:val="000000"/>
          <w:kern w:val="0"/>
          <w:sz w:val="24"/>
          <w:lang w:bidi="ar"/>
        </w:rPr>
        <w:t xml:space="preserve"> serves as an internal control. As per the manufacturer's instructions, the luciferase reporter assay system (Promega, Madison, WI, USA) is employed to measure luciferase activity.</w:t>
      </w:r>
    </w:p>
    <w:p w14:paraId="3498A045">
      <w:pPr>
        <w:widowControl/>
        <w:rPr>
          <w:rFonts w:ascii="Times New Roman" w:hAnsi="Times New Roman" w:cs="Times New Roman"/>
          <w:color w:val="000000"/>
          <w:sz w:val="24"/>
        </w:rPr>
      </w:pPr>
    </w:p>
    <w:p w14:paraId="27E4CCCC">
      <w:pPr>
        <w:widowControl/>
        <w:rPr>
          <w:rFonts w:ascii="Times New Roman" w:hAnsi="Times New Roman" w:eastAsia="AdvPSA183" w:cs="Times New Roman"/>
          <w:b/>
          <w:bCs/>
          <w:color w:val="000000"/>
          <w:kern w:val="0"/>
          <w:sz w:val="24"/>
          <w:lang w:bidi="ar"/>
        </w:rPr>
      </w:pPr>
      <w:r>
        <w:rPr>
          <w:rFonts w:ascii="Times New Roman" w:hAnsi="Times New Roman" w:eastAsia="AdvPSA183" w:cs="Times New Roman"/>
          <w:b/>
          <w:bCs/>
          <w:color w:val="000000"/>
          <w:kern w:val="0"/>
          <w:sz w:val="24"/>
          <w:lang w:bidi="ar"/>
        </w:rPr>
        <w:t>Gene set enrichment analysis (GSEA)</w:t>
      </w:r>
    </w:p>
    <w:p w14:paraId="7E804CBA">
      <w:pPr>
        <w:widowControl/>
        <w:rPr>
          <w:rFonts w:hint="eastAsia" w:ascii="Times New Roman" w:hAnsi="Times New Roman" w:cs="Times New Roman" w:eastAsiaTheme="minorEastAsia"/>
          <w:color w:val="auto"/>
          <w:sz w:val="24"/>
          <w:lang w:val="en-US" w:eastAsia="zh-CN"/>
        </w:rPr>
      </w:pPr>
      <w:r>
        <w:rPr>
          <w:rFonts w:ascii="Times New Roman" w:hAnsi="Times New Roman" w:cs="Times New Roman"/>
          <w:color w:val="auto"/>
          <w:sz w:val="24"/>
        </w:rPr>
        <w:t xml:space="preserve">GSEA was used to assess whether cholesterol metabolism-related associated genes are enriched in the type II interferon pathway. We used GSEA to analyze enriched differential genes in the the mevalonate pathway genes high and low groups. </w:t>
      </w:r>
      <w:r>
        <w:rPr>
          <w:rFonts w:hint="eastAsia" w:ascii="Times New Roman" w:hAnsi="Times New Roman" w:cs="Times New Roman"/>
          <w:color w:val="auto"/>
          <w:sz w:val="24"/>
          <w:lang w:val="en-US" w:eastAsia="zh-CN"/>
        </w:rPr>
        <w:t xml:space="preserve">We used the </w:t>
      </w:r>
      <w:r>
        <w:rPr>
          <w:rFonts w:ascii="Times New Roman" w:hAnsi="Times New Roman" w:cs="Times New Roman"/>
          <w:color w:val="auto"/>
          <w:sz w:val="24"/>
        </w:rPr>
        <w:t>GSEA website (</w:t>
      </w:r>
      <w:r>
        <w:rPr>
          <w:rFonts w:ascii="Times New Roman" w:hAnsi="Times New Roman" w:cs="Times New Roman"/>
          <w:color w:val="auto"/>
          <w:sz w:val="24"/>
        </w:rPr>
        <w:fldChar w:fldCharType="begin"/>
      </w:r>
      <w:r>
        <w:rPr>
          <w:rFonts w:ascii="Times New Roman" w:hAnsi="Times New Roman" w:cs="Times New Roman"/>
          <w:color w:val="auto"/>
          <w:sz w:val="24"/>
        </w:rPr>
        <w:instrText xml:space="preserve"> HYPERLINK "http://software.broadinstitute.org/gsea/msigdb/cards)" </w:instrText>
      </w:r>
      <w:r>
        <w:rPr>
          <w:rFonts w:ascii="Times New Roman" w:hAnsi="Times New Roman" w:cs="Times New Roman"/>
          <w:color w:val="auto"/>
          <w:sz w:val="24"/>
        </w:rPr>
        <w:fldChar w:fldCharType="separate"/>
      </w:r>
      <w:r>
        <w:rPr>
          <w:rStyle w:val="4"/>
          <w:rFonts w:ascii="Times New Roman" w:hAnsi="Times New Roman" w:cs="Times New Roman"/>
          <w:sz w:val="24"/>
        </w:rPr>
        <w:t>http://software.broadinstitute.org/gsea/msigdb/cards)</w:t>
      </w:r>
      <w:r>
        <w:rPr>
          <w:rFonts w:ascii="Times New Roman" w:hAnsi="Times New Roman" w:cs="Times New Roman"/>
          <w:color w:val="auto"/>
          <w:sz w:val="24"/>
        </w:rPr>
        <w:fldChar w:fldCharType="end"/>
      </w:r>
      <w:r>
        <w:rPr>
          <w:rFonts w:hint="eastAsia" w:ascii="Times New Roman" w:hAnsi="Times New Roman" w:cs="Times New Roman"/>
          <w:color w:val="auto"/>
          <w:sz w:val="24"/>
          <w:lang w:val="en-US" w:eastAsia="zh-CN"/>
        </w:rPr>
        <w:t xml:space="preserve"> to </w:t>
      </w:r>
      <w:r>
        <w:rPr>
          <w:rFonts w:ascii="Times New Roman" w:hAnsi="Times New Roman" w:cs="Times New Roman"/>
          <w:color w:val="auto"/>
          <w:sz w:val="24"/>
        </w:rPr>
        <w:t xml:space="preserve">downloaded </w:t>
      </w:r>
      <w:r>
        <w:rPr>
          <w:rFonts w:hint="eastAsia" w:ascii="Times New Roman" w:hAnsi="Times New Roman" w:cs="Times New Roman"/>
          <w:color w:val="auto"/>
          <w:sz w:val="24"/>
          <w:lang w:val="en-US" w:eastAsia="zh-CN"/>
        </w:rPr>
        <w:t>t</w:t>
      </w:r>
      <w:r>
        <w:rPr>
          <w:rFonts w:ascii="Times New Roman" w:hAnsi="Times New Roman" w:cs="Times New Roman"/>
          <w:color w:val="auto"/>
          <w:sz w:val="24"/>
        </w:rPr>
        <w:t>he</w:t>
      </w:r>
      <w:r>
        <w:rPr>
          <w:rFonts w:hint="eastAsia" w:ascii="Times New Roman" w:hAnsi="Times New Roman" w:cs="Times New Roman"/>
          <w:color w:val="auto"/>
          <w:sz w:val="24"/>
          <w:lang w:val="en-US" w:eastAsia="zh-CN"/>
        </w:rPr>
        <w:t xml:space="preserve"> data of</w:t>
      </w:r>
      <w:r>
        <w:rPr>
          <w:rFonts w:ascii="Times New Roman" w:hAnsi="Times New Roman" w:cs="Times New Roman"/>
          <w:color w:val="auto"/>
          <w:sz w:val="24"/>
        </w:rPr>
        <w:t xml:space="preserve"> HALLMARK INTERFERON GAMMA RESPONSE gene set</w:t>
      </w:r>
      <w:r>
        <w:rPr>
          <w:rFonts w:hint="eastAsia" w:ascii="Times New Roman" w:hAnsi="Times New Roman" w:cs="Times New Roman"/>
          <w:color w:val="auto"/>
          <w:sz w:val="24"/>
          <w:lang w:val="en-US" w:eastAsia="zh-CN"/>
        </w:rPr>
        <w:t>.</w:t>
      </w:r>
    </w:p>
    <w:p w14:paraId="6501938A">
      <w:pPr>
        <w:rPr>
          <w:rFonts w:hint="default" w:ascii="Times New Roman" w:hAnsi="Times New Roman" w:cs="Times New Roman"/>
          <w:lang w:val="en-US" w:eastAsia="zh-CN"/>
        </w:rPr>
      </w:pPr>
    </w:p>
    <w:p w14:paraId="0AB0A10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dvPSA183">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iZmUxZmFhZDYzNzQxYjdjZGI2MTRlOWZmZGVhN2QifQ=="/>
  </w:docVars>
  <w:rsids>
    <w:rsidRoot w:val="00000000"/>
    <w:rsid w:val="0E1F346A"/>
    <w:rsid w:val="65FF6B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966</Words>
  <Characters>5555</Characters>
  <Lines>0</Lines>
  <Paragraphs>0</Paragraphs>
  <TotalTime>1</TotalTime>
  <ScaleCrop>false</ScaleCrop>
  <LinksUpToDate>false</LinksUpToDate>
  <CharactersWithSpaces>6496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2024-07-15T06:17:00Z</dcterms:created>
  <dc:creator>Lenovo</dc:creator>
  <cp:lastModifiedBy>Leo20220810</cp:lastModifiedBy>
  <dcterms:modified xsi:type="dcterms:W3CDTF">2024-07-17T01:00:58Z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1666E4BC850F472FA9B60D2376674C8C_12</vt:lpwstr>
  </property>
</Properties>
</file>