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A737CB" w14:textId="1DC649D6" w:rsidR="00B96AB5" w:rsidRPr="004D6629" w:rsidRDefault="00B96AB5" w:rsidP="00D74673">
      <w:pPr>
        <w:jc w:val="center"/>
        <w:rPr>
          <w:rFonts w:ascii="Times New Roman" w:eastAsia="等线" w:hAnsi="Times New Roman" w:cs="Times New Roman"/>
          <w:sz w:val="20"/>
          <w:szCs w:val="20"/>
        </w:rPr>
      </w:pPr>
      <w:r w:rsidRPr="004D6629">
        <w:rPr>
          <w:rFonts w:ascii="Times New Roman" w:hAnsi="Times New Roman" w:cs="Times New Roman"/>
          <w:b/>
          <w:sz w:val="20"/>
          <w:szCs w:val="20"/>
        </w:rPr>
        <w:t>Supporting Information</w:t>
      </w:r>
    </w:p>
    <w:p w14:paraId="2C1451BF" w14:textId="510546D1" w:rsidR="00B96AB5" w:rsidRPr="004D6629" w:rsidRDefault="00B96AB5" w:rsidP="00D74673">
      <w:pPr>
        <w:pStyle w:val="a7"/>
        <w:numPr>
          <w:ilvl w:val="0"/>
          <w:numId w:val="2"/>
        </w:numPr>
        <w:spacing w:line="480" w:lineRule="auto"/>
        <w:ind w:firstLineChars="0"/>
        <w:rPr>
          <w:rFonts w:ascii="Times New Roman" w:hAnsi="Times New Roman" w:cs="Times New Roman"/>
          <w:b/>
          <w:sz w:val="20"/>
          <w:szCs w:val="20"/>
        </w:rPr>
      </w:pPr>
      <w:r w:rsidRPr="004D6629">
        <w:rPr>
          <w:rFonts w:ascii="Times New Roman" w:hAnsi="Times New Roman" w:cs="Times New Roman"/>
          <w:b/>
          <w:sz w:val="20"/>
          <w:szCs w:val="20"/>
        </w:rPr>
        <w:t>Synthesis of</w:t>
      </w:r>
      <w:r w:rsidRPr="004D6629">
        <w:rPr>
          <w:rFonts w:ascii="Times New Roman" w:eastAsia="等线" w:hAnsi="Times New Roman" w:cs="Times New Roman"/>
          <w:b/>
          <w:sz w:val="20"/>
          <w:szCs w:val="20"/>
        </w:rPr>
        <w:t xml:space="preserve"> </w:t>
      </w:r>
      <w:r w:rsidRPr="004D6629">
        <w:rPr>
          <w:rFonts w:ascii="Times New Roman" w:hAnsi="Times New Roman" w:cs="Times New Roman"/>
          <w:b/>
          <w:sz w:val="20"/>
          <w:szCs w:val="20"/>
        </w:rPr>
        <w:t>C</w:t>
      </w:r>
      <w:r w:rsidRPr="004D6629">
        <w:rPr>
          <w:rFonts w:ascii="Times New Roman" w:hAnsi="Times New Roman" w:cs="Times New Roman"/>
          <w:b/>
          <w:sz w:val="20"/>
          <w:szCs w:val="20"/>
          <w:vertAlign w:val="subscript"/>
        </w:rPr>
        <w:t>14</w:t>
      </w:r>
      <w:r w:rsidRPr="004D6629">
        <w:rPr>
          <w:rFonts w:ascii="Times New Roman" w:hAnsi="Times New Roman" w:cs="Times New Roman"/>
          <w:b/>
          <w:sz w:val="20"/>
          <w:szCs w:val="20"/>
        </w:rPr>
        <w:t xml:space="preserve">MC-MA-MCA terpolymers </w:t>
      </w:r>
    </w:p>
    <w:p w14:paraId="2290CE8D" w14:textId="049F36E1" w:rsidR="00B96AB5" w:rsidRPr="004D6629" w:rsidRDefault="00D74673" w:rsidP="00D74673">
      <w:pPr>
        <w:rPr>
          <w:rFonts w:ascii="Times New Roman" w:hAnsi="Times New Roman" w:cs="Times New Roman"/>
          <w:b/>
          <w:sz w:val="20"/>
          <w:szCs w:val="20"/>
        </w:rPr>
      </w:pPr>
      <w:r w:rsidRPr="004D6629">
        <w:rPr>
          <w:rFonts w:ascii="Times New Roman" w:hAnsi="Times New Roman" w:cs="Times New Roman"/>
          <w:b/>
          <w:sz w:val="20"/>
          <w:szCs w:val="20"/>
        </w:rPr>
        <w:t>1.1</w:t>
      </w:r>
      <w:r w:rsidR="00B96AB5" w:rsidRPr="004D6629">
        <w:rPr>
          <w:rFonts w:ascii="Times New Roman" w:hAnsi="Times New Roman" w:cs="Times New Roman"/>
          <w:b/>
          <w:sz w:val="20"/>
          <w:szCs w:val="20"/>
        </w:rPr>
        <w:t xml:space="preserve"> Synthesis of tetradecyl methacrylate (C</w:t>
      </w:r>
      <w:r w:rsidR="00B96AB5" w:rsidRPr="004D6629">
        <w:rPr>
          <w:rFonts w:ascii="Times New Roman" w:hAnsi="Times New Roman" w:cs="Times New Roman"/>
          <w:b/>
          <w:sz w:val="20"/>
          <w:szCs w:val="20"/>
          <w:vertAlign w:val="subscript"/>
        </w:rPr>
        <w:t>14</w:t>
      </w:r>
      <w:r w:rsidR="00B96AB5" w:rsidRPr="004D6629">
        <w:rPr>
          <w:rFonts w:ascii="Times New Roman" w:hAnsi="Times New Roman" w:cs="Times New Roman"/>
          <w:b/>
          <w:sz w:val="20"/>
          <w:szCs w:val="20"/>
        </w:rPr>
        <w:t>MC)</w:t>
      </w:r>
    </w:p>
    <w:p w14:paraId="6B954616" w14:textId="6B8D37FC" w:rsidR="00B96AB5" w:rsidRPr="004D6629" w:rsidRDefault="00B96AB5" w:rsidP="00D74673">
      <w:pPr>
        <w:pStyle w:val="Paragraph"/>
        <w:spacing w:line="400" w:lineRule="exact"/>
        <w:ind w:firstLineChars="200" w:firstLine="400"/>
        <w:rPr>
          <w:rFonts w:eastAsia="宋体"/>
          <w:sz w:val="20"/>
          <w:szCs w:val="20"/>
          <w:lang w:val="en-US" w:eastAsia="zh-CN"/>
        </w:rPr>
      </w:pPr>
      <w:r w:rsidRPr="004D6629">
        <w:rPr>
          <w:rFonts w:eastAsia="宋体"/>
          <w:sz w:val="20"/>
          <w:szCs w:val="20"/>
          <w:lang w:val="en-US" w:eastAsia="zh-CN"/>
        </w:rPr>
        <w:t>The C</w:t>
      </w:r>
      <w:r w:rsidRPr="004D6629">
        <w:rPr>
          <w:rFonts w:eastAsia="宋体"/>
          <w:sz w:val="20"/>
          <w:szCs w:val="20"/>
          <w:vertAlign w:val="subscript"/>
          <w:lang w:val="en-US" w:eastAsia="zh-CN"/>
        </w:rPr>
        <w:t>14</w:t>
      </w:r>
      <w:r w:rsidRPr="004D6629">
        <w:rPr>
          <w:rFonts w:eastAsia="宋体"/>
          <w:sz w:val="20"/>
          <w:szCs w:val="20"/>
          <w:lang w:val="en-US" w:eastAsia="zh-CN"/>
        </w:rPr>
        <w:t xml:space="preserve">MC was synthesized by the reaction of methacrylic acid and 1-tetradecanol (a </w:t>
      </w:r>
      <w:hyperlink r:id="rId7" w:tooltip="Learn more about molar ratio from ScienceDirect's AI-generated Topic Pages" w:history="1">
        <w:r w:rsidRPr="004D6629">
          <w:rPr>
            <w:rFonts w:eastAsia="宋体"/>
            <w:sz w:val="20"/>
            <w:szCs w:val="20"/>
            <w:lang w:val="en-US" w:eastAsia="zh-CN"/>
          </w:rPr>
          <w:t>molar ratio</w:t>
        </w:r>
      </w:hyperlink>
      <w:r w:rsidRPr="004D6629">
        <w:rPr>
          <w:rFonts w:eastAsia="宋体"/>
          <w:sz w:val="20"/>
          <w:szCs w:val="20"/>
          <w:lang w:val="en-US" w:eastAsia="zh-CN"/>
        </w:rPr>
        <w:t xml:space="preserve"> 1.2:1), using toluene as solvent, hydroquinone as inhibitor, PTSA as catalyst, water was separated azeotropically using Dean-Stark apparatus. The synthesis routine was showed in</w:t>
      </w:r>
      <w:r w:rsidRPr="004D6629">
        <w:rPr>
          <w:sz w:val="20"/>
          <w:szCs w:val="20"/>
        </w:rPr>
        <w:t xml:space="preserve"> </w:t>
      </w:r>
      <w:r w:rsidRPr="004D6629">
        <w:rPr>
          <w:b/>
          <w:i/>
          <w:iCs/>
          <w:sz w:val="20"/>
          <w:szCs w:val="20"/>
        </w:rPr>
        <w:t>Figure S1</w:t>
      </w:r>
      <w:r w:rsidRPr="004D6629">
        <w:rPr>
          <w:rFonts w:eastAsia="宋体"/>
          <w:sz w:val="20"/>
          <w:szCs w:val="20"/>
          <w:lang w:val="en-US" w:eastAsia="zh-CN"/>
        </w:rPr>
        <w:t>. After reacting at 130 ℃ for 5 hours, add 1mol/L NaOH, then wash with water in a separating funnel until neutral, and finally vacuum dry for 8 hours to obtain C</w:t>
      </w:r>
      <w:r w:rsidRPr="004D6629">
        <w:rPr>
          <w:rFonts w:eastAsia="宋体"/>
          <w:sz w:val="20"/>
          <w:szCs w:val="20"/>
          <w:vertAlign w:val="subscript"/>
          <w:lang w:val="en-US" w:eastAsia="zh-CN"/>
        </w:rPr>
        <w:t>14</w:t>
      </w:r>
      <w:r w:rsidRPr="004D6629">
        <w:rPr>
          <w:rFonts w:eastAsia="宋体"/>
          <w:sz w:val="20"/>
          <w:szCs w:val="20"/>
          <w:lang w:val="en-US" w:eastAsia="zh-CN"/>
        </w:rPr>
        <w:t xml:space="preserve">MC. </w:t>
      </w:r>
    </w:p>
    <w:p w14:paraId="3BED6CF7" w14:textId="0A1C394A" w:rsidR="00B96AB5" w:rsidRPr="004D6629" w:rsidRDefault="00B96AB5" w:rsidP="00B96AB5">
      <w:pPr>
        <w:jc w:val="center"/>
        <w:rPr>
          <w:rFonts w:ascii="Times New Roman" w:hAnsi="Times New Roman" w:cs="Times New Roman"/>
          <w:sz w:val="20"/>
          <w:szCs w:val="20"/>
        </w:rPr>
      </w:pPr>
      <w:r w:rsidRPr="004D6629">
        <w:rPr>
          <w:rFonts w:ascii="Times New Roman" w:hAnsi="Times New Roman" w:cs="Times New Roman"/>
          <w:noProof/>
          <w:sz w:val="20"/>
          <w:szCs w:val="20"/>
        </w:rPr>
        <w:drawing>
          <wp:inline distT="0" distB="0" distL="0" distR="0" wp14:anchorId="77CE89D8" wp14:editId="500F6F26">
            <wp:extent cx="3758213" cy="756000"/>
            <wp:effectExtent l="0" t="0" r="0" b="0"/>
            <wp:docPr id="10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图片 2"/>
                    <pic:cNvPicPr/>
                  </pic:nvPicPr>
                  <pic:blipFill>
                    <a:blip r:embed="rId8" cstate="print"/>
                    <a:srcRect/>
                    <a:stretch>
                      <a:fillRect/>
                    </a:stretch>
                  </pic:blipFill>
                  <pic:spPr>
                    <a:xfrm>
                      <a:off x="0" y="0"/>
                      <a:ext cx="3758213" cy="756000"/>
                    </a:xfrm>
                    <a:prstGeom prst="rect">
                      <a:avLst/>
                    </a:prstGeom>
                    <a:ln>
                      <a:noFill/>
                    </a:ln>
                  </pic:spPr>
                </pic:pic>
              </a:graphicData>
            </a:graphic>
          </wp:inline>
        </w:drawing>
      </w:r>
    </w:p>
    <w:p w14:paraId="1E7A0AA9" w14:textId="77777777" w:rsidR="00B96AB5" w:rsidRPr="004D6629" w:rsidRDefault="00B96AB5" w:rsidP="00B96AB5">
      <w:pPr>
        <w:spacing w:line="480" w:lineRule="auto"/>
        <w:ind w:left="105" w:firstLine="482"/>
        <w:jc w:val="center"/>
        <w:rPr>
          <w:rFonts w:ascii="Times New Roman" w:hAnsi="Times New Roman" w:cs="Times New Roman"/>
          <w:sz w:val="20"/>
          <w:szCs w:val="20"/>
        </w:rPr>
      </w:pPr>
      <w:r w:rsidRPr="004D6629">
        <w:rPr>
          <w:rFonts w:ascii="Times New Roman" w:hAnsi="Times New Roman" w:cs="Times New Roman"/>
          <w:bCs/>
          <w:sz w:val="20"/>
          <w:szCs w:val="20"/>
        </w:rPr>
        <w:t>Figure S1. The synt</w:t>
      </w:r>
      <w:r w:rsidRPr="004D6629">
        <w:rPr>
          <w:rFonts w:ascii="Times New Roman" w:hAnsi="Times New Roman" w:cs="Times New Roman"/>
          <w:sz w:val="20"/>
          <w:szCs w:val="20"/>
        </w:rPr>
        <w:t>hesis routine of tetradecyl methacrylate</w:t>
      </w:r>
    </w:p>
    <w:p w14:paraId="4AF7C172" w14:textId="77777777" w:rsidR="00B96AB5" w:rsidRPr="004D6629" w:rsidRDefault="00B96AB5" w:rsidP="00D74673">
      <w:pPr>
        <w:spacing w:before="120" w:after="240"/>
        <w:rPr>
          <w:rFonts w:ascii="Times New Roman" w:hAnsi="Times New Roman" w:cs="Times New Roman"/>
          <w:b/>
          <w:sz w:val="20"/>
          <w:szCs w:val="20"/>
        </w:rPr>
      </w:pPr>
      <w:r w:rsidRPr="004D6629">
        <w:rPr>
          <w:rFonts w:ascii="Times New Roman" w:hAnsi="Times New Roman" w:cs="Times New Roman"/>
          <w:b/>
          <w:sz w:val="20"/>
          <w:szCs w:val="20"/>
        </w:rPr>
        <w:t xml:space="preserve">1.2. Synthesis of terpolymers </w:t>
      </w:r>
    </w:p>
    <w:p w14:paraId="7D89F12B" w14:textId="77777777" w:rsidR="00D74673" w:rsidRPr="004D6629" w:rsidRDefault="00D74673" w:rsidP="00D74673">
      <w:pPr>
        <w:jc w:val="center"/>
        <w:rPr>
          <w:rFonts w:ascii="Times New Roman" w:hAnsi="Times New Roman" w:cs="Times New Roman"/>
          <w:sz w:val="20"/>
          <w:szCs w:val="20"/>
        </w:rPr>
      </w:pPr>
      <w:r w:rsidRPr="004D6629">
        <w:rPr>
          <w:rFonts w:ascii="Times New Roman" w:hAnsi="Times New Roman" w:cs="Times New Roman"/>
          <w:noProof/>
          <w:sz w:val="20"/>
          <w:szCs w:val="20"/>
        </w:rPr>
        <w:drawing>
          <wp:inline distT="0" distB="0" distL="0" distR="0" wp14:anchorId="0CEFC2F3" wp14:editId="782193F8">
            <wp:extent cx="4029016" cy="972000"/>
            <wp:effectExtent l="0" t="0" r="0" b="0"/>
            <wp:docPr id="10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图片 4"/>
                    <pic:cNvPicPr/>
                  </pic:nvPicPr>
                  <pic:blipFill>
                    <a:blip r:embed="rId9" cstate="print"/>
                    <a:srcRect/>
                    <a:stretch>
                      <a:fillRect/>
                    </a:stretch>
                  </pic:blipFill>
                  <pic:spPr>
                    <a:xfrm>
                      <a:off x="0" y="0"/>
                      <a:ext cx="4029016" cy="972000"/>
                    </a:xfrm>
                    <a:prstGeom prst="rect">
                      <a:avLst/>
                    </a:prstGeom>
                    <a:ln>
                      <a:noFill/>
                    </a:ln>
                  </pic:spPr>
                </pic:pic>
              </a:graphicData>
            </a:graphic>
          </wp:inline>
        </w:drawing>
      </w:r>
    </w:p>
    <w:p w14:paraId="06296810" w14:textId="2F89301F" w:rsidR="00D74673" w:rsidRPr="004D6629" w:rsidRDefault="00D74673" w:rsidP="00D74673">
      <w:pPr>
        <w:spacing w:line="480" w:lineRule="auto"/>
        <w:ind w:left="105" w:firstLine="482"/>
        <w:jc w:val="center"/>
        <w:rPr>
          <w:rFonts w:ascii="Times New Roman" w:hAnsi="Times New Roman" w:cs="Times New Roman"/>
          <w:sz w:val="20"/>
          <w:szCs w:val="20"/>
        </w:rPr>
      </w:pPr>
      <w:r w:rsidRPr="004D6629">
        <w:rPr>
          <w:rFonts w:ascii="Times New Roman" w:hAnsi="Times New Roman" w:cs="Times New Roman"/>
          <w:bCs/>
          <w:sz w:val="20"/>
          <w:szCs w:val="20"/>
        </w:rPr>
        <w:t>Figure S2. The synthesis ro</w:t>
      </w:r>
      <w:r w:rsidRPr="004D6629">
        <w:rPr>
          <w:rFonts w:ascii="Times New Roman" w:hAnsi="Times New Roman" w:cs="Times New Roman"/>
          <w:sz w:val="20"/>
          <w:szCs w:val="20"/>
        </w:rPr>
        <w:t>utine of 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MC-MA-MCA terpolymers</w:t>
      </w:r>
    </w:p>
    <w:p w14:paraId="10262682" w14:textId="23A9B190" w:rsidR="007A7015" w:rsidRPr="004D6629" w:rsidRDefault="00B96AB5" w:rsidP="00D74673">
      <w:pPr>
        <w:spacing w:line="400" w:lineRule="exact"/>
        <w:ind w:firstLineChars="200" w:firstLine="400"/>
        <w:rPr>
          <w:rFonts w:ascii="Times New Roman" w:hAnsi="Times New Roman" w:cs="Times New Roman"/>
          <w:sz w:val="20"/>
          <w:szCs w:val="20"/>
        </w:rPr>
      </w:pPr>
      <w:r w:rsidRPr="004D6629">
        <w:rPr>
          <w:rFonts w:ascii="Times New Roman" w:hAnsi="Times New Roman" w:cs="Times New Roman"/>
          <w:sz w:val="20"/>
          <w:szCs w:val="20"/>
        </w:rPr>
        <w:t xml:space="preserve">Terpolymers were synthesized by radical polymerization, the synthesis routine was showed in </w:t>
      </w:r>
      <w:r w:rsidRPr="004D6629">
        <w:rPr>
          <w:rFonts w:ascii="Times New Roman" w:hAnsi="Times New Roman" w:cs="Times New Roman"/>
          <w:b/>
          <w:i/>
          <w:iCs/>
          <w:sz w:val="20"/>
          <w:szCs w:val="20"/>
        </w:rPr>
        <w:t>Figure S2</w:t>
      </w:r>
      <w:r w:rsidRPr="004D6629">
        <w:rPr>
          <w:rFonts w:ascii="Times New Roman" w:hAnsi="Times New Roman" w:cs="Times New Roman"/>
          <w:sz w:val="20"/>
          <w:szCs w:val="20"/>
        </w:rPr>
        <w:t>. First, dissolve C14MC, MA, and MCA in toluene at a certain molar ratio, transfer the mixture to a two-neck bottle equipped with a condenser, and purge with nitrogen for 20 minutes before heating.   When the temperature reaches 80°C, add BPO (BPO dissolved in toluene, 1wt% of the total mass of monomers) dropwise into the reaction mixture, and reflux for 10 h. Finally, when the reaction system is cooled to room temperature, it is washed with methanol several times until the solution is colorless, filtered to obtain a yellow or light yellow solid, and then vacuum dried for 10h. The resulting polymer is called 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MC-MA-MCA(1:1:1)</w:t>
      </w:r>
      <w:r w:rsidRPr="004D6629">
        <w:rPr>
          <w:rFonts w:ascii="Times New Roman" w:hAnsi="Times New Roman" w:cs="Times New Roman"/>
          <w:sz w:val="20"/>
          <w:szCs w:val="20"/>
        </w:rPr>
        <w:t>、</w:t>
      </w:r>
      <w:r w:rsidRPr="004D6629">
        <w:rPr>
          <w:rFonts w:ascii="Times New Roman" w:hAnsi="Times New Roman" w:cs="Times New Roman"/>
          <w:sz w:val="20"/>
          <w:szCs w:val="20"/>
        </w:rPr>
        <w:t>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MC-MA-MCA(2:1:1)</w:t>
      </w:r>
      <w:r w:rsidRPr="004D6629">
        <w:rPr>
          <w:rFonts w:ascii="Times New Roman" w:hAnsi="Times New Roman" w:cs="Times New Roman"/>
          <w:sz w:val="20"/>
          <w:szCs w:val="20"/>
        </w:rPr>
        <w:t>、</w:t>
      </w:r>
      <w:r w:rsidRPr="004D6629">
        <w:rPr>
          <w:rFonts w:ascii="Times New Roman" w:hAnsi="Times New Roman" w:cs="Times New Roman"/>
          <w:sz w:val="20"/>
          <w:szCs w:val="20"/>
        </w:rPr>
        <w:t>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MC-MA-MCA(3:1:1)</w:t>
      </w:r>
      <w:r w:rsidRPr="004D6629">
        <w:rPr>
          <w:rFonts w:ascii="Times New Roman" w:hAnsi="Times New Roman" w:cs="Times New Roman"/>
          <w:sz w:val="20"/>
          <w:szCs w:val="20"/>
        </w:rPr>
        <w:t>、</w:t>
      </w:r>
      <w:r w:rsidRPr="004D6629">
        <w:rPr>
          <w:rFonts w:ascii="Times New Roman" w:hAnsi="Times New Roman" w:cs="Times New Roman"/>
          <w:sz w:val="20"/>
          <w:szCs w:val="20"/>
        </w:rPr>
        <w:t>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MC-MA-MCA(4:1:1)</w:t>
      </w:r>
      <w:r w:rsidRPr="004D6629">
        <w:rPr>
          <w:rFonts w:ascii="Times New Roman" w:hAnsi="Times New Roman" w:cs="Times New Roman"/>
          <w:sz w:val="20"/>
          <w:szCs w:val="20"/>
        </w:rPr>
        <w:t>、</w:t>
      </w:r>
      <w:r w:rsidRPr="004D6629">
        <w:rPr>
          <w:rFonts w:ascii="Times New Roman" w:hAnsi="Times New Roman" w:cs="Times New Roman"/>
          <w:sz w:val="20"/>
          <w:szCs w:val="20"/>
        </w:rPr>
        <w:t>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MC-MA-MCA(5:1:1)</w:t>
      </w:r>
      <w:r w:rsidRPr="004D6629">
        <w:rPr>
          <w:rFonts w:ascii="Times New Roman" w:hAnsi="Times New Roman" w:cs="Times New Roman"/>
          <w:sz w:val="20"/>
          <w:szCs w:val="20"/>
        </w:rPr>
        <w:t>、</w:t>
      </w:r>
      <w:r w:rsidRPr="004D6629">
        <w:rPr>
          <w:rFonts w:ascii="Times New Roman" w:hAnsi="Times New Roman" w:cs="Times New Roman"/>
          <w:sz w:val="20"/>
          <w:szCs w:val="20"/>
        </w:rPr>
        <w:t>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 xml:space="preserve">MC-MA-MCA(6:1:1). </w:t>
      </w:r>
    </w:p>
    <w:p w14:paraId="4E3EC8C4" w14:textId="77777777" w:rsidR="00B96AB5" w:rsidRPr="004D6629" w:rsidRDefault="00B96AB5" w:rsidP="00D74673">
      <w:pPr>
        <w:spacing w:before="120" w:after="240"/>
        <w:rPr>
          <w:rFonts w:ascii="Times New Roman" w:hAnsi="Times New Roman" w:cs="Times New Roman"/>
          <w:b/>
          <w:sz w:val="20"/>
          <w:szCs w:val="20"/>
        </w:rPr>
      </w:pPr>
      <w:r w:rsidRPr="004D6629">
        <w:rPr>
          <w:rFonts w:ascii="Times New Roman" w:hAnsi="Times New Roman" w:cs="Times New Roman"/>
          <w:b/>
          <w:sz w:val="20"/>
          <w:szCs w:val="20"/>
        </w:rPr>
        <w:t>2. Characterization of the chemical structures of the PPDs</w:t>
      </w:r>
    </w:p>
    <w:p w14:paraId="59A8E8D5" w14:textId="611FC501" w:rsidR="00B96AB5" w:rsidRPr="004D6629" w:rsidRDefault="00B96AB5" w:rsidP="00D74673">
      <w:pPr>
        <w:spacing w:before="120" w:after="240"/>
        <w:rPr>
          <w:rFonts w:ascii="Times New Roman" w:hAnsi="Times New Roman" w:cs="Times New Roman"/>
          <w:b/>
          <w:sz w:val="20"/>
          <w:szCs w:val="20"/>
        </w:rPr>
      </w:pPr>
      <w:r w:rsidRPr="004D6629">
        <w:rPr>
          <w:rFonts w:ascii="Times New Roman" w:hAnsi="Times New Roman" w:cs="Times New Roman"/>
          <w:b/>
          <w:sz w:val="20"/>
          <w:szCs w:val="20"/>
        </w:rPr>
        <w:t xml:space="preserve">2.1. Fourier Transform Infrared (FT-IR) Spectroscopy </w:t>
      </w:r>
    </w:p>
    <w:p w14:paraId="3FF92738" w14:textId="7D630A5A" w:rsidR="00B96AB5" w:rsidRPr="004D6629" w:rsidRDefault="00B96AB5" w:rsidP="00D74673">
      <w:pPr>
        <w:spacing w:line="400" w:lineRule="exact"/>
        <w:ind w:firstLineChars="200" w:firstLine="400"/>
        <w:rPr>
          <w:rFonts w:ascii="Times New Roman" w:hAnsi="Times New Roman" w:cs="Times New Roman"/>
          <w:sz w:val="20"/>
          <w:szCs w:val="20"/>
        </w:rPr>
      </w:pPr>
      <w:r w:rsidRPr="004D6629">
        <w:rPr>
          <w:rFonts w:ascii="Times New Roman" w:hAnsi="Times New Roman" w:cs="Times New Roman"/>
          <w:sz w:val="20"/>
          <w:szCs w:val="20"/>
        </w:rPr>
        <w:t>The FT-IR spectra of the prepared monomer and terpolymers are shown in Figure S3. For 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MC, the absorption peak at 1629 cm</w:t>
      </w:r>
      <w:r w:rsidRPr="004D6629">
        <w:rPr>
          <w:rFonts w:ascii="Times New Roman" w:hAnsi="Times New Roman" w:cs="Times New Roman"/>
          <w:sz w:val="20"/>
          <w:szCs w:val="20"/>
          <w:vertAlign w:val="superscript"/>
        </w:rPr>
        <w:t>-1</w:t>
      </w:r>
      <w:r w:rsidRPr="004D6629">
        <w:rPr>
          <w:rFonts w:ascii="Times New Roman" w:hAnsi="Times New Roman" w:cs="Times New Roman"/>
          <w:sz w:val="20"/>
          <w:szCs w:val="20"/>
        </w:rPr>
        <w:t xml:space="preserve"> belongs to the characteristic absorption peak of C</w:t>
      </w:r>
      <w:r w:rsidRPr="004D6629">
        <w:rPr>
          <w:rFonts w:ascii="Times New Roman" w:hAnsi="Times New Roman" w:cs="Times New Roman"/>
          <w:sz w:val="20"/>
          <w:szCs w:val="20"/>
        </w:rPr>
        <w:t>＝</w:t>
      </w:r>
      <w:r w:rsidRPr="004D6629">
        <w:rPr>
          <w:rFonts w:ascii="Times New Roman" w:hAnsi="Times New Roman" w:cs="Times New Roman"/>
          <w:sz w:val="20"/>
          <w:szCs w:val="20"/>
        </w:rPr>
        <w:t xml:space="preserve">C, the expansion </w:t>
      </w:r>
      <w:r w:rsidRPr="004D6629">
        <w:rPr>
          <w:rFonts w:ascii="Times New Roman" w:hAnsi="Times New Roman" w:cs="Times New Roman"/>
          <w:sz w:val="20"/>
          <w:szCs w:val="20"/>
        </w:rPr>
        <w:lastRenderedPageBreak/>
        <w:t>vibration of C</w:t>
      </w:r>
      <w:r w:rsidRPr="004D6629">
        <w:rPr>
          <w:rFonts w:ascii="Times New Roman" w:hAnsi="Times New Roman" w:cs="Times New Roman"/>
          <w:sz w:val="20"/>
          <w:szCs w:val="20"/>
        </w:rPr>
        <w:t>＝</w:t>
      </w:r>
      <w:r w:rsidRPr="004D6629">
        <w:rPr>
          <w:rFonts w:ascii="Times New Roman" w:hAnsi="Times New Roman" w:cs="Times New Roman"/>
          <w:sz w:val="20"/>
          <w:szCs w:val="20"/>
        </w:rPr>
        <w:t>O appears at 1722 cm</w:t>
      </w:r>
      <w:r w:rsidRPr="004D6629">
        <w:rPr>
          <w:rFonts w:ascii="Times New Roman" w:hAnsi="Times New Roman" w:cs="Times New Roman"/>
          <w:sz w:val="20"/>
          <w:szCs w:val="20"/>
          <w:vertAlign w:val="superscript"/>
        </w:rPr>
        <w:t>-1</w:t>
      </w:r>
      <w:r w:rsidRPr="004D6629">
        <w:rPr>
          <w:rFonts w:ascii="Times New Roman" w:hAnsi="Times New Roman" w:cs="Times New Roman"/>
          <w:sz w:val="20"/>
          <w:szCs w:val="20"/>
        </w:rPr>
        <w:t>, the peak at 1380 and 1167 cm</w:t>
      </w:r>
      <w:r w:rsidRPr="004D6629">
        <w:rPr>
          <w:rFonts w:ascii="Times New Roman" w:hAnsi="Times New Roman" w:cs="Times New Roman"/>
          <w:sz w:val="20"/>
          <w:szCs w:val="20"/>
          <w:vertAlign w:val="superscript"/>
        </w:rPr>
        <w:t>-1</w:t>
      </w:r>
      <w:r w:rsidRPr="004D6629">
        <w:rPr>
          <w:rFonts w:ascii="Times New Roman" w:hAnsi="Times New Roman" w:cs="Times New Roman"/>
          <w:sz w:val="20"/>
          <w:szCs w:val="20"/>
        </w:rPr>
        <w:t xml:space="preserve"> belongs to the </w:t>
      </w:r>
      <w:r w:rsidRPr="004D6629">
        <w:rPr>
          <w:rFonts w:ascii="Times New Roman" w:hAnsi="Times New Roman" w:cs="Times New Roman"/>
          <w:sz w:val="20"/>
          <w:szCs w:val="20"/>
        </w:rPr>
        <w:t>－</w:t>
      </w:r>
      <w:r w:rsidRPr="004D6629">
        <w:rPr>
          <w:rFonts w:ascii="Times New Roman" w:hAnsi="Times New Roman" w:cs="Times New Roman"/>
          <w:sz w:val="20"/>
          <w:szCs w:val="20"/>
        </w:rPr>
        <w:t>C</w:t>
      </w:r>
      <w:r w:rsidRPr="004D6629">
        <w:rPr>
          <w:rFonts w:ascii="Times New Roman" w:hAnsi="Times New Roman" w:cs="Times New Roman"/>
          <w:sz w:val="20"/>
          <w:szCs w:val="20"/>
        </w:rPr>
        <w:t>－</w:t>
      </w:r>
      <w:r w:rsidRPr="004D6629">
        <w:rPr>
          <w:rFonts w:ascii="Times New Roman" w:hAnsi="Times New Roman" w:cs="Times New Roman"/>
          <w:sz w:val="20"/>
          <w:szCs w:val="20"/>
        </w:rPr>
        <w:t>O</w:t>
      </w:r>
      <w:r w:rsidRPr="004D6629">
        <w:rPr>
          <w:rFonts w:ascii="Times New Roman" w:hAnsi="Times New Roman" w:cs="Times New Roman"/>
          <w:sz w:val="20"/>
          <w:szCs w:val="20"/>
        </w:rPr>
        <w:t>－</w:t>
      </w:r>
      <w:r w:rsidRPr="004D6629">
        <w:rPr>
          <w:rFonts w:ascii="Times New Roman" w:hAnsi="Times New Roman" w:cs="Times New Roman"/>
          <w:sz w:val="20"/>
          <w:szCs w:val="20"/>
        </w:rPr>
        <w:t>C</w:t>
      </w:r>
      <w:r w:rsidRPr="004D6629">
        <w:rPr>
          <w:rFonts w:ascii="Times New Roman" w:hAnsi="Times New Roman" w:cs="Times New Roman"/>
          <w:sz w:val="20"/>
          <w:szCs w:val="20"/>
        </w:rPr>
        <w:t>－</w:t>
      </w:r>
      <w:r w:rsidRPr="004D6629">
        <w:rPr>
          <w:rFonts w:ascii="Times New Roman" w:hAnsi="Times New Roman" w:cs="Times New Roman"/>
          <w:sz w:val="20"/>
          <w:szCs w:val="20"/>
        </w:rPr>
        <w:t xml:space="preserve"> in the ester, the absorption peak of the long chain alkyl (</w:t>
      </w:r>
      <w:r w:rsidRPr="004D6629">
        <w:rPr>
          <w:rFonts w:ascii="Times New Roman" w:hAnsi="Times New Roman" w:cs="Times New Roman"/>
          <w:sz w:val="20"/>
          <w:szCs w:val="20"/>
        </w:rPr>
        <w:t>－</w:t>
      </w:r>
      <w:r w:rsidRPr="004D6629">
        <w:rPr>
          <w:rFonts w:ascii="Times New Roman" w:hAnsi="Times New Roman" w:cs="Times New Roman"/>
          <w:sz w:val="20"/>
          <w:szCs w:val="20"/>
        </w:rPr>
        <w:t>[CH</w:t>
      </w:r>
      <w:r w:rsidRPr="004D6629">
        <w:rPr>
          <w:rFonts w:ascii="Times New Roman" w:hAnsi="Times New Roman" w:cs="Times New Roman"/>
          <w:sz w:val="20"/>
          <w:szCs w:val="20"/>
          <w:vertAlign w:val="subscript"/>
        </w:rPr>
        <w:t>2</w:t>
      </w:r>
      <w:r w:rsidRPr="004D6629">
        <w:rPr>
          <w:rFonts w:ascii="Times New Roman" w:hAnsi="Times New Roman" w:cs="Times New Roman"/>
          <w:sz w:val="20"/>
          <w:szCs w:val="20"/>
        </w:rPr>
        <w:t>]</w:t>
      </w:r>
      <w:r w:rsidRPr="004D6629">
        <w:rPr>
          <w:rFonts w:ascii="Times New Roman" w:hAnsi="Times New Roman" w:cs="Times New Roman"/>
          <w:sz w:val="20"/>
          <w:szCs w:val="20"/>
          <w:vertAlign w:val="subscript"/>
        </w:rPr>
        <w:t>n</w:t>
      </w:r>
      <w:r w:rsidRPr="004D6629">
        <w:rPr>
          <w:rFonts w:ascii="Times New Roman" w:hAnsi="Times New Roman" w:cs="Times New Roman"/>
          <w:sz w:val="20"/>
          <w:szCs w:val="20"/>
        </w:rPr>
        <w:t>－</w:t>
      </w:r>
      <w:r w:rsidRPr="004D6629">
        <w:rPr>
          <w:rFonts w:ascii="Times New Roman" w:hAnsi="Times New Roman" w:cs="Times New Roman"/>
          <w:sz w:val="20"/>
          <w:szCs w:val="20"/>
        </w:rPr>
        <w:t>) appears at 715 cm</w:t>
      </w:r>
      <w:r w:rsidRPr="004D6629">
        <w:rPr>
          <w:rFonts w:ascii="Times New Roman" w:hAnsi="Times New Roman" w:cs="Times New Roman"/>
          <w:sz w:val="20"/>
          <w:szCs w:val="20"/>
          <w:vertAlign w:val="superscript"/>
        </w:rPr>
        <w:t>-1</w:t>
      </w:r>
      <w:r w:rsidRPr="004D6629">
        <w:rPr>
          <w:rFonts w:ascii="Times New Roman" w:hAnsi="Times New Roman" w:cs="Times New Roman"/>
          <w:sz w:val="20"/>
          <w:szCs w:val="20"/>
        </w:rPr>
        <w:t>, and the absorption peak is not observed around 3400 cm</w:t>
      </w:r>
      <w:r w:rsidRPr="004D6629">
        <w:rPr>
          <w:rFonts w:ascii="Times New Roman" w:hAnsi="Times New Roman" w:cs="Times New Roman"/>
          <w:sz w:val="20"/>
          <w:szCs w:val="20"/>
          <w:vertAlign w:val="superscript"/>
        </w:rPr>
        <w:t>-1</w:t>
      </w:r>
      <w:r w:rsidRPr="004D6629">
        <w:rPr>
          <w:rFonts w:ascii="Times New Roman" w:hAnsi="Times New Roman" w:cs="Times New Roman"/>
          <w:sz w:val="20"/>
          <w:szCs w:val="20"/>
        </w:rPr>
        <w:t>, indicating no impurities (</w:t>
      </w:r>
      <w:r w:rsidRPr="004D6629">
        <w:rPr>
          <w:rFonts w:ascii="Times New Roman" w:hAnsi="Times New Roman" w:cs="Times New Roman"/>
          <w:sz w:val="20"/>
          <w:szCs w:val="20"/>
        </w:rPr>
        <w:t>－</w:t>
      </w:r>
      <w:r w:rsidRPr="004D6629">
        <w:rPr>
          <w:rFonts w:ascii="Times New Roman" w:hAnsi="Times New Roman" w:cs="Times New Roman"/>
          <w:sz w:val="20"/>
          <w:szCs w:val="20"/>
        </w:rPr>
        <w:t xml:space="preserve">OH and </w:t>
      </w:r>
      <w:r w:rsidRPr="004D6629">
        <w:rPr>
          <w:rFonts w:ascii="Times New Roman" w:hAnsi="Times New Roman" w:cs="Times New Roman"/>
          <w:sz w:val="20"/>
          <w:szCs w:val="20"/>
        </w:rPr>
        <w:t>－</w:t>
      </w:r>
      <w:r w:rsidRPr="004D6629">
        <w:rPr>
          <w:rFonts w:ascii="Times New Roman" w:hAnsi="Times New Roman" w:cs="Times New Roman"/>
          <w:sz w:val="20"/>
          <w:szCs w:val="20"/>
        </w:rPr>
        <w:t>COOH) in 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MC. For 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MC-MA-MCA, copolymers show a single substitution peak of benzene in MCA at 744</w:t>
      </w:r>
      <w:r w:rsidR="007A7015" w:rsidRPr="004D6629">
        <w:rPr>
          <w:rFonts w:ascii="Times New Roman" w:hAnsi="Times New Roman" w:cs="Times New Roman"/>
          <w:sz w:val="20"/>
          <w:szCs w:val="20"/>
        </w:rPr>
        <w:t xml:space="preserve"> </w:t>
      </w:r>
      <w:r w:rsidRPr="004D6629">
        <w:rPr>
          <w:rFonts w:ascii="Times New Roman" w:hAnsi="Times New Roman" w:cs="Times New Roman"/>
          <w:sz w:val="20"/>
          <w:szCs w:val="20"/>
        </w:rPr>
        <w:t>cm</w:t>
      </w:r>
      <w:r w:rsidRPr="004D6629">
        <w:rPr>
          <w:rFonts w:ascii="Times New Roman" w:hAnsi="Times New Roman" w:cs="Times New Roman"/>
          <w:sz w:val="20"/>
          <w:szCs w:val="20"/>
          <w:vertAlign w:val="superscript"/>
        </w:rPr>
        <w:t>-1</w:t>
      </w:r>
      <w:r w:rsidRPr="004D6629">
        <w:rPr>
          <w:rFonts w:ascii="Times New Roman" w:hAnsi="Times New Roman" w:cs="Times New Roman"/>
          <w:sz w:val="20"/>
          <w:szCs w:val="20"/>
        </w:rPr>
        <w:t>, C</w:t>
      </w:r>
      <w:r w:rsidRPr="004D6629">
        <w:rPr>
          <w:rFonts w:ascii="Times New Roman" w:hAnsi="Times New Roman" w:cs="Times New Roman"/>
          <w:sz w:val="20"/>
          <w:szCs w:val="20"/>
        </w:rPr>
        <w:t>＝</w:t>
      </w:r>
      <w:r w:rsidRPr="004D6629">
        <w:rPr>
          <w:rFonts w:ascii="Times New Roman" w:hAnsi="Times New Roman" w:cs="Times New Roman"/>
          <w:sz w:val="20"/>
          <w:szCs w:val="20"/>
        </w:rPr>
        <w:t>O absorption peak at 1722 cm</w:t>
      </w:r>
      <w:r w:rsidRPr="004D6629">
        <w:rPr>
          <w:rFonts w:ascii="Times New Roman" w:hAnsi="Times New Roman" w:cs="Times New Roman"/>
          <w:sz w:val="20"/>
          <w:szCs w:val="20"/>
          <w:vertAlign w:val="superscript"/>
        </w:rPr>
        <w:t>-1</w:t>
      </w:r>
      <w:r w:rsidRPr="004D6629">
        <w:rPr>
          <w:rFonts w:ascii="Times New Roman" w:hAnsi="Times New Roman" w:cs="Times New Roman"/>
          <w:sz w:val="20"/>
          <w:szCs w:val="20"/>
        </w:rPr>
        <w:t>; C</w:t>
      </w:r>
      <w:r w:rsidRPr="004D6629">
        <w:rPr>
          <w:rFonts w:ascii="Times New Roman" w:hAnsi="Times New Roman" w:cs="Times New Roman"/>
          <w:sz w:val="20"/>
          <w:szCs w:val="20"/>
        </w:rPr>
        <w:t>＝</w:t>
      </w:r>
      <w:r w:rsidRPr="004D6629">
        <w:rPr>
          <w:rFonts w:ascii="Times New Roman" w:hAnsi="Times New Roman" w:cs="Times New Roman"/>
          <w:sz w:val="20"/>
          <w:szCs w:val="20"/>
        </w:rPr>
        <w:t>O and C</w:t>
      </w:r>
      <w:r w:rsidRPr="004D6629">
        <w:rPr>
          <w:rFonts w:ascii="Times New Roman" w:hAnsi="Times New Roman" w:cs="Times New Roman"/>
          <w:sz w:val="20"/>
          <w:szCs w:val="20"/>
        </w:rPr>
        <w:t>－</w:t>
      </w:r>
      <w:r w:rsidRPr="004D6629">
        <w:rPr>
          <w:rFonts w:ascii="Times New Roman" w:hAnsi="Times New Roman" w:cs="Times New Roman"/>
          <w:sz w:val="20"/>
          <w:szCs w:val="20"/>
        </w:rPr>
        <w:t>O characteristic absorption peak at 1787cm</w:t>
      </w:r>
      <w:r w:rsidRPr="004D6629">
        <w:rPr>
          <w:rFonts w:ascii="Times New Roman" w:hAnsi="Times New Roman" w:cs="Times New Roman"/>
          <w:sz w:val="20"/>
          <w:szCs w:val="20"/>
          <w:vertAlign w:val="superscript"/>
        </w:rPr>
        <w:t>-1</w:t>
      </w:r>
      <w:r w:rsidRPr="004D6629">
        <w:rPr>
          <w:rFonts w:ascii="Times New Roman" w:hAnsi="Times New Roman" w:cs="Times New Roman"/>
          <w:sz w:val="20"/>
          <w:szCs w:val="20"/>
        </w:rPr>
        <w:t xml:space="preserve"> and 1250 cm</w:t>
      </w:r>
      <w:r w:rsidRPr="004D6629">
        <w:rPr>
          <w:rFonts w:ascii="Times New Roman" w:hAnsi="Times New Roman" w:cs="Times New Roman"/>
          <w:sz w:val="20"/>
          <w:szCs w:val="20"/>
          <w:vertAlign w:val="superscript"/>
        </w:rPr>
        <w:t>-1</w:t>
      </w:r>
      <w:r w:rsidRPr="004D6629">
        <w:rPr>
          <w:rFonts w:ascii="Times New Roman" w:hAnsi="Times New Roman" w:cs="Times New Roman"/>
          <w:sz w:val="20"/>
          <w:szCs w:val="20"/>
        </w:rPr>
        <w:t xml:space="preserve"> in MA, 2858 and 2924 cm</w:t>
      </w:r>
      <w:r w:rsidRPr="004D6629">
        <w:rPr>
          <w:rFonts w:ascii="Times New Roman" w:hAnsi="Times New Roman" w:cs="Times New Roman"/>
          <w:sz w:val="20"/>
          <w:szCs w:val="20"/>
          <w:vertAlign w:val="superscript"/>
        </w:rPr>
        <w:t>-1</w:t>
      </w:r>
      <w:r w:rsidRPr="004D6629">
        <w:rPr>
          <w:rFonts w:ascii="Times New Roman" w:hAnsi="Times New Roman" w:cs="Times New Roman"/>
          <w:sz w:val="20"/>
          <w:szCs w:val="20"/>
        </w:rPr>
        <w:t xml:space="preserve"> are characteristic absorption peaks of CH</w:t>
      </w:r>
      <w:r w:rsidRPr="004D6629">
        <w:rPr>
          <w:rFonts w:ascii="Times New Roman" w:hAnsi="Times New Roman" w:cs="Times New Roman"/>
          <w:sz w:val="20"/>
          <w:szCs w:val="20"/>
          <w:vertAlign w:val="subscript"/>
        </w:rPr>
        <w:t>3</w:t>
      </w:r>
      <w:r w:rsidRPr="004D6629">
        <w:rPr>
          <w:rFonts w:ascii="Times New Roman" w:hAnsi="Times New Roman" w:cs="Times New Roman"/>
          <w:sz w:val="20"/>
          <w:szCs w:val="20"/>
        </w:rPr>
        <w:t>- and -CH</w:t>
      </w:r>
      <w:r w:rsidRPr="004D6629">
        <w:rPr>
          <w:rFonts w:ascii="Times New Roman" w:hAnsi="Times New Roman" w:cs="Times New Roman"/>
          <w:sz w:val="20"/>
          <w:szCs w:val="20"/>
          <w:vertAlign w:val="subscript"/>
        </w:rPr>
        <w:t>2</w:t>
      </w:r>
      <w:r w:rsidRPr="004D6629">
        <w:rPr>
          <w:rFonts w:ascii="Times New Roman" w:hAnsi="Times New Roman" w:cs="Times New Roman"/>
          <w:sz w:val="20"/>
          <w:szCs w:val="20"/>
        </w:rPr>
        <w:t>-. There is no C=C stretching peak near 1629 cm</w:t>
      </w:r>
      <w:r w:rsidRPr="004D6629">
        <w:rPr>
          <w:rFonts w:ascii="Times New Roman" w:hAnsi="Times New Roman" w:cs="Times New Roman"/>
          <w:sz w:val="20"/>
          <w:szCs w:val="20"/>
          <w:vertAlign w:val="superscript"/>
        </w:rPr>
        <w:t>-1</w:t>
      </w:r>
      <w:r w:rsidRPr="004D6629">
        <w:rPr>
          <w:rFonts w:ascii="Times New Roman" w:hAnsi="Times New Roman" w:cs="Times New Roman"/>
          <w:sz w:val="20"/>
          <w:szCs w:val="20"/>
        </w:rPr>
        <w:t xml:space="preserve"> in the spectrum of the 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MC-MA-MCA sample, so the 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MC-MA-MCA were successfully synthesized.</w:t>
      </w:r>
    </w:p>
    <w:p w14:paraId="54626223" w14:textId="4CF2C842" w:rsidR="00B96AB5" w:rsidRPr="004D6629" w:rsidRDefault="00B96AB5" w:rsidP="00B96AB5">
      <w:pPr>
        <w:jc w:val="center"/>
        <w:rPr>
          <w:rFonts w:ascii="Times New Roman" w:eastAsia="等线" w:hAnsi="Times New Roman" w:cs="Times New Roman"/>
          <w:sz w:val="20"/>
          <w:szCs w:val="20"/>
        </w:rPr>
      </w:pPr>
      <w:r w:rsidRPr="004D6629">
        <w:rPr>
          <w:rFonts w:ascii="Times New Roman" w:eastAsia="等线" w:hAnsi="Times New Roman" w:cs="Times New Roman"/>
          <w:noProof/>
          <w:sz w:val="20"/>
          <w:szCs w:val="20"/>
        </w:rPr>
        <w:drawing>
          <wp:inline distT="0" distB="0" distL="0" distR="0" wp14:anchorId="3A974DEF" wp14:editId="0BFC1681">
            <wp:extent cx="3387357" cy="2880000"/>
            <wp:effectExtent l="0" t="0" r="0" b="0"/>
            <wp:docPr id="2192457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1811" t="9590" r="10081" b="3641"/>
                    <a:stretch/>
                  </pic:blipFill>
                  <pic:spPr bwMode="auto">
                    <a:xfrm>
                      <a:off x="0" y="0"/>
                      <a:ext cx="3387357" cy="2880000"/>
                    </a:xfrm>
                    <a:prstGeom prst="rect">
                      <a:avLst/>
                    </a:prstGeom>
                    <a:noFill/>
                    <a:ln>
                      <a:noFill/>
                    </a:ln>
                    <a:extLst>
                      <a:ext uri="{53640926-AAD7-44D8-BBD7-CCE9431645EC}">
                        <a14:shadowObscured xmlns:a14="http://schemas.microsoft.com/office/drawing/2010/main"/>
                      </a:ext>
                    </a:extLst>
                  </pic:spPr>
                </pic:pic>
              </a:graphicData>
            </a:graphic>
          </wp:inline>
        </w:drawing>
      </w:r>
    </w:p>
    <w:p w14:paraId="5D5BCDE7" w14:textId="26531454" w:rsidR="00B96AB5" w:rsidRPr="004D6629" w:rsidRDefault="00B96AB5" w:rsidP="00B96AB5">
      <w:pPr>
        <w:spacing w:line="480" w:lineRule="auto"/>
        <w:jc w:val="center"/>
        <w:rPr>
          <w:rFonts w:ascii="Times New Roman" w:hAnsi="Times New Roman" w:cs="Times New Roman"/>
          <w:sz w:val="20"/>
          <w:szCs w:val="20"/>
        </w:rPr>
      </w:pPr>
      <w:r w:rsidRPr="004D6629">
        <w:rPr>
          <w:rFonts w:ascii="Times New Roman" w:hAnsi="Times New Roman" w:cs="Times New Roman"/>
          <w:bCs/>
          <w:sz w:val="20"/>
          <w:szCs w:val="20"/>
        </w:rPr>
        <w:t>Figure S</w:t>
      </w:r>
      <w:r w:rsidR="004D6629">
        <w:rPr>
          <w:rFonts w:ascii="Times New Roman" w:hAnsi="Times New Roman" w:cs="Times New Roman" w:hint="eastAsia"/>
          <w:bCs/>
          <w:sz w:val="20"/>
          <w:szCs w:val="20"/>
        </w:rPr>
        <w:t>3</w:t>
      </w:r>
      <w:r w:rsidRPr="004D6629">
        <w:rPr>
          <w:rFonts w:ascii="Times New Roman" w:hAnsi="Times New Roman" w:cs="Times New Roman"/>
          <w:bCs/>
          <w:sz w:val="20"/>
          <w:szCs w:val="20"/>
        </w:rPr>
        <w:t>.</w:t>
      </w:r>
      <w:r w:rsidR="00566879" w:rsidRPr="004D6629">
        <w:rPr>
          <w:rFonts w:ascii="Times New Roman" w:hAnsi="Times New Roman" w:cs="Times New Roman"/>
          <w:bCs/>
          <w:sz w:val="20"/>
          <w:szCs w:val="20"/>
        </w:rPr>
        <w:t xml:space="preserve"> </w:t>
      </w:r>
      <w:r w:rsidRPr="004D6629">
        <w:rPr>
          <w:rFonts w:ascii="Times New Roman" w:hAnsi="Times New Roman" w:cs="Times New Roman"/>
          <w:bCs/>
          <w:sz w:val="20"/>
          <w:szCs w:val="20"/>
        </w:rPr>
        <w:t xml:space="preserve">The </w:t>
      </w:r>
      <w:r w:rsidR="00566879" w:rsidRPr="004D6629">
        <w:rPr>
          <w:rFonts w:ascii="Times New Roman" w:hAnsi="Times New Roman" w:cs="Times New Roman"/>
          <w:bCs/>
          <w:sz w:val="20"/>
          <w:szCs w:val="20"/>
        </w:rPr>
        <w:t>FT-IR</w:t>
      </w:r>
      <w:r w:rsidRPr="004D6629">
        <w:rPr>
          <w:rFonts w:ascii="Times New Roman" w:hAnsi="Times New Roman" w:cs="Times New Roman"/>
          <w:bCs/>
          <w:sz w:val="20"/>
          <w:szCs w:val="20"/>
        </w:rPr>
        <w:t xml:space="preserve"> sp</w:t>
      </w:r>
      <w:r w:rsidRPr="004D6629">
        <w:rPr>
          <w:rFonts w:ascii="Times New Roman" w:hAnsi="Times New Roman" w:cs="Times New Roman"/>
          <w:sz w:val="20"/>
          <w:szCs w:val="20"/>
        </w:rPr>
        <w:t>ectra of 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 xml:space="preserve">MC and </w:t>
      </w:r>
      <w:r w:rsidR="007A7015" w:rsidRPr="004D6629">
        <w:rPr>
          <w:rFonts w:ascii="Times New Roman" w:hAnsi="Times New Roman" w:cs="Times New Roman"/>
          <w:sz w:val="20"/>
          <w:szCs w:val="20"/>
        </w:rPr>
        <w:t>C</w:t>
      </w:r>
      <w:r w:rsidR="007A7015" w:rsidRPr="004D6629">
        <w:rPr>
          <w:rFonts w:ascii="Times New Roman" w:hAnsi="Times New Roman" w:cs="Times New Roman"/>
          <w:sz w:val="20"/>
          <w:szCs w:val="20"/>
          <w:vertAlign w:val="subscript"/>
        </w:rPr>
        <w:t>14</w:t>
      </w:r>
      <w:r w:rsidR="007A7015" w:rsidRPr="004D6629">
        <w:rPr>
          <w:rFonts w:ascii="Times New Roman" w:hAnsi="Times New Roman" w:cs="Times New Roman"/>
          <w:sz w:val="20"/>
          <w:szCs w:val="20"/>
        </w:rPr>
        <w:t>MC-MA-MCA</w:t>
      </w:r>
      <w:r w:rsidRPr="004D6629">
        <w:rPr>
          <w:rFonts w:ascii="Times New Roman" w:hAnsi="Times New Roman" w:cs="Times New Roman"/>
          <w:sz w:val="20"/>
          <w:szCs w:val="20"/>
        </w:rPr>
        <w:t xml:space="preserve"> </w:t>
      </w:r>
    </w:p>
    <w:p w14:paraId="25F6F40E" w14:textId="77777777" w:rsidR="00B96AB5" w:rsidRPr="004D6629" w:rsidRDefault="00B96AB5" w:rsidP="00D74673">
      <w:pPr>
        <w:spacing w:before="120" w:after="240"/>
        <w:rPr>
          <w:rFonts w:ascii="Times New Roman" w:hAnsi="Times New Roman" w:cs="Times New Roman"/>
          <w:b/>
          <w:sz w:val="20"/>
          <w:szCs w:val="20"/>
        </w:rPr>
      </w:pPr>
      <w:r w:rsidRPr="004D6629">
        <w:rPr>
          <w:rFonts w:ascii="Times New Roman" w:hAnsi="Times New Roman" w:cs="Times New Roman"/>
          <w:b/>
          <w:sz w:val="20"/>
          <w:szCs w:val="20"/>
        </w:rPr>
        <w:t>2.2. Proton nuclear magnetic resonance (</w:t>
      </w:r>
      <w:r w:rsidRPr="004D6629">
        <w:rPr>
          <w:rFonts w:ascii="Times New Roman" w:hAnsi="Times New Roman" w:cs="Times New Roman"/>
          <w:b/>
          <w:sz w:val="20"/>
          <w:szCs w:val="20"/>
          <w:vertAlign w:val="superscript"/>
        </w:rPr>
        <w:t>1</w:t>
      </w:r>
      <w:r w:rsidRPr="004D6629">
        <w:rPr>
          <w:rFonts w:ascii="Times New Roman" w:hAnsi="Times New Roman" w:cs="Times New Roman"/>
          <w:b/>
          <w:sz w:val="20"/>
          <w:szCs w:val="20"/>
        </w:rPr>
        <w:t xml:space="preserve">H NMR) </w:t>
      </w:r>
    </w:p>
    <w:p w14:paraId="33CADFA8" w14:textId="77777777" w:rsidR="004D6629" w:rsidRPr="004D6629" w:rsidRDefault="004D6629" w:rsidP="004D6629">
      <w:pPr>
        <w:jc w:val="center"/>
        <w:rPr>
          <w:rFonts w:ascii="Times New Roman" w:eastAsia="等线" w:hAnsi="Times New Roman" w:cs="Times New Roman"/>
          <w:sz w:val="20"/>
          <w:szCs w:val="20"/>
        </w:rPr>
      </w:pPr>
      <w:r w:rsidRPr="004D6629">
        <w:rPr>
          <w:rFonts w:ascii="Times New Roman" w:hAnsi="Times New Roman" w:cs="Times New Roman"/>
          <w:noProof/>
          <w:sz w:val="20"/>
          <w:szCs w:val="20"/>
        </w:rPr>
        <w:drawing>
          <wp:inline distT="0" distB="0" distL="0" distR="0" wp14:anchorId="6F07FF18" wp14:editId="5F125109">
            <wp:extent cx="3327218" cy="2484000"/>
            <wp:effectExtent l="0" t="0" r="0" b="0"/>
            <wp:docPr id="32084692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846927" name="图片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3327218" cy="2484000"/>
                    </a:xfrm>
                    <a:prstGeom prst="rect">
                      <a:avLst/>
                    </a:prstGeom>
                    <a:noFill/>
                  </pic:spPr>
                </pic:pic>
              </a:graphicData>
            </a:graphic>
          </wp:inline>
        </w:drawing>
      </w:r>
    </w:p>
    <w:p w14:paraId="50B46671" w14:textId="79E767D7" w:rsidR="004D6629" w:rsidRPr="004D6629" w:rsidRDefault="004D6629" w:rsidP="004D6629">
      <w:pPr>
        <w:spacing w:line="480" w:lineRule="auto"/>
        <w:ind w:firstLine="241"/>
        <w:jc w:val="center"/>
        <w:rPr>
          <w:rFonts w:ascii="Times New Roman" w:hAnsi="Times New Roman" w:cs="Times New Roman"/>
          <w:sz w:val="20"/>
          <w:szCs w:val="20"/>
        </w:rPr>
      </w:pPr>
      <w:r w:rsidRPr="004D6629">
        <w:rPr>
          <w:rFonts w:ascii="Times New Roman" w:hAnsi="Times New Roman" w:cs="Times New Roman"/>
          <w:bCs/>
          <w:sz w:val="20"/>
          <w:szCs w:val="20"/>
        </w:rPr>
        <w:t>Figure S</w:t>
      </w:r>
      <w:r w:rsidR="00A83F74">
        <w:rPr>
          <w:rFonts w:ascii="Times New Roman" w:hAnsi="Times New Roman" w:cs="Times New Roman" w:hint="eastAsia"/>
          <w:bCs/>
          <w:sz w:val="20"/>
          <w:szCs w:val="20"/>
        </w:rPr>
        <w:t>4</w:t>
      </w:r>
      <w:r w:rsidRPr="004D6629">
        <w:rPr>
          <w:rFonts w:ascii="Times New Roman" w:hAnsi="Times New Roman" w:cs="Times New Roman"/>
          <w:bCs/>
          <w:sz w:val="20"/>
          <w:szCs w:val="20"/>
        </w:rPr>
        <w:t xml:space="preserve">. </w:t>
      </w:r>
      <w:r w:rsidRPr="004D6629">
        <w:rPr>
          <w:rFonts w:ascii="Times New Roman" w:hAnsi="Times New Roman" w:cs="Times New Roman"/>
          <w:bCs/>
          <w:sz w:val="20"/>
          <w:szCs w:val="20"/>
          <w:vertAlign w:val="superscript"/>
        </w:rPr>
        <w:t>1</w:t>
      </w:r>
      <w:r w:rsidRPr="004D6629">
        <w:rPr>
          <w:rFonts w:ascii="Times New Roman" w:hAnsi="Times New Roman" w:cs="Times New Roman"/>
          <w:sz w:val="20"/>
          <w:szCs w:val="20"/>
        </w:rPr>
        <w:t>H NMR spectra of 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 xml:space="preserve">MC </w:t>
      </w:r>
    </w:p>
    <w:p w14:paraId="7655344D" w14:textId="0A1B345C" w:rsidR="007A7015" w:rsidRPr="004D6629" w:rsidRDefault="00B96AB5" w:rsidP="004D6629">
      <w:pPr>
        <w:pStyle w:val="Paragraph"/>
        <w:spacing w:line="400" w:lineRule="exact"/>
        <w:ind w:firstLineChars="200" w:firstLine="400"/>
        <w:rPr>
          <w:sz w:val="20"/>
          <w:szCs w:val="20"/>
          <w:lang w:val="en-US" w:eastAsia="zh-CN"/>
        </w:rPr>
      </w:pPr>
      <w:r w:rsidRPr="004D6629">
        <w:rPr>
          <w:sz w:val="20"/>
          <w:szCs w:val="20"/>
        </w:rPr>
        <w:lastRenderedPageBreak/>
        <w:t>The chemical structures of the prepared C</w:t>
      </w:r>
      <w:r w:rsidRPr="004D6629">
        <w:rPr>
          <w:sz w:val="20"/>
          <w:szCs w:val="20"/>
          <w:vertAlign w:val="subscript"/>
        </w:rPr>
        <w:t>14</w:t>
      </w:r>
      <w:r w:rsidRPr="004D6629">
        <w:rPr>
          <w:sz w:val="20"/>
          <w:szCs w:val="20"/>
        </w:rPr>
        <w:t xml:space="preserve">MC </w:t>
      </w:r>
      <w:r w:rsidR="007A7015" w:rsidRPr="004D6629">
        <w:rPr>
          <w:sz w:val="20"/>
          <w:szCs w:val="20"/>
          <w:lang w:eastAsia="zh-CN"/>
        </w:rPr>
        <w:t>w</w:t>
      </w:r>
      <w:r w:rsidR="00566879" w:rsidRPr="004D6629">
        <w:rPr>
          <w:sz w:val="20"/>
          <w:szCs w:val="20"/>
          <w:lang w:eastAsia="zh-CN"/>
        </w:rPr>
        <w:t>ere</w:t>
      </w:r>
      <w:r w:rsidRPr="004D6629">
        <w:rPr>
          <w:sz w:val="20"/>
          <w:szCs w:val="20"/>
        </w:rPr>
        <w:t xml:space="preserve"> characterized by </w:t>
      </w:r>
      <w:r w:rsidRPr="004D6629">
        <w:rPr>
          <w:sz w:val="20"/>
          <w:szCs w:val="20"/>
          <w:vertAlign w:val="superscript"/>
        </w:rPr>
        <w:t>1</w:t>
      </w:r>
      <w:r w:rsidRPr="004D6629">
        <w:rPr>
          <w:sz w:val="20"/>
          <w:szCs w:val="20"/>
        </w:rPr>
        <w:t xml:space="preserve">H NMR analysis. The typical </w:t>
      </w:r>
      <w:r w:rsidRPr="004D6629">
        <w:rPr>
          <w:sz w:val="20"/>
          <w:szCs w:val="20"/>
          <w:vertAlign w:val="superscript"/>
        </w:rPr>
        <w:t>1</w:t>
      </w:r>
      <w:r w:rsidRPr="004D6629">
        <w:rPr>
          <w:sz w:val="20"/>
          <w:szCs w:val="20"/>
        </w:rPr>
        <w:t xml:space="preserve">H NMR spectra of the prepared monomer and terpolymers are presented in Figure S4. </w:t>
      </w:r>
      <w:r w:rsidR="007A7015" w:rsidRPr="004D6629">
        <w:rPr>
          <w:sz w:val="20"/>
          <w:szCs w:val="20"/>
          <w:lang w:val="en-US" w:eastAsia="zh-CN"/>
        </w:rPr>
        <w:t>The peak at 7.2 ppm belongs to the solvent (CDCl</w:t>
      </w:r>
      <w:r w:rsidR="007A7015" w:rsidRPr="004D6629">
        <w:rPr>
          <w:sz w:val="20"/>
          <w:szCs w:val="20"/>
          <w:vertAlign w:val="subscript"/>
          <w:lang w:val="en-US" w:eastAsia="zh-CN"/>
        </w:rPr>
        <w:t>3</w:t>
      </w:r>
      <w:r w:rsidR="007A7015" w:rsidRPr="004D6629">
        <w:rPr>
          <w:sz w:val="20"/>
          <w:szCs w:val="20"/>
          <w:lang w:val="en-US" w:eastAsia="zh-CN"/>
        </w:rPr>
        <w:t>), the peak at 5.53 and 6.09 ppm belongs to C=CH</w:t>
      </w:r>
      <w:r w:rsidR="007A7015" w:rsidRPr="004D6629">
        <w:rPr>
          <w:sz w:val="20"/>
          <w:szCs w:val="20"/>
          <w:vertAlign w:val="subscript"/>
          <w:lang w:val="en-US" w:eastAsia="zh-CN"/>
        </w:rPr>
        <w:t>2</w:t>
      </w:r>
      <w:r w:rsidR="007A7015" w:rsidRPr="004D6629">
        <w:rPr>
          <w:sz w:val="20"/>
          <w:szCs w:val="20"/>
          <w:lang w:val="en-US" w:eastAsia="zh-CN"/>
        </w:rPr>
        <w:t>, the H of the methylene group adjacent to the oxygen atom shows a chemical shift of 4.13 ppm, the peak of -CH</w:t>
      </w:r>
      <w:r w:rsidR="007A7015" w:rsidRPr="004D6629">
        <w:rPr>
          <w:sz w:val="20"/>
          <w:szCs w:val="20"/>
          <w:vertAlign w:val="subscript"/>
          <w:lang w:val="en-US" w:eastAsia="zh-CN"/>
        </w:rPr>
        <w:t>3</w:t>
      </w:r>
      <w:r w:rsidR="007A7015" w:rsidRPr="004D6629">
        <w:rPr>
          <w:sz w:val="20"/>
          <w:szCs w:val="20"/>
          <w:lang w:val="en-US" w:eastAsia="zh-CN"/>
        </w:rPr>
        <w:t xml:space="preserve"> on C=C shows a chemical shift of 1.94 ppm, and the H of the methylene adjacent to the methylene, which is adjacent to the oxygen atom of tetradecyl, is observed at a chemical shift of 1.66 ppm. Moreover, the H in the long-chain methylene bands exhibits a chemical shift of 1.25 ppm, and the chemical shifts for the methyl groups are ranged within 0.87 ppm. The proportion of these hydrogen is approximately consistent with the proportion of various types of hydrogen in C</w:t>
      </w:r>
      <w:r w:rsidR="007A7015" w:rsidRPr="004D6629">
        <w:rPr>
          <w:sz w:val="20"/>
          <w:szCs w:val="20"/>
          <w:vertAlign w:val="subscript"/>
          <w:lang w:val="en-US" w:eastAsia="zh-CN"/>
        </w:rPr>
        <w:t>14</w:t>
      </w:r>
      <w:r w:rsidR="007A7015" w:rsidRPr="004D6629">
        <w:rPr>
          <w:sz w:val="20"/>
          <w:szCs w:val="20"/>
          <w:lang w:val="en-US" w:eastAsia="zh-CN"/>
        </w:rPr>
        <w:t>MC. These results indicate that C</w:t>
      </w:r>
      <w:r w:rsidR="007A7015" w:rsidRPr="004D6629">
        <w:rPr>
          <w:sz w:val="20"/>
          <w:szCs w:val="20"/>
          <w:vertAlign w:val="subscript"/>
          <w:lang w:val="en-US" w:eastAsia="zh-CN"/>
        </w:rPr>
        <w:t>14</w:t>
      </w:r>
      <w:r w:rsidR="007A7015" w:rsidRPr="004D6629">
        <w:rPr>
          <w:sz w:val="20"/>
          <w:szCs w:val="20"/>
          <w:lang w:val="en-US" w:eastAsia="zh-CN"/>
        </w:rPr>
        <w:t>MC was synthesized successfully</w:t>
      </w:r>
      <w:r w:rsidRPr="004D6629">
        <w:rPr>
          <w:sz w:val="20"/>
          <w:szCs w:val="20"/>
        </w:rPr>
        <w:t>.</w:t>
      </w:r>
    </w:p>
    <w:p w14:paraId="052F83F1" w14:textId="77777777" w:rsidR="00B96AB5" w:rsidRPr="004D6629" w:rsidRDefault="00B96AB5" w:rsidP="00D74673">
      <w:pPr>
        <w:spacing w:before="120" w:after="240"/>
        <w:rPr>
          <w:rFonts w:ascii="Times New Roman" w:hAnsi="Times New Roman" w:cs="Times New Roman"/>
          <w:b/>
          <w:sz w:val="20"/>
          <w:szCs w:val="20"/>
        </w:rPr>
      </w:pPr>
      <w:r w:rsidRPr="004D6629">
        <w:rPr>
          <w:rFonts w:ascii="Times New Roman" w:hAnsi="Times New Roman" w:cs="Times New Roman"/>
          <w:b/>
          <w:sz w:val="20"/>
          <w:szCs w:val="20"/>
        </w:rPr>
        <w:t xml:space="preserve">2.3. Gel permeation chromatography (GPC) </w:t>
      </w:r>
    </w:p>
    <w:p w14:paraId="1C423853" w14:textId="52EED604" w:rsidR="00B96AB5" w:rsidRPr="004D6629" w:rsidRDefault="007A7015" w:rsidP="00D74673">
      <w:pPr>
        <w:spacing w:line="400" w:lineRule="exact"/>
        <w:ind w:firstLineChars="200" w:firstLine="400"/>
        <w:rPr>
          <w:rFonts w:ascii="Times New Roman" w:hAnsi="Times New Roman" w:cs="Times New Roman"/>
          <w:sz w:val="20"/>
          <w:szCs w:val="20"/>
        </w:rPr>
      </w:pPr>
      <w:r w:rsidRPr="004D6629">
        <w:rPr>
          <w:rFonts w:ascii="Times New Roman" w:hAnsi="Times New Roman" w:cs="Times New Roman"/>
          <w:sz w:val="20"/>
          <w:szCs w:val="20"/>
        </w:rPr>
        <w:t>The molecular weight and polydispersity of C</w:t>
      </w:r>
      <w:r w:rsidRPr="004D6629">
        <w:rPr>
          <w:rFonts w:ascii="Times New Roman" w:hAnsi="Times New Roman" w:cs="Times New Roman"/>
          <w:sz w:val="20"/>
          <w:szCs w:val="20"/>
          <w:vertAlign w:val="subscript"/>
        </w:rPr>
        <w:t>14</w:t>
      </w:r>
      <w:r w:rsidRPr="004D6629">
        <w:rPr>
          <w:rFonts w:ascii="Times New Roman" w:hAnsi="Times New Roman" w:cs="Times New Roman"/>
          <w:sz w:val="20"/>
          <w:szCs w:val="20"/>
        </w:rPr>
        <w:t>MC-MA-MCA were determined by Agilent PL-GPC50 gel permeation chromatography. The internal standard was styrene, the mobile phase was DCM, and the flow rate was 1 ml/min</w:t>
      </w:r>
      <w:r w:rsidR="00B96AB5" w:rsidRPr="004D6629">
        <w:rPr>
          <w:rFonts w:ascii="Times New Roman" w:hAnsi="Times New Roman" w:cs="Times New Roman"/>
          <w:sz w:val="20"/>
          <w:szCs w:val="20"/>
        </w:rPr>
        <w:t xml:space="preserve">. </w:t>
      </w:r>
    </w:p>
    <w:p w14:paraId="33777CAE" w14:textId="77777777" w:rsidR="00B96AB5" w:rsidRPr="004D6629" w:rsidRDefault="00B96AB5" w:rsidP="00D74673">
      <w:pPr>
        <w:spacing w:before="120" w:after="240"/>
        <w:rPr>
          <w:rFonts w:ascii="Times New Roman" w:hAnsi="Times New Roman" w:cs="Times New Roman"/>
          <w:b/>
          <w:sz w:val="20"/>
          <w:szCs w:val="20"/>
        </w:rPr>
      </w:pPr>
      <w:r w:rsidRPr="004D6629">
        <w:rPr>
          <w:rFonts w:ascii="Times New Roman" w:hAnsi="Times New Roman" w:cs="Times New Roman"/>
          <w:b/>
          <w:sz w:val="20"/>
          <w:szCs w:val="20"/>
        </w:rPr>
        <w:t>3. Measurements of compositions of diesel fuel</w:t>
      </w:r>
    </w:p>
    <w:p w14:paraId="692368EA" w14:textId="7CF27ACD" w:rsidR="00387ED5" w:rsidRPr="004D6629" w:rsidRDefault="00566879" w:rsidP="00D74673">
      <w:pPr>
        <w:spacing w:line="400" w:lineRule="exact"/>
        <w:ind w:firstLineChars="200" w:firstLine="400"/>
        <w:rPr>
          <w:rFonts w:ascii="Times New Roman" w:hAnsi="Times New Roman" w:cs="Times New Roman"/>
          <w:sz w:val="20"/>
          <w:szCs w:val="20"/>
        </w:rPr>
      </w:pPr>
      <w:r w:rsidRPr="004D6629">
        <w:rPr>
          <w:rFonts w:ascii="Times New Roman" w:hAnsi="Times New Roman" w:cs="Times New Roman"/>
          <w:sz w:val="20"/>
          <w:szCs w:val="20"/>
        </w:rPr>
        <w:t>The composition of coal-based diesel was analyzed by Pegasus4D®/ 7890B full two-dimensional gas chromatography time-of-flight mass spectrometer (USA). The column was tro (50m×0.2mm×0.5μm) with initial column temperature of 60℃, heated for 1 min to 310 ℃ at 2 ℃/ min for 5 min. and carrier gas is helium gas with a flow rate of 1.0 ml/min.</w:t>
      </w:r>
    </w:p>
    <w:sectPr w:rsidR="00387ED5" w:rsidRPr="004D6629">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55E36D" w14:textId="77777777" w:rsidR="0030553C" w:rsidRDefault="0030553C" w:rsidP="00B96AB5">
      <w:r>
        <w:separator/>
      </w:r>
    </w:p>
  </w:endnote>
  <w:endnote w:type="continuationSeparator" w:id="0">
    <w:p w14:paraId="0D6FE016" w14:textId="77777777" w:rsidR="0030553C" w:rsidRDefault="0030553C" w:rsidP="00B96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42544898"/>
      <w:docPartObj>
        <w:docPartGallery w:val="Page Numbers (Bottom of Page)"/>
        <w:docPartUnique/>
      </w:docPartObj>
    </w:sdtPr>
    <w:sdtContent>
      <w:p w14:paraId="698E8348" w14:textId="4116E73C" w:rsidR="00D74673" w:rsidRDefault="00D74673">
        <w:pPr>
          <w:pStyle w:val="a5"/>
          <w:jc w:val="center"/>
          <w:rPr>
            <w:rFonts w:hint="eastAsia"/>
          </w:rPr>
        </w:pPr>
        <w:r>
          <w:fldChar w:fldCharType="begin"/>
        </w:r>
        <w:r>
          <w:instrText>PAGE   \* MERGEFORMAT</w:instrText>
        </w:r>
        <w:r>
          <w:fldChar w:fldCharType="separate"/>
        </w:r>
        <w:r>
          <w:rPr>
            <w:lang w:val="zh-CN"/>
          </w:rPr>
          <w:t>2</w:t>
        </w:r>
        <w:r>
          <w:fldChar w:fldCharType="end"/>
        </w:r>
      </w:p>
    </w:sdtContent>
  </w:sdt>
  <w:p w14:paraId="48E5F9DF" w14:textId="77777777" w:rsidR="00D74673" w:rsidRDefault="00D7467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886E97" w14:textId="77777777" w:rsidR="0030553C" w:rsidRDefault="0030553C" w:rsidP="00B96AB5">
      <w:r>
        <w:separator/>
      </w:r>
    </w:p>
  </w:footnote>
  <w:footnote w:type="continuationSeparator" w:id="0">
    <w:p w14:paraId="2F67E8CB" w14:textId="77777777" w:rsidR="0030553C" w:rsidRDefault="0030553C" w:rsidP="00B96A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F2385C"/>
    <w:multiLevelType w:val="hybridMultilevel"/>
    <w:tmpl w:val="72C0B3FA"/>
    <w:lvl w:ilvl="0" w:tplc="4000D38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73FE1922"/>
    <w:multiLevelType w:val="multilevel"/>
    <w:tmpl w:val="B2107DAA"/>
    <w:lvl w:ilvl="0">
      <w:start w:val="1"/>
      <w:numFmt w:val="bullet"/>
      <w:lvlText w:val="•"/>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95638769">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873180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C6582"/>
    <w:rsid w:val="000D1639"/>
    <w:rsid w:val="00127F23"/>
    <w:rsid w:val="0030553C"/>
    <w:rsid w:val="00387ED5"/>
    <w:rsid w:val="003B50C8"/>
    <w:rsid w:val="003D22EE"/>
    <w:rsid w:val="00476167"/>
    <w:rsid w:val="004A071F"/>
    <w:rsid w:val="004D6629"/>
    <w:rsid w:val="00566879"/>
    <w:rsid w:val="00624DDA"/>
    <w:rsid w:val="007404E0"/>
    <w:rsid w:val="007A7015"/>
    <w:rsid w:val="007C6582"/>
    <w:rsid w:val="009406F5"/>
    <w:rsid w:val="009D5657"/>
    <w:rsid w:val="00A83F74"/>
    <w:rsid w:val="00AD2433"/>
    <w:rsid w:val="00B96AB5"/>
    <w:rsid w:val="00C728C1"/>
    <w:rsid w:val="00C90A8C"/>
    <w:rsid w:val="00CE0821"/>
    <w:rsid w:val="00D74673"/>
    <w:rsid w:val="00FB4DCA"/>
    <w:rsid w:val="00FC05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1D6ED6"/>
  <w15:docId w15:val="{1A827C73-B295-467B-8AD3-0EC0F65AF5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6AB5"/>
    <w:pPr>
      <w:widowControl w:val="0"/>
      <w:jc w:val="both"/>
    </w:pPr>
    <w:rPr>
      <w:rFonts w:ascii="Calibri" w:eastAsia="宋体" w:hAnsi="Calibri" w:cs="Calibri"/>
      <w:kern w:val="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96AB5"/>
    <w:pPr>
      <w:tabs>
        <w:tab w:val="center" w:pos="4153"/>
        <w:tab w:val="right" w:pos="8306"/>
      </w:tabs>
      <w:snapToGrid w:val="0"/>
      <w:jc w:val="center"/>
    </w:pPr>
    <w:rPr>
      <w:sz w:val="18"/>
      <w:szCs w:val="18"/>
    </w:rPr>
  </w:style>
  <w:style w:type="character" w:customStyle="1" w:styleId="a4">
    <w:name w:val="页眉 字符"/>
    <w:basedOn w:val="a0"/>
    <w:link w:val="a3"/>
    <w:uiPriority w:val="99"/>
    <w:rsid w:val="00B96AB5"/>
    <w:rPr>
      <w:sz w:val="18"/>
      <w:szCs w:val="18"/>
    </w:rPr>
  </w:style>
  <w:style w:type="paragraph" w:styleId="a5">
    <w:name w:val="footer"/>
    <w:basedOn w:val="a"/>
    <w:link w:val="a6"/>
    <w:uiPriority w:val="99"/>
    <w:unhideWhenUsed/>
    <w:rsid w:val="00B96AB5"/>
    <w:pPr>
      <w:tabs>
        <w:tab w:val="center" w:pos="4153"/>
        <w:tab w:val="right" w:pos="8306"/>
      </w:tabs>
      <w:snapToGrid w:val="0"/>
      <w:jc w:val="left"/>
    </w:pPr>
    <w:rPr>
      <w:sz w:val="18"/>
      <w:szCs w:val="18"/>
    </w:rPr>
  </w:style>
  <w:style w:type="character" w:customStyle="1" w:styleId="a6">
    <w:name w:val="页脚 字符"/>
    <w:basedOn w:val="a0"/>
    <w:link w:val="a5"/>
    <w:uiPriority w:val="99"/>
    <w:rsid w:val="00B96AB5"/>
    <w:rPr>
      <w:sz w:val="18"/>
      <w:szCs w:val="18"/>
    </w:rPr>
  </w:style>
  <w:style w:type="paragraph" w:customStyle="1" w:styleId="Paragraph">
    <w:name w:val="Paragraph"/>
    <w:basedOn w:val="a"/>
    <w:next w:val="a"/>
    <w:qFormat/>
    <w:rsid w:val="00B96AB5"/>
    <w:pPr>
      <w:spacing w:before="240" w:line="480" w:lineRule="auto"/>
      <w:jc w:val="left"/>
    </w:pPr>
    <w:rPr>
      <w:rFonts w:ascii="Times New Roman" w:eastAsiaTheme="minorEastAsia" w:hAnsi="Times New Roman" w:cs="Times New Roman"/>
      <w:sz w:val="24"/>
      <w:szCs w:val="24"/>
      <w:lang w:val="en-GB" w:eastAsia="en-GB"/>
    </w:rPr>
  </w:style>
  <w:style w:type="paragraph" w:styleId="a7">
    <w:name w:val="List Paragraph"/>
    <w:basedOn w:val="a"/>
    <w:uiPriority w:val="34"/>
    <w:qFormat/>
    <w:rsid w:val="00D7467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95189168">
      <w:bodyDiv w:val="1"/>
      <w:marLeft w:val="0"/>
      <w:marRight w:val="0"/>
      <w:marTop w:val="0"/>
      <w:marBottom w:val="0"/>
      <w:divBdr>
        <w:top w:val="none" w:sz="0" w:space="0" w:color="auto"/>
        <w:left w:val="none" w:sz="0" w:space="0" w:color="auto"/>
        <w:bottom w:val="none" w:sz="0" w:space="0" w:color="auto"/>
        <w:right w:val="none" w:sz="0" w:space="0" w:color="auto"/>
      </w:divBdr>
    </w:div>
    <w:div w:id="16386061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ciencedirect.com/topics/engineering/molar-ratio"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3</Pages>
  <Words>664</Words>
  <Characters>3787</Characters>
  <Application>Microsoft Office Word</Application>
  <DocSecurity>0</DocSecurity>
  <Lines>31</Lines>
  <Paragraphs>8</Paragraphs>
  <ScaleCrop>false</ScaleCrop>
  <Company/>
  <LinksUpToDate>false</LinksUpToDate>
  <CharactersWithSpaces>4443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shunli wan</dc:creator>
  <cp:keywords/>
  <dc:description/>
  <cp:lastModifiedBy>shunli wan</cp:lastModifiedBy>
  <cp:revision>10</cp:revision>
  <dcterms:created xsi:type="dcterms:W3CDTF">2024-05-15T07:59:00Z</dcterms:created>
  <dcterms:modified xsi:type="dcterms:W3CDTF">2024-07-28T14:02:00Z</dcterms:modified>
</cp:coreProperties>
</file>