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3EEB1" w14:textId="442568EE" w:rsidR="00010A0B" w:rsidRPr="00A54E84" w:rsidRDefault="00010A0B" w:rsidP="00010A0B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A54E84">
        <w:rPr>
          <w:rFonts w:asciiTheme="majorBidi" w:hAnsiTheme="majorBidi" w:cstheme="majorBidi"/>
          <w:b/>
          <w:bCs/>
          <w:color w:val="000000" w:themeColor="text1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</w:rPr>
        <w:t>S</w:t>
      </w:r>
      <w:r w:rsidRPr="00A54E84">
        <w:rPr>
          <w:rFonts w:asciiTheme="majorBidi" w:hAnsiTheme="majorBidi" w:cstheme="majorBidi"/>
          <w:b/>
          <w:bCs/>
          <w:color w:val="000000" w:themeColor="text1"/>
        </w:rPr>
        <w:t xml:space="preserve">1. </w:t>
      </w:r>
      <w:r w:rsidRPr="00A54E84">
        <w:rPr>
          <w:rFonts w:asciiTheme="majorBidi" w:hAnsiTheme="majorBidi" w:cstheme="majorBidi"/>
          <w:color w:val="000000" w:themeColor="text1"/>
        </w:rPr>
        <w:t>A comprehensive summary of the distinctive attributes of the two analyzers.</w:t>
      </w:r>
    </w:p>
    <w:tbl>
      <w:tblPr>
        <w:tblStyle w:val="ListTable1Light-Accent3"/>
        <w:tblpPr w:leftFromText="180" w:rightFromText="180" w:vertAnchor="page" w:horzAnchor="margin" w:tblpXSpec="center" w:tblpY="2265"/>
        <w:tblW w:w="5000" w:type="pct"/>
        <w:tblLook w:val="0420" w:firstRow="1" w:lastRow="0" w:firstColumn="0" w:lastColumn="0" w:noHBand="0" w:noVBand="1"/>
      </w:tblPr>
      <w:tblGrid>
        <w:gridCol w:w="1166"/>
        <w:gridCol w:w="1235"/>
        <w:gridCol w:w="1183"/>
        <w:gridCol w:w="828"/>
        <w:gridCol w:w="1050"/>
        <w:gridCol w:w="1129"/>
        <w:gridCol w:w="953"/>
        <w:gridCol w:w="722"/>
        <w:gridCol w:w="1094"/>
      </w:tblGrid>
      <w:tr w:rsidR="0083012D" w:rsidRPr="00A54E84" w14:paraId="214A8F96" w14:textId="77777777" w:rsidTr="00F04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tcW w:w="597" w:type="pct"/>
            <w:tcBorders>
              <w:top w:val="single" w:sz="4" w:space="0" w:color="C9C9C9" w:themeColor="accent3" w:themeTint="99"/>
            </w:tcBorders>
            <w:shd w:val="clear" w:color="auto" w:fill="auto"/>
            <w:hideMark/>
          </w:tcPr>
          <w:p w14:paraId="62F8D52A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Marker</w:t>
            </w:r>
          </w:p>
        </w:tc>
        <w:tc>
          <w:tcPr>
            <w:tcW w:w="554" w:type="pct"/>
            <w:tcBorders>
              <w:top w:val="single" w:sz="4" w:space="0" w:color="C9C9C9" w:themeColor="accent3" w:themeTint="99"/>
            </w:tcBorders>
            <w:shd w:val="clear" w:color="auto" w:fill="auto"/>
            <w:hideMark/>
          </w:tcPr>
          <w:p w14:paraId="7F16966D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Analyzer</w:t>
            </w:r>
          </w:p>
        </w:tc>
        <w:tc>
          <w:tcPr>
            <w:tcW w:w="607" w:type="pct"/>
            <w:tcBorders>
              <w:top w:val="single" w:sz="4" w:space="0" w:color="C9C9C9" w:themeColor="accent3" w:themeTint="99"/>
            </w:tcBorders>
            <w:shd w:val="clear" w:color="auto" w:fill="auto"/>
            <w:hideMark/>
          </w:tcPr>
          <w:p w14:paraId="2095E290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Manufacturer</w:t>
            </w:r>
          </w:p>
        </w:tc>
        <w:tc>
          <w:tcPr>
            <w:tcW w:w="414" w:type="pct"/>
            <w:tcBorders>
              <w:top w:val="single" w:sz="4" w:space="0" w:color="C9C9C9" w:themeColor="accent3" w:themeTint="99"/>
            </w:tcBorders>
            <w:shd w:val="clear" w:color="auto" w:fill="auto"/>
            <w:hideMark/>
          </w:tcPr>
          <w:p w14:paraId="312177AB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Assay principle</w:t>
            </w:r>
          </w:p>
        </w:tc>
        <w:tc>
          <w:tcPr>
            <w:tcW w:w="578" w:type="pct"/>
            <w:tcBorders>
              <w:top w:val="single" w:sz="4" w:space="0" w:color="C9C9C9" w:themeColor="accent3" w:themeTint="99"/>
            </w:tcBorders>
            <w:shd w:val="clear" w:color="auto" w:fill="auto"/>
          </w:tcPr>
          <w:p w14:paraId="556E575E" w14:textId="68BF743F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Throughput</w:t>
            </w:r>
          </w:p>
        </w:tc>
        <w:tc>
          <w:tcPr>
            <w:tcW w:w="578" w:type="pct"/>
            <w:tcBorders>
              <w:top w:val="single" w:sz="4" w:space="0" w:color="C9C9C9" w:themeColor="accent3" w:themeTint="99"/>
            </w:tcBorders>
            <w:shd w:val="clear" w:color="auto" w:fill="auto"/>
            <w:hideMark/>
          </w:tcPr>
          <w:p w14:paraId="6BF8AE4A" w14:textId="132033C2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Solid phase</w:t>
            </w:r>
          </w:p>
        </w:tc>
        <w:tc>
          <w:tcPr>
            <w:tcW w:w="481" w:type="pct"/>
            <w:tcBorders>
              <w:top w:val="single" w:sz="4" w:space="0" w:color="C9C9C9" w:themeColor="accent3" w:themeTint="99"/>
            </w:tcBorders>
            <w:shd w:val="clear" w:color="auto" w:fill="auto"/>
            <w:hideMark/>
          </w:tcPr>
          <w:p w14:paraId="3E433E8D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Labeled substance</w:t>
            </w:r>
          </w:p>
        </w:tc>
        <w:tc>
          <w:tcPr>
            <w:tcW w:w="356" w:type="pct"/>
            <w:tcBorders>
              <w:top w:val="single" w:sz="4" w:space="0" w:color="C9C9C9" w:themeColor="accent3" w:themeTint="99"/>
            </w:tcBorders>
            <w:shd w:val="clear" w:color="auto" w:fill="auto"/>
            <w:hideMark/>
          </w:tcPr>
          <w:p w14:paraId="34C36FD4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Sample volume (</w:t>
            </w:r>
            <w:proofErr w:type="spellStart"/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</w:t>
            </w:r>
            <w:proofErr w:type="spellEnd"/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37" w:type="pct"/>
            <w:tcBorders>
              <w:top w:val="single" w:sz="4" w:space="0" w:color="C9C9C9" w:themeColor="accent3" w:themeTint="99"/>
            </w:tcBorders>
            <w:shd w:val="clear" w:color="auto" w:fill="auto"/>
            <w:hideMark/>
          </w:tcPr>
          <w:p w14:paraId="48A5F23B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Cut off value</w:t>
            </w:r>
          </w:p>
        </w:tc>
      </w:tr>
      <w:tr w:rsidR="0083012D" w:rsidRPr="00A54E84" w14:paraId="72C248B6" w14:textId="77777777" w:rsidTr="00F04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97" w:type="pct"/>
            <w:shd w:val="clear" w:color="auto" w:fill="auto"/>
            <w:hideMark/>
          </w:tcPr>
          <w:p w14:paraId="44733247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HBsAg</w:t>
            </w:r>
          </w:p>
        </w:tc>
        <w:tc>
          <w:tcPr>
            <w:tcW w:w="554" w:type="pct"/>
            <w:shd w:val="clear" w:color="auto" w:fill="auto"/>
            <w:hideMark/>
          </w:tcPr>
          <w:p w14:paraId="125C9DE5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Mindray CL-900i</w:t>
            </w:r>
          </w:p>
        </w:tc>
        <w:tc>
          <w:tcPr>
            <w:tcW w:w="607" w:type="pct"/>
            <w:shd w:val="clear" w:color="auto" w:fill="auto"/>
            <w:hideMark/>
          </w:tcPr>
          <w:p w14:paraId="06221457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Shenzhen Mindray Bio-Medical Electronics Co., Ltd. </w:t>
            </w:r>
          </w:p>
        </w:tc>
        <w:tc>
          <w:tcPr>
            <w:tcW w:w="414" w:type="pct"/>
            <w:shd w:val="clear" w:color="auto" w:fill="auto"/>
            <w:hideMark/>
          </w:tcPr>
          <w:p w14:paraId="6472FF48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CLIA</w:t>
            </w:r>
          </w:p>
        </w:tc>
        <w:tc>
          <w:tcPr>
            <w:tcW w:w="578" w:type="pct"/>
            <w:shd w:val="clear" w:color="auto" w:fill="auto"/>
          </w:tcPr>
          <w:p w14:paraId="66869B41" w14:textId="6B7A2522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 tests/hour</w:t>
            </w:r>
          </w:p>
        </w:tc>
        <w:tc>
          <w:tcPr>
            <w:tcW w:w="578" w:type="pct"/>
            <w:shd w:val="clear" w:color="auto" w:fill="auto"/>
            <w:hideMark/>
          </w:tcPr>
          <w:p w14:paraId="2AB85768" w14:textId="051A8C5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Paramagnetic microparticles</w:t>
            </w:r>
          </w:p>
        </w:tc>
        <w:tc>
          <w:tcPr>
            <w:tcW w:w="481" w:type="pct"/>
            <w:shd w:val="clear" w:color="auto" w:fill="auto"/>
            <w:hideMark/>
          </w:tcPr>
          <w:p w14:paraId="7CFDF9FC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Not specified </w:t>
            </w:r>
          </w:p>
        </w:tc>
        <w:tc>
          <w:tcPr>
            <w:tcW w:w="356" w:type="pct"/>
            <w:shd w:val="clear" w:color="auto" w:fill="auto"/>
            <w:hideMark/>
          </w:tcPr>
          <w:p w14:paraId="366C2425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50uL</w:t>
            </w:r>
          </w:p>
        </w:tc>
        <w:tc>
          <w:tcPr>
            <w:tcW w:w="837" w:type="pct"/>
            <w:shd w:val="clear" w:color="auto" w:fill="auto"/>
            <w:hideMark/>
          </w:tcPr>
          <w:p w14:paraId="6DB372FC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Initially reactive: HBsAg concentration ≥0.05 IU/mL</w:t>
            </w:r>
          </w:p>
          <w:p w14:paraId="184F1BB2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Initially reactive specimen with HBsAg &lt;1.00 IU/mL, must be concentrated at ≥10,000 RCF for 10 minutes, and then </w:t>
            </w: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retested in duplication.   </w:t>
            </w:r>
          </w:p>
          <w:p w14:paraId="2DE62FBE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Non-reactive: HBsAg concentration &lt;0.05 IU/mL</w:t>
            </w:r>
          </w:p>
        </w:tc>
      </w:tr>
      <w:tr w:rsidR="0083012D" w:rsidRPr="00A54E84" w14:paraId="32EF248C" w14:textId="77777777" w:rsidTr="00F04E2B">
        <w:trPr>
          <w:trHeight w:val="282"/>
        </w:trPr>
        <w:tc>
          <w:tcPr>
            <w:tcW w:w="597" w:type="pct"/>
            <w:shd w:val="clear" w:color="auto" w:fill="auto"/>
            <w:hideMark/>
          </w:tcPr>
          <w:p w14:paraId="459D1F6D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HBsAg</w:t>
            </w:r>
          </w:p>
        </w:tc>
        <w:tc>
          <w:tcPr>
            <w:tcW w:w="554" w:type="pct"/>
            <w:shd w:val="clear" w:color="auto" w:fill="auto"/>
            <w:hideMark/>
          </w:tcPr>
          <w:p w14:paraId="37CB6B18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Abbott ARCHITECT® i4000SR</w:t>
            </w:r>
          </w:p>
        </w:tc>
        <w:tc>
          <w:tcPr>
            <w:tcW w:w="607" w:type="pct"/>
            <w:shd w:val="clear" w:color="auto" w:fill="auto"/>
            <w:hideMark/>
          </w:tcPr>
          <w:p w14:paraId="11D85109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Abbott Diagnostics </w:t>
            </w: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Abbott Park, Illinois, U.S.A</w:t>
            </w: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  <w:hideMark/>
          </w:tcPr>
          <w:p w14:paraId="32A98D87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CMIA</w:t>
            </w:r>
          </w:p>
        </w:tc>
        <w:tc>
          <w:tcPr>
            <w:tcW w:w="578" w:type="pct"/>
            <w:shd w:val="clear" w:color="auto" w:fill="auto"/>
          </w:tcPr>
          <w:p w14:paraId="522C3E31" w14:textId="43944705" w:rsidR="0083012D" w:rsidRPr="00A54E84" w:rsidRDefault="00120EE8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 tests/hour</w:t>
            </w:r>
          </w:p>
        </w:tc>
        <w:tc>
          <w:tcPr>
            <w:tcW w:w="578" w:type="pct"/>
            <w:shd w:val="clear" w:color="auto" w:fill="auto"/>
            <w:hideMark/>
          </w:tcPr>
          <w:p w14:paraId="2DA743EB" w14:textId="54FEE88D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Paramagnetic microparticles</w:t>
            </w:r>
          </w:p>
        </w:tc>
        <w:tc>
          <w:tcPr>
            <w:tcW w:w="481" w:type="pct"/>
            <w:shd w:val="clear" w:color="auto" w:fill="auto"/>
            <w:hideMark/>
          </w:tcPr>
          <w:p w14:paraId="04E559FA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Acridinium</w:t>
            </w:r>
          </w:p>
        </w:tc>
        <w:tc>
          <w:tcPr>
            <w:tcW w:w="356" w:type="pct"/>
            <w:shd w:val="clear" w:color="auto" w:fill="auto"/>
            <w:hideMark/>
          </w:tcPr>
          <w:p w14:paraId="6DB989DC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150uL</w:t>
            </w:r>
          </w:p>
        </w:tc>
        <w:tc>
          <w:tcPr>
            <w:tcW w:w="837" w:type="pct"/>
            <w:shd w:val="clear" w:color="auto" w:fill="auto"/>
            <w:hideMark/>
          </w:tcPr>
          <w:p w14:paraId="01EAA60D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Reactive: conc. ≥0.05 IU/mL</w:t>
            </w:r>
          </w:p>
          <w:p w14:paraId="21F0EE35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Non-reactive: conc. &lt;0.05 IU/mL</w:t>
            </w:r>
          </w:p>
        </w:tc>
      </w:tr>
      <w:tr w:rsidR="0083012D" w:rsidRPr="00A54E84" w14:paraId="52F9844A" w14:textId="77777777" w:rsidTr="00F04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B59EFAB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Confirmatory HBsAg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44C40AC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Abbott ARCHITECT® i4000SR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C59E03F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Abbott Diagnostics </w:t>
            </w: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Abbott Park, Illinois, U.S.A</w:t>
            </w: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EFCC1F3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CMIA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6127218B" w14:textId="2C1BDC4D" w:rsidR="0083012D" w:rsidRPr="00A54E84" w:rsidRDefault="00C93A95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 tests/hour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1A98B27" w14:textId="065AB6E5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Paramagnetic microparticles 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04C2505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Acridinium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4350018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242uL</w:t>
            </w: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05152F1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Confirmed positive: If the non-neutralized sample's S/CO value is &gt;1.00 and the percent </w:t>
            </w: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neutralization is greater than 50%.</w:t>
            </w:r>
          </w:p>
          <w:p w14:paraId="6AE7A032" w14:textId="77777777" w:rsidR="0083012D" w:rsidRPr="00A54E84" w:rsidRDefault="0083012D" w:rsidP="001B3E6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E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Negative: If the non-neutralized sample's S/CO value is &lt;1.00 is regarded as frequently reactive and has not been verified to contain HBsAg.</w:t>
            </w:r>
          </w:p>
        </w:tc>
      </w:tr>
    </w:tbl>
    <w:p w14:paraId="577C78D9" w14:textId="77777777" w:rsidR="002F09AC" w:rsidRDefault="002F09AC"/>
    <w:sectPr w:rsidR="002F09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0B"/>
    <w:rsid w:val="00010A0B"/>
    <w:rsid w:val="000F21F6"/>
    <w:rsid w:val="00120EE8"/>
    <w:rsid w:val="001460F6"/>
    <w:rsid w:val="00256AF8"/>
    <w:rsid w:val="002956E9"/>
    <w:rsid w:val="002E2419"/>
    <w:rsid w:val="002F09AC"/>
    <w:rsid w:val="006B5656"/>
    <w:rsid w:val="006E0D4F"/>
    <w:rsid w:val="006F58F1"/>
    <w:rsid w:val="00702335"/>
    <w:rsid w:val="0072476E"/>
    <w:rsid w:val="0083012D"/>
    <w:rsid w:val="008837FF"/>
    <w:rsid w:val="008C6A51"/>
    <w:rsid w:val="009848E0"/>
    <w:rsid w:val="00AA4C78"/>
    <w:rsid w:val="00AB5AD9"/>
    <w:rsid w:val="00B8015A"/>
    <w:rsid w:val="00BD7F79"/>
    <w:rsid w:val="00C93A95"/>
    <w:rsid w:val="00DB22FA"/>
    <w:rsid w:val="00F04E2B"/>
    <w:rsid w:val="00FA03AD"/>
    <w:rsid w:val="00FB4FFE"/>
    <w:rsid w:val="00FE19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22B3"/>
  <w15:chartTrackingRefBased/>
  <w15:docId w15:val="{C5C5440A-570A-0A4B-990A-C13365C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Q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0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-Accent3">
    <w:name w:val="List Table 1 Light Accent 3"/>
    <w:basedOn w:val="TableNormal"/>
    <w:uiPriority w:val="46"/>
    <w:rsid w:val="00010A0B"/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A0B"/>
    <w:rPr>
      <w:rFonts w:eastAsiaTheme="minorEastAsi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A0B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F79"/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F79"/>
    <w:rPr>
      <w:rFonts w:eastAsiaTheme="minorEastAsia"/>
      <w:b/>
      <w:bCs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207</TotalTime>
  <Pages>3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Nagy Mahmoud Zaky Younes</dc:creator>
  <cp:keywords/>
  <dc:description/>
  <cp:lastModifiedBy>Salma Nagy Mahmoud Zaky Younes</cp:lastModifiedBy>
  <cp:revision>8</cp:revision>
  <dcterms:created xsi:type="dcterms:W3CDTF">2024-06-24T19:29:00Z</dcterms:created>
  <dcterms:modified xsi:type="dcterms:W3CDTF">2024-07-28T09:31:00Z</dcterms:modified>
</cp:coreProperties>
</file>