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5D34E6" w14:textId="0ED07003" w:rsidR="002149E5" w:rsidRPr="00D220C2" w:rsidRDefault="00D220C2">
      <w:pPr>
        <w:rPr>
          <w:rFonts w:ascii="Times New Roman" w:hAnsi="Times New Roman" w:cs="Times New Roman"/>
          <w:sz w:val="20"/>
          <w:szCs w:val="20"/>
        </w:rPr>
      </w:pPr>
      <w:r w:rsidRPr="00D220C2">
        <w:rPr>
          <w:rFonts w:ascii="Times New Roman" w:hAnsi="Times New Roman" w:cs="Times New Roman"/>
          <w:sz w:val="20"/>
          <w:szCs w:val="20"/>
        </w:rPr>
        <w:t>Table S-</w:t>
      </w:r>
      <w:r w:rsidR="00222155">
        <w:rPr>
          <w:rFonts w:ascii="Times New Roman" w:hAnsi="Times New Roman" w:cs="Times New Roman"/>
          <w:sz w:val="20"/>
          <w:szCs w:val="20"/>
        </w:rPr>
        <w:t>2</w:t>
      </w:r>
      <w:r w:rsidRPr="00D220C2">
        <w:rPr>
          <w:rFonts w:ascii="Times New Roman" w:hAnsi="Times New Roman" w:cs="Times New Roman"/>
          <w:sz w:val="20"/>
          <w:szCs w:val="20"/>
        </w:rPr>
        <w:t>: Previous</w:t>
      </w:r>
      <w:r w:rsidR="00AF5488">
        <w:rPr>
          <w:rFonts w:ascii="Times New Roman" w:hAnsi="Times New Roman" w:cs="Times New Roman"/>
          <w:sz w:val="20"/>
          <w:szCs w:val="20"/>
        </w:rPr>
        <w:t>ly</w:t>
      </w:r>
      <w:r w:rsidRPr="00D220C2">
        <w:rPr>
          <w:rFonts w:ascii="Times New Roman" w:hAnsi="Times New Roman" w:cs="Times New Roman"/>
          <w:sz w:val="20"/>
          <w:szCs w:val="20"/>
        </w:rPr>
        <w:t xml:space="preserve"> reported QTLs</w:t>
      </w:r>
      <w:r w:rsidR="00AF5488">
        <w:rPr>
          <w:rFonts w:ascii="Times New Roman" w:hAnsi="Times New Roman" w:cs="Times New Roman"/>
          <w:sz w:val="20"/>
          <w:szCs w:val="20"/>
        </w:rPr>
        <w:t xml:space="preserve"> for </w:t>
      </w:r>
      <w:r w:rsidR="001C137C">
        <w:rPr>
          <w:rFonts w:ascii="Times New Roman" w:hAnsi="Times New Roman" w:cs="Times New Roman"/>
          <w:sz w:val="20"/>
          <w:szCs w:val="20"/>
        </w:rPr>
        <w:t>GPC on chromosome 2B and 5B</w:t>
      </w:r>
    </w:p>
    <w:tbl>
      <w:tblPr>
        <w:tblStyle w:val="TableGrid"/>
        <w:tblW w:w="0" w:type="auto"/>
        <w:tblLook w:val="04A0" w:firstRow="1" w:lastRow="0" w:firstColumn="1" w:lastColumn="0" w:noHBand="0" w:noVBand="1"/>
      </w:tblPr>
      <w:tblGrid>
        <w:gridCol w:w="480"/>
        <w:gridCol w:w="791"/>
        <w:gridCol w:w="1843"/>
        <w:gridCol w:w="2977"/>
        <w:gridCol w:w="708"/>
        <w:gridCol w:w="1167"/>
        <w:gridCol w:w="1028"/>
        <w:gridCol w:w="1243"/>
        <w:gridCol w:w="693"/>
        <w:gridCol w:w="3018"/>
      </w:tblGrid>
      <w:tr w:rsidR="00EB2B44" w:rsidRPr="00D220C2" w14:paraId="18197C8E" w14:textId="77777777" w:rsidTr="006E58B2">
        <w:tc>
          <w:tcPr>
            <w:tcW w:w="480" w:type="dxa"/>
            <w:vAlign w:val="center"/>
          </w:tcPr>
          <w:p w14:paraId="692836DE" w14:textId="77777777" w:rsidR="00EB2B44" w:rsidRPr="00D220C2" w:rsidRDefault="00EB2B44" w:rsidP="006B216C">
            <w:pPr>
              <w:jc w:val="center"/>
              <w:rPr>
                <w:rFonts w:ascii="Times New Roman" w:hAnsi="Times New Roman" w:cs="Times New Roman"/>
                <w:b/>
                <w:bCs/>
                <w:sz w:val="20"/>
                <w:szCs w:val="20"/>
              </w:rPr>
            </w:pPr>
            <w:r w:rsidRPr="00D220C2">
              <w:rPr>
                <w:rFonts w:ascii="Times New Roman" w:hAnsi="Times New Roman" w:cs="Times New Roman"/>
                <w:b/>
                <w:bCs/>
                <w:sz w:val="20"/>
                <w:szCs w:val="20"/>
              </w:rPr>
              <w:t>Sr no</w:t>
            </w:r>
          </w:p>
        </w:tc>
        <w:tc>
          <w:tcPr>
            <w:tcW w:w="791" w:type="dxa"/>
            <w:vAlign w:val="center"/>
          </w:tcPr>
          <w:p w14:paraId="46CDCEEB" w14:textId="77777777" w:rsidR="00EB2B44" w:rsidRPr="00D220C2" w:rsidRDefault="00EB2B44" w:rsidP="006B216C">
            <w:pPr>
              <w:jc w:val="center"/>
              <w:rPr>
                <w:rFonts w:ascii="Times New Roman" w:hAnsi="Times New Roman" w:cs="Times New Roman"/>
                <w:b/>
                <w:bCs/>
                <w:sz w:val="20"/>
                <w:szCs w:val="20"/>
              </w:rPr>
            </w:pPr>
            <w:r w:rsidRPr="00D220C2">
              <w:rPr>
                <w:rFonts w:ascii="Times New Roman" w:hAnsi="Times New Roman" w:cs="Times New Roman"/>
                <w:b/>
                <w:bCs/>
                <w:sz w:val="20"/>
                <w:szCs w:val="20"/>
              </w:rPr>
              <w:t>Chr</w:t>
            </w:r>
          </w:p>
        </w:tc>
        <w:tc>
          <w:tcPr>
            <w:tcW w:w="1843" w:type="dxa"/>
            <w:vAlign w:val="center"/>
          </w:tcPr>
          <w:p w14:paraId="6087F944" w14:textId="77777777" w:rsidR="00EB2B44" w:rsidRPr="00D220C2" w:rsidRDefault="00EB2B44" w:rsidP="006E58B2">
            <w:pPr>
              <w:rPr>
                <w:rFonts w:ascii="Times New Roman" w:hAnsi="Times New Roman" w:cs="Times New Roman"/>
                <w:b/>
                <w:bCs/>
                <w:i/>
                <w:iCs/>
                <w:sz w:val="20"/>
                <w:szCs w:val="20"/>
              </w:rPr>
            </w:pPr>
            <w:r w:rsidRPr="00D220C2">
              <w:rPr>
                <w:rFonts w:ascii="Times New Roman" w:hAnsi="Times New Roman" w:cs="Times New Roman"/>
                <w:b/>
                <w:bCs/>
                <w:i/>
                <w:iCs/>
                <w:sz w:val="20"/>
                <w:szCs w:val="20"/>
              </w:rPr>
              <w:t>QTL</w:t>
            </w:r>
          </w:p>
        </w:tc>
        <w:tc>
          <w:tcPr>
            <w:tcW w:w="2977" w:type="dxa"/>
            <w:vAlign w:val="center"/>
          </w:tcPr>
          <w:p w14:paraId="5B72951F" w14:textId="77777777" w:rsidR="00EB2B44" w:rsidRPr="00D220C2" w:rsidRDefault="00EB2B44" w:rsidP="006E58B2">
            <w:pPr>
              <w:rPr>
                <w:rFonts w:ascii="Times New Roman" w:hAnsi="Times New Roman" w:cs="Times New Roman"/>
                <w:b/>
                <w:bCs/>
                <w:sz w:val="20"/>
                <w:szCs w:val="20"/>
              </w:rPr>
            </w:pPr>
            <w:r w:rsidRPr="00D220C2">
              <w:rPr>
                <w:rFonts w:ascii="Times New Roman" w:hAnsi="Times New Roman" w:cs="Times New Roman"/>
                <w:b/>
                <w:bCs/>
                <w:sz w:val="20"/>
                <w:szCs w:val="20"/>
              </w:rPr>
              <w:t>Marker interval/associated marker</w:t>
            </w:r>
          </w:p>
        </w:tc>
        <w:tc>
          <w:tcPr>
            <w:tcW w:w="708" w:type="dxa"/>
            <w:vAlign w:val="center"/>
          </w:tcPr>
          <w:p w14:paraId="55CFA3EC" w14:textId="77777777" w:rsidR="00EB2B44" w:rsidRPr="00D220C2" w:rsidRDefault="00EB2B44" w:rsidP="006B216C">
            <w:pPr>
              <w:jc w:val="center"/>
              <w:rPr>
                <w:rFonts w:ascii="Times New Roman" w:hAnsi="Times New Roman" w:cs="Times New Roman"/>
                <w:b/>
                <w:bCs/>
                <w:sz w:val="20"/>
                <w:szCs w:val="20"/>
              </w:rPr>
            </w:pPr>
            <w:r w:rsidRPr="00D220C2">
              <w:rPr>
                <w:rFonts w:ascii="Times New Roman" w:hAnsi="Times New Roman" w:cs="Times New Roman"/>
                <w:b/>
                <w:bCs/>
                <w:sz w:val="20"/>
                <w:szCs w:val="20"/>
              </w:rPr>
              <w:t>LOD</w:t>
            </w:r>
          </w:p>
        </w:tc>
        <w:tc>
          <w:tcPr>
            <w:tcW w:w="1167" w:type="dxa"/>
            <w:vAlign w:val="center"/>
          </w:tcPr>
          <w:p w14:paraId="19D07086" w14:textId="77777777" w:rsidR="00EB2B44" w:rsidRPr="00D220C2" w:rsidRDefault="00EB2B44" w:rsidP="006B216C">
            <w:pPr>
              <w:jc w:val="center"/>
              <w:rPr>
                <w:rFonts w:ascii="Times New Roman" w:hAnsi="Times New Roman" w:cs="Times New Roman"/>
                <w:b/>
                <w:bCs/>
                <w:sz w:val="20"/>
                <w:szCs w:val="20"/>
              </w:rPr>
            </w:pPr>
            <w:r w:rsidRPr="00D220C2">
              <w:rPr>
                <w:rFonts w:ascii="Times New Roman" w:eastAsia="Times New Roman" w:hAnsi="Times New Roman" w:cs="Times New Roman"/>
                <w:b/>
                <w:bCs/>
                <w:kern w:val="0"/>
                <w:sz w:val="20"/>
                <w:szCs w:val="20"/>
                <w:lang w:eastAsia="en-IN"/>
                <w14:ligatures w14:val="none"/>
              </w:rPr>
              <w:t>PVE (%)</w:t>
            </w:r>
          </w:p>
        </w:tc>
        <w:tc>
          <w:tcPr>
            <w:tcW w:w="1028" w:type="dxa"/>
            <w:vAlign w:val="center"/>
          </w:tcPr>
          <w:p w14:paraId="6C798BB6" w14:textId="77777777" w:rsidR="00EB2B44" w:rsidRPr="00D220C2" w:rsidRDefault="00EB2B44" w:rsidP="006E58B2">
            <w:pPr>
              <w:rPr>
                <w:rFonts w:ascii="Times New Roman" w:eastAsia="Times New Roman" w:hAnsi="Times New Roman" w:cs="Times New Roman"/>
                <w:b/>
                <w:bCs/>
                <w:kern w:val="0"/>
                <w:sz w:val="20"/>
                <w:szCs w:val="20"/>
                <w:lang w:eastAsia="en-IN"/>
                <w14:ligatures w14:val="none"/>
              </w:rPr>
            </w:pPr>
            <w:r w:rsidRPr="00D220C2">
              <w:rPr>
                <w:rFonts w:ascii="Times New Roman" w:eastAsia="Times New Roman" w:hAnsi="Times New Roman" w:cs="Times New Roman"/>
                <w:b/>
                <w:bCs/>
                <w:kern w:val="0"/>
                <w:sz w:val="20"/>
                <w:szCs w:val="20"/>
                <w:lang w:eastAsia="en-IN"/>
                <w14:ligatures w14:val="none"/>
              </w:rPr>
              <w:t>Physical location (MB)</w:t>
            </w:r>
          </w:p>
        </w:tc>
        <w:tc>
          <w:tcPr>
            <w:tcW w:w="1243" w:type="dxa"/>
            <w:vAlign w:val="center"/>
          </w:tcPr>
          <w:p w14:paraId="0DF1A674" w14:textId="77777777" w:rsidR="00EB2B44" w:rsidRPr="00D220C2" w:rsidRDefault="00EB2B44" w:rsidP="006B216C">
            <w:pPr>
              <w:jc w:val="center"/>
              <w:rPr>
                <w:rFonts w:ascii="Times New Roman" w:eastAsia="Times New Roman" w:hAnsi="Times New Roman" w:cs="Times New Roman"/>
                <w:b/>
                <w:bCs/>
                <w:kern w:val="0"/>
                <w:sz w:val="20"/>
                <w:szCs w:val="20"/>
                <w:lang w:eastAsia="en-IN"/>
                <w14:ligatures w14:val="none"/>
              </w:rPr>
            </w:pPr>
            <w:r w:rsidRPr="00D220C2">
              <w:rPr>
                <w:rFonts w:ascii="Times New Roman" w:eastAsia="Times New Roman" w:hAnsi="Times New Roman" w:cs="Times New Roman"/>
                <w:b/>
                <w:bCs/>
                <w:kern w:val="0"/>
                <w:sz w:val="20"/>
                <w:szCs w:val="20"/>
                <w:lang w:eastAsia="en-IN"/>
                <w14:ligatures w14:val="none"/>
              </w:rPr>
              <w:t>Population type</w:t>
            </w:r>
          </w:p>
        </w:tc>
        <w:tc>
          <w:tcPr>
            <w:tcW w:w="693" w:type="dxa"/>
            <w:vAlign w:val="center"/>
          </w:tcPr>
          <w:p w14:paraId="0A8B61D2" w14:textId="77777777" w:rsidR="00EB2B44" w:rsidRPr="00D220C2" w:rsidRDefault="00EB2B44" w:rsidP="006B216C">
            <w:pPr>
              <w:jc w:val="center"/>
              <w:rPr>
                <w:rFonts w:ascii="Times New Roman" w:eastAsia="Times New Roman" w:hAnsi="Times New Roman" w:cs="Times New Roman"/>
                <w:b/>
                <w:bCs/>
                <w:kern w:val="0"/>
                <w:sz w:val="20"/>
                <w:szCs w:val="20"/>
                <w:lang w:eastAsia="en-IN"/>
                <w14:ligatures w14:val="none"/>
              </w:rPr>
            </w:pPr>
            <w:r w:rsidRPr="00D220C2">
              <w:rPr>
                <w:rFonts w:ascii="Times New Roman" w:eastAsia="Times New Roman" w:hAnsi="Times New Roman" w:cs="Times New Roman"/>
                <w:b/>
                <w:bCs/>
                <w:kern w:val="0"/>
                <w:sz w:val="20"/>
                <w:szCs w:val="20"/>
                <w:lang w:eastAsia="en-IN"/>
                <w14:ligatures w14:val="none"/>
              </w:rPr>
              <w:t>ADD</w:t>
            </w:r>
          </w:p>
        </w:tc>
        <w:tc>
          <w:tcPr>
            <w:tcW w:w="3018" w:type="dxa"/>
            <w:vAlign w:val="center"/>
          </w:tcPr>
          <w:p w14:paraId="2034792D" w14:textId="77777777" w:rsidR="00EB2B44" w:rsidRPr="00D220C2" w:rsidRDefault="00EB2B44" w:rsidP="006E58B2">
            <w:pPr>
              <w:rPr>
                <w:rFonts w:ascii="Times New Roman" w:eastAsia="Times New Roman" w:hAnsi="Times New Roman" w:cs="Times New Roman"/>
                <w:b/>
                <w:bCs/>
                <w:kern w:val="0"/>
                <w:sz w:val="20"/>
                <w:szCs w:val="20"/>
                <w:lang w:eastAsia="en-IN"/>
                <w14:ligatures w14:val="none"/>
              </w:rPr>
            </w:pPr>
            <w:r w:rsidRPr="00D220C2">
              <w:rPr>
                <w:rFonts w:ascii="Times New Roman" w:eastAsia="Times New Roman" w:hAnsi="Times New Roman" w:cs="Times New Roman"/>
                <w:b/>
                <w:bCs/>
                <w:kern w:val="0"/>
                <w:sz w:val="20"/>
                <w:szCs w:val="20"/>
                <w:lang w:eastAsia="en-IN"/>
                <w14:ligatures w14:val="none"/>
              </w:rPr>
              <w:t>Reference</w:t>
            </w:r>
          </w:p>
        </w:tc>
      </w:tr>
      <w:tr w:rsidR="00EB2B44" w:rsidRPr="00D220C2" w14:paraId="0B0FC6DC" w14:textId="77777777" w:rsidTr="006E58B2">
        <w:tc>
          <w:tcPr>
            <w:tcW w:w="480" w:type="dxa"/>
            <w:vAlign w:val="center"/>
          </w:tcPr>
          <w:p w14:paraId="24CC18D2"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7</w:t>
            </w:r>
          </w:p>
        </w:tc>
        <w:tc>
          <w:tcPr>
            <w:tcW w:w="791" w:type="dxa"/>
            <w:vAlign w:val="center"/>
          </w:tcPr>
          <w:p w14:paraId="44E103D6"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075CF087" w14:textId="77777777" w:rsidR="00EB2B44" w:rsidRPr="00D220C2" w:rsidRDefault="00EB2B44" w:rsidP="006E58B2">
            <w:pPr>
              <w:rPr>
                <w:rStyle w:val="Emphasis"/>
                <w:rFonts w:ascii="Times New Roman" w:hAnsi="Times New Roman" w:cs="Times New Roman"/>
                <w:sz w:val="20"/>
                <w:szCs w:val="20"/>
              </w:rPr>
            </w:pPr>
            <w:r w:rsidRPr="00D220C2">
              <w:rPr>
                <w:rStyle w:val="Emphasis"/>
                <w:rFonts w:ascii="Times New Roman" w:hAnsi="Times New Roman" w:cs="Times New Roman"/>
                <w:sz w:val="20"/>
                <w:szCs w:val="20"/>
              </w:rPr>
              <w:t>QGpc.usw-B3</w:t>
            </w:r>
          </w:p>
        </w:tc>
        <w:tc>
          <w:tcPr>
            <w:tcW w:w="2977" w:type="dxa"/>
            <w:vAlign w:val="center"/>
          </w:tcPr>
          <w:p w14:paraId="13841EF9" w14:textId="77777777" w:rsidR="00EB2B44" w:rsidRPr="00D220C2" w:rsidRDefault="00EB2B44" w:rsidP="006E58B2">
            <w:pPr>
              <w:rPr>
                <w:rStyle w:val="Emphasis"/>
                <w:rFonts w:ascii="Times New Roman" w:hAnsi="Times New Roman" w:cs="Times New Roman"/>
                <w:sz w:val="20"/>
                <w:szCs w:val="20"/>
              </w:rPr>
            </w:pPr>
            <w:r w:rsidRPr="00D220C2">
              <w:rPr>
                <w:rStyle w:val="Emphasis"/>
                <w:rFonts w:ascii="Times New Roman" w:hAnsi="Times New Roman" w:cs="Times New Roman"/>
                <w:sz w:val="20"/>
                <w:szCs w:val="20"/>
              </w:rPr>
              <w:t>-</w:t>
            </w:r>
          </w:p>
        </w:tc>
        <w:tc>
          <w:tcPr>
            <w:tcW w:w="708" w:type="dxa"/>
            <w:vAlign w:val="center"/>
          </w:tcPr>
          <w:p w14:paraId="4EA4E536"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3.7</w:t>
            </w:r>
          </w:p>
        </w:tc>
        <w:tc>
          <w:tcPr>
            <w:tcW w:w="1167" w:type="dxa"/>
            <w:vAlign w:val="center"/>
          </w:tcPr>
          <w:p w14:paraId="26FA2FA5" w14:textId="3A07F58D"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20</w:t>
            </w:r>
            <w:r w:rsidR="006B7386" w:rsidRPr="00D220C2">
              <w:rPr>
                <w:rFonts w:ascii="Times New Roman" w:hAnsi="Times New Roman" w:cs="Times New Roman"/>
                <w:sz w:val="20"/>
                <w:szCs w:val="20"/>
              </w:rPr>
              <w:t>.0</w:t>
            </w:r>
          </w:p>
        </w:tc>
        <w:tc>
          <w:tcPr>
            <w:tcW w:w="1028" w:type="dxa"/>
            <w:vAlign w:val="center"/>
          </w:tcPr>
          <w:p w14:paraId="67029D6A"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w:t>
            </w:r>
          </w:p>
        </w:tc>
        <w:tc>
          <w:tcPr>
            <w:tcW w:w="1243" w:type="dxa"/>
            <w:vAlign w:val="center"/>
          </w:tcPr>
          <w:p w14:paraId="6A5DC87E"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DH</w:t>
            </w:r>
          </w:p>
        </w:tc>
        <w:tc>
          <w:tcPr>
            <w:tcW w:w="693" w:type="dxa"/>
            <w:vAlign w:val="center"/>
          </w:tcPr>
          <w:p w14:paraId="2AE17393"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w:t>
            </w:r>
          </w:p>
        </w:tc>
        <w:tc>
          <w:tcPr>
            <w:tcW w:w="3018" w:type="dxa"/>
            <w:vAlign w:val="center"/>
          </w:tcPr>
          <w:p w14:paraId="261B942A"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{"citationID":"AXAJ8eZb","properties":{"formattedCitation":"(Suprayogi {\\i{}et al.}, 2009)","plainCitation":"(Suprayogi et al., 2009)","noteIndex":0},"citationItems":[{"id":167,"uris":["http://zotero.org/users/10335591/items/LWP5A7LG"],"itemData":{"id":167,"type":"article-journal","abstract":"Grain protein concentration (GPC) is one of the most important factors influencing pasta-making quality. Durum wheat (Triticum turgidum L. var durum) cultivars with high GPC produce pasta with increased tolerance to overcooking and greater cooked firmness. However, the large environmental effect on expression of GPC and the negative correlation with grain yield have slowed genetic improvement of this important trait. Understanding the genetics and identification of molecular markers associated with high GPC would aid durum wheat breeders in trait selection at earlier generations. The objectives of this study were to identify and validate molecular markers associated with quantitative trait loci (QTL) for elevated GPC in durum wheat. A genetic map was constructed using SSR and DArT markers in an F(1)-derived doubled haploid (DH) population derived from the cross DT695 x Strongfield. The GPC data were collected from replicated trials grown in six Canadian environments from 2002 to 2005. QTL associated with variation for GPC were identified on the group 1, 2, and 7 chromosomes and on 5B and 6B, but only QGpc.usw-B3 on 2B and QGpc.usw-A3 on 7A were expressed consistently in four and six environments, respectively. Positive alleles for GPC at these loci were contributed by the high-GPC parent Strongfield. The QGpc.usw-A3 QTL was validated in a second DH population, and depending on environment, selection for the Strongfield allele at barc108 resulted in +0.4% to +1.0% increase in GPC, with little effect on yield in most environments. Given the consistent expression pattern in multiple populations and environments, barc108 could be useful for marker-assisted selection for high GPC.","container-title":"TAG. Theoretical and applied genetics. Theoretische und angewandte Genetik","DOI":"10.1007/s00122-009-1050-1","ISSN":"1432-2242","issue":"3","journalAbbreviation":"Theor Appl Genet","language":"eng","note":"PMID: 19462147","page":"437-448","source":"PubMed","title":"Identification and validation of quantitative trait loci for grain protein concentration in adapted Canadian durum wheat populations","volume":"119","author":[{"family":"Suprayogi","given":"Y."},{"family":"Pozniak","given":"Curtis Jerry"},{"family":"Clarke","given":"F. R."},{"family":"Clarke","given":"J. M."},{"family":"Knox","given":"R. E."},{"family":"Singh","given":"A. K."}],"issued":{"date-parts":[["2009",8]]}}}],"schema":"https://github.com/citation-style-language/schema/raw/master/csl-citation.json"}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(Suprayogi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2009)</w:t>
            </w:r>
            <w:r w:rsidRPr="00D220C2">
              <w:rPr>
                <w:rFonts w:ascii="Times New Roman" w:hAnsi="Times New Roman" w:cs="Times New Roman"/>
                <w:sz w:val="20"/>
                <w:szCs w:val="20"/>
              </w:rPr>
              <w:fldChar w:fldCharType="end"/>
            </w:r>
          </w:p>
        </w:tc>
      </w:tr>
      <w:tr w:rsidR="00EB2B44" w:rsidRPr="00D220C2" w14:paraId="0DA8B541" w14:textId="77777777" w:rsidTr="006E58B2">
        <w:tc>
          <w:tcPr>
            <w:tcW w:w="480" w:type="dxa"/>
            <w:vAlign w:val="center"/>
          </w:tcPr>
          <w:p w14:paraId="774C90DA"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13</w:t>
            </w:r>
          </w:p>
        </w:tc>
        <w:tc>
          <w:tcPr>
            <w:tcW w:w="791" w:type="dxa"/>
            <w:vAlign w:val="center"/>
          </w:tcPr>
          <w:p w14:paraId="4F5DFE78"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63F8246C" w14:textId="77777777" w:rsidR="00EB2B44" w:rsidRPr="00D220C2" w:rsidRDefault="00EB2B44" w:rsidP="006E58B2">
            <w:pPr>
              <w:pStyle w:val="NormalWeb"/>
              <w:rPr>
                <w:i/>
                <w:iCs/>
                <w:sz w:val="20"/>
                <w:szCs w:val="20"/>
              </w:rPr>
            </w:pPr>
            <w:r w:rsidRPr="00D220C2">
              <w:rPr>
                <w:i/>
                <w:iCs/>
                <w:sz w:val="20"/>
                <w:szCs w:val="20"/>
              </w:rPr>
              <w:t>QGpc.ccsu-2B.1</w:t>
            </w:r>
          </w:p>
        </w:tc>
        <w:tc>
          <w:tcPr>
            <w:tcW w:w="2977" w:type="dxa"/>
            <w:vAlign w:val="center"/>
          </w:tcPr>
          <w:p w14:paraId="419A337A"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Xgwm1249</w:t>
            </w:r>
          </w:p>
        </w:tc>
        <w:tc>
          <w:tcPr>
            <w:tcW w:w="708" w:type="dxa"/>
            <w:vAlign w:val="center"/>
          </w:tcPr>
          <w:p w14:paraId="53B5ACE8"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3.5</w:t>
            </w:r>
          </w:p>
        </w:tc>
        <w:tc>
          <w:tcPr>
            <w:tcW w:w="1167" w:type="dxa"/>
            <w:vAlign w:val="center"/>
          </w:tcPr>
          <w:p w14:paraId="7BB71519" w14:textId="3ADD2F51"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13.3</w:t>
            </w:r>
          </w:p>
        </w:tc>
        <w:tc>
          <w:tcPr>
            <w:tcW w:w="1028" w:type="dxa"/>
            <w:vAlign w:val="center"/>
          </w:tcPr>
          <w:p w14:paraId="39B15199"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w:t>
            </w:r>
          </w:p>
        </w:tc>
        <w:tc>
          <w:tcPr>
            <w:tcW w:w="1243" w:type="dxa"/>
            <w:vAlign w:val="center"/>
          </w:tcPr>
          <w:p w14:paraId="62943B9D"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RIL</w:t>
            </w:r>
          </w:p>
        </w:tc>
        <w:tc>
          <w:tcPr>
            <w:tcW w:w="693" w:type="dxa"/>
            <w:vAlign w:val="center"/>
          </w:tcPr>
          <w:p w14:paraId="6BBFD87D"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w:t>
            </w:r>
          </w:p>
        </w:tc>
        <w:tc>
          <w:tcPr>
            <w:tcW w:w="3018" w:type="dxa"/>
            <w:vAlign w:val="center"/>
          </w:tcPr>
          <w:p w14:paraId="39E1272D"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{"citationID":"FycY0yMn","properties":{"formattedCitation":"(Prasad {\\i{}et al.}, 2003)","plainCitation":"(Prasad et al., 2003)","noteIndex":0},"citationItems":[{"id":169,"uris":["http://zotero.org/users/10335591/items/XI7CJG7W"],"itemData":{"id":169,"type":"article-journal","abstract":"QTL interval mapping for grain protein content (GPC) in bread wheat was conducted for the first time, using a framework map based on a mapping population, which was available in the form of 100 recombinant inbred lines (RILs). The data on GPC for QTL mapping was recorded by growing the RILs in five different environments representing three wheat growing locations from Northern India; one of these locations was repeated for 3 years. Distribution of GPC values followed normal distributions in all the environments, which could be explained by significant g x e interactions observed through analyses of variances, which also gave significant effects due to genotypes and environments. Thirteen (13) QTLs were identified in individual environments following three methods (single-marker analysis or SMA, simple interval mapping or SIM and composite interval mapping or CIM) and using LOD scores that ranged from 2.5 to 6.5. Threshold LOD scores (ranging from 3.05 to 3.57), worked out and used in each case, however, detected only seven of the above 13 QTLs. Only four (QGpc.ccsu-2B.1; QGpc.ccsu-2D.1; QGpc.ccsu-3D.1 and QGpc.ccsu-7A.1) of these QTLs were identified either in more than one location or following one more method other than CIM; another QTL (QGpc.ccsu-3D.2), which was identified using means for all the environments, was also considered to be important. These five QTLs have been recommended for marker-assisted selection (MAS). The QTLs identified as above were also validated using ten NILs derived from three crosses. Five of the ten NILs possessed 38 introgressed segments from 16 chromosomes and carried 42 of the 173 markers that were mapped. All the seven QTLs were associated with one or more of the markers carried by the above introgressed segments, thus validating the corresponding markers. More markers associated with many more QTLs to be identified should become available in the future by effective MAS for GPC improvement.","container-title":"TAG. Theoretical and applied genetics. Theoretische und angewandte Genetik","DOI":"10.1007/s00122-002-1114-y","ISSN":"0040-5752","issue":"4","journalAbbreviation":"Theor Appl Genet","language":"eng","note":"PMID: 12595995","page":"659-667","source":"PubMed","title":"QTL analysis for grain protein content using SSR markers and validation studies using NILs in bread wheat","volume":"106","author":[{"family":"Prasad","given":"M."},{"family":"Kumar","given":"N."},{"family":"Kulwal","given":"P. L."},{"family":"Röder","given":"M. S."},{"family":"Balyan","given":"H. S."},{"family":"Dhaliwal","given":"H. S."},{"family":"Gupta","given":"P. K."}],"issued":{"date-parts":[["2003",2]]}}}],"schema":"https://github.com/citation-style-language/schema/raw/master/csl-citation.json"}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(Prasad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2003)</w:t>
            </w:r>
            <w:r w:rsidRPr="00D220C2">
              <w:rPr>
                <w:rFonts w:ascii="Times New Roman" w:hAnsi="Times New Roman" w:cs="Times New Roman"/>
                <w:sz w:val="20"/>
                <w:szCs w:val="20"/>
              </w:rPr>
              <w:fldChar w:fldCharType="end"/>
            </w:r>
          </w:p>
        </w:tc>
      </w:tr>
      <w:tr w:rsidR="00EB2B44" w:rsidRPr="00D220C2" w14:paraId="518D045A" w14:textId="77777777" w:rsidTr="006E58B2">
        <w:tc>
          <w:tcPr>
            <w:tcW w:w="480" w:type="dxa"/>
            <w:vAlign w:val="center"/>
          </w:tcPr>
          <w:p w14:paraId="1C3E322B"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16</w:t>
            </w:r>
          </w:p>
        </w:tc>
        <w:tc>
          <w:tcPr>
            <w:tcW w:w="791" w:type="dxa"/>
            <w:vAlign w:val="center"/>
          </w:tcPr>
          <w:p w14:paraId="19174DE7"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2E1445D3" w14:textId="77777777" w:rsidR="00EB2B44" w:rsidRPr="00D220C2" w:rsidRDefault="00EB2B44" w:rsidP="006E58B2">
            <w:pPr>
              <w:pStyle w:val="NormalWeb"/>
              <w:rPr>
                <w:i/>
                <w:iCs/>
                <w:sz w:val="20"/>
                <w:szCs w:val="20"/>
              </w:rPr>
            </w:pPr>
            <w:r w:rsidRPr="00D220C2">
              <w:rPr>
                <w:i/>
                <w:iCs/>
                <w:sz w:val="20"/>
                <w:szCs w:val="20"/>
              </w:rPr>
              <w:t>QGPC.ndsu.2B</w:t>
            </w:r>
          </w:p>
        </w:tc>
        <w:tc>
          <w:tcPr>
            <w:tcW w:w="2977" w:type="dxa"/>
            <w:vAlign w:val="center"/>
          </w:tcPr>
          <w:p w14:paraId="5AC77E40"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wPt744808-wPt4368</w:t>
            </w:r>
          </w:p>
        </w:tc>
        <w:tc>
          <w:tcPr>
            <w:tcW w:w="708" w:type="dxa"/>
            <w:vAlign w:val="center"/>
          </w:tcPr>
          <w:p w14:paraId="32434BD8"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3.4</w:t>
            </w:r>
          </w:p>
        </w:tc>
        <w:tc>
          <w:tcPr>
            <w:tcW w:w="1167" w:type="dxa"/>
            <w:vAlign w:val="center"/>
          </w:tcPr>
          <w:p w14:paraId="5AC17B34" w14:textId="77777777"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10.5</w:t>
            </w:r>
          </w:p>
        </w:tc>
        <w:tc>
          <w:tcPr>
            <w:tcW w:w="1028" w:type="dxa"/>
            <w:vAlign w:val="center"/>
          </w:tcPr>
          <w:p w14:paraId="4BA05CA5"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w:t>
            </w:r>
          </w:p>
        </w:tc>
        <w:tc>
          <w:tcPr>
            <w:tcW w:w="1243" w:type="dxa"/>
            <w:vAlign w:val="center"/>
          </w:tcPr>
          <w:p w14:paraId="620F0F37"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RIL</w:t>
            </w:r>
          </w:p>
        </w:tc>
        <w:tc>
          <w:tcPr>
            <w:tcW w:w="693" w:type="dxa"/>
            <w:vAlign w:val="center"/>
          </w:tcPr>
          <w:p w14:paraId="76C792AF"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w:t>
            </w:r>
          </w:p>
        </w:tc>
        <w:tc>
          <w:tcPr>
            <w:tcW w:w="3018" w:type="dxa"/>
            <w:vAlign w:val="center"/>
          </w:tcPr>
          <w:p w14:paraId="61533E61"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{"citationID":"QWOsVOUz","properties":{"formattedCitation":"(Echeverry-Solarte {\\i{}et al.}, 2015)","plainCitation":"(Echeverry-Solarte et al., 2015)","noteIndex":0},"citationItems":[{"id":431,"uris":["http://zotero.org/users/10335591/items/BXCUZXGY"],"itemData":{"id":431,"type":"article-journal","abstract":"A population developed from an exotic line with supernumerary spikelets was genetically dissected for eight quality traits, discovering new genes/alleles with potential use in wheat breeding programs.","container-title":"Theoretical and Applied Genetics","DOI":"10.1007/s00122-015-2478-0","ISSN":"1432-2242","issue":"5","journalAbbreviation":"Theor Appl Genet","language":"en","page":"893-912","source":"Springer Link","title":"New QTL alleles for quality-related traits in spring wheat revealed by RIL population derived from supernumerary × non-supernumerary spikelet genotypes","volume":"128","author":[{"family":"Echeverry-Solarte","given":"Morgan"},{"family":"Kumar","given":"Ajay"},{"family":"Kianian","given":"Shahryar"},{"family":"Simsek","given":"Senay"},{"family":"Alamri","given":"Mohammed S."},{"family":"Mantovani","given":"Eder E."},{"family":"McClean","given":"Phillip E."},{"family":"Deckard","given":"Edward L."},{"family":"Elias","given":"Elias"},{"family":"Schatz","given":"Blaine"},{"family":"Xu","given":"Steven S."},{"family":"Mergoum","given":"Mohamed"}],"issued":{"date-parts":[["2015",5,1]]}}}],"schema":"https://github.com/citation-style-language/schema/raw/master/csl-citation.json"}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(Echeverry-Solarte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2015)</w:t>
            </w:r>
            <w:r w:rsidRPr="00D220C2">
              <w:rPr>
                <w:rFonts w:ascii="Times New Roman" w:hAnsi="Times New Roman" w:cs="Times New Roman"/>
                <w:sz w:val="20"/>
                <w:szCs w:val="20"/>
              </w:rPr>
              <w:fldChar w:fldCharType="end"/>
            </w:r>
          </w:p>
        </w:tc>
      </w:tr>
      <w:tr w:rsidR="00EB2B44" w:rsidRPr="00D220C2" w14:paraId="0919B85D" w14:textId="77777777" w:rsidTr="006E58B2">
        <w:tc>
          <w:tcPr>
            <w:tcW w:w="480" w:type="dxa"/>
            <w:vAlign w:val="center"/>
          </w:tcPr>
          <w:p w14:paraId="7B3EF39F"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w:t>
            </w:r>
          </w:p>
        </w:tc>
        <w:tc>
          <w:tcPr>
            <w:tcW w:w="791" w:type="dxa"/>
            <w:vAlign w:val="center"/>
          </w:tcPr>
          <w:p w14:paraId="391514AC"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78C6D256" w14:textId="77777777" w:rsidR="00EB2B44" w:rsidRPr="00D220C2" w:rsidRDefault="00EB2B44" w:rsidP="006E58B2">
            <w:pPr>
              <w:rPr>
                <w:rFonts w:ascii="Times New Roman" w:hAnsi="Times New Roman" w:cs="Times New Roman"/>
                <w:i/>
                <w:iCs/>
                <w:sz w:val="20"/>
                <w:szCs w:val="20"/>
              </w:rPr>
            </w:pPr>
            <w:bookmarkStart w:id="0" w:name="_Hlk168175387"/>
            <w:r w:rsidRPr="00D220C2">
              <w:rPr>
                <w:rFonts w:ascii="Times New Roman" w:hAnsi="Times New Roman" w:cs="Times New Roman"/>
                <w:i/>
                <w:iCs/>
                <w:sz w:val="20"/>
                <w:szCs w:val="20"/>
              </w:rPr>
              <w:t>GPC-2B_1</w:t>
            </w:r>
            <w:bookmarkEnd w:id="0"/>
          </w:p>
        </w:tc>
        <w:tc>
          <w:tcPr>
            <w:tcW w:w="2977" w:type="dxa"/>
            <w:vAlign w:val="center"/>
          </w:tcPr>
          <w:p w14:paraId="7E8034DC" w14:textId="77777777" w:rsidR="00EB2B44" w:rsidRPr="00D220C2" w:rsidRDefault="00EB2B44" w:rsidP="006E58B2">
            <w:pPr>
              <w:rPr>
                <w:rFonts w:ascii="Times New Roman" w:hAnsi="Times New Roman" w:cs="Times New Roman"/>
                <w:sz w:val="20"/>
                <w:szCs w:val="20"/>
              </w:rPr>
            </w:pPr>
            <w:bookmarkStart w:id="1" w:name="_Hlk168175396"/>
            <w:r w:rsidRPr="00D220C2">
              <w:rPr>
                <w:rFonts w:ascii="Times New Roman" w:hAnsi="Times New Roman" w:cs="Times New Roman"/>
                <w:sz w:val="20"/>
                <w:szCs w:val="20"/>
              </w:rPr>
              <w:t>2BM34673 and 2BM72380</w:t>
            </w:r>
            <w:bookmarkEnd w:id="1"/>
          </w:p>
        </w:tc>
        <w:tc>
          <w:tcPr>
            <w:tcW w:w="708" w:type="dxa"/>
            <w:vAlign w:val="center"/>
          </w:tcPr>
          <w:p w14:paraId="1778D36F"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4.3</w:t>
            </w:r>
          </w:p>
        </w:tc>
        <w:tc>
          <w:tcPr>
            <w:tcW w:w="1167" w:type="dxa"/>
            <w:vAlign w:val="center"/>
          </w:tcPr>
          <w:p w14:paraId="11541860" w14:textId="32F8B4E0"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16</w:t>
            </w:r>
            <w:r w:rsidR="006B7386" w:rsidRPr="00D220C2">
              <w:rPr>
                <w:rFonts w:ascii="Times New Roman" w:hAnsi="Times New Roman" w:cs="Times New Roman"/>
                <w:sz w:val="20"/>
                <w:szCs w:val="20"/>
              </w:rPr>
              <w:t>.0</w:t>
            </w:r>
          </w:p>
        </w:tc>
        <w:tc>
          <w:tcPr>
            <w:tcW w:w="1028" w:type="dxa"/>
            <w:vAlign w:val="center"/>
          </w:tcPr>
          <w:p w14:paraId="6237E68D"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52.67</w:t>
            </w:r>
          </w:p>
        </w:tc>
        <w:tc>
          <w:tcPr>
            <w:tcW w:w="1243" w:type="dxa"/>
            <w:vAlign w:val="center"/>
          </w:tcPr>
          <w:p w14:paraId="15949A99"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 xml:space="preserve">RIL </w:t>
            </w:r>
          </w:p>
        </w:tc>
        <w:tc>
          <w:tcPr>
            <w:tcW w:w="693" w:type="dxa"/>
            <w:vAlign w:val="center"/>
          </w:tcPr>
          <w:p w14:paraId="00FB9E3A"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w:t>
            </w:r>
          </w:p>
        </w:tc>
        <w:bookmarkStart w:id="2" w:name="_Hlk168175440"/>
        <w:tc>
          <w:tcPr>
            <w:tcW w:w="3018" w:type="dxa"/>
            <w:vAlign w:val="center"/>
          </w:tcPr>
          <w:p w14:paraId="4FF1C4DA"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{"citationID":"zIfOlvoE","properties":{"formattedCitation":"(Zhang {\\i{}et al.}, 2021)","plainCitation":"(Zhang et al., 2021)","noteIndex":0},"citationItems":[{"id":400,"uris":["http://zotero.org/users/10335591/items/7UZAD3RA"],"itemData":{"id":400,"type":"article-journal","abstract":"In the present study, four large-scale field trials using two doubled haploid wheat populations were conducted in different environments for two years. Grain protein content (GPC) and 21 other yield-related traits were investigated. A total of 227 QTL were mapped on 18 chromosomes, which formed 35 QTL clusters. The potential candidate genes underlying the QTL clusters were suggested. Furthermore, adding to the significant correlations between yield and its related traits, correlation variations were clearly shown within the QTL clusters. The QTL clusters with consistently positive correlations were suggested to be directly utilized in wheat breeding, including 1B.2, 2A.2, 2B (4.9–16.5 Mb), 2B.3, 3B (68.9–214.5 Mb), 4A.2, 4B.2, 4D, 5A.1, 5A.2, 5B.1, and 5D. The QTL clusters with negative alignments between traits may also have potential value for yield or GPC improvement in specific environments, including 1A.1, 2B.1, 1B.3, 5A.3, 5B.2 (612.1–613.6 Mb), 7A.1, 7A.2, 7B.1, and 7B.2. One GPC QTL (5B.2: 671.3–672.9 Mb) contributed by cultivar Spitfire was positively associated with nitrogen use efficiency or grain protein yield and is highly recommended for breeding use. Another GPC QTL without negatively pleiotropic effects on 2A (50.0–56.3 Mb), 2D, 4D, and 6B is suggested for quality wheat breeding.","container-title":"International Journal of Molecular Sciences","DOI":"10.3390/ijms222111934","ISSN":"1422-0067","issue":"21","language":"en","license":"http://creativecommons.org/licenses/by/3.0/","note":"number: 21\npublisher: Multidisciplinary Digital Publishing Institute","page":"11934","source":"www.mdpi.com","title":"Yield-Related QTL Clusters and the Potential Candidate Genes in Two Wheat DH Populations","volume":"22","author":[{"family":"Zhang","given":"Jingjuan"},{"family":"She","given":"Maoyun"},{"family":"Yang","given":"Rongchang"},{"family":"Jiang","given":"Yanjie"},{"family":"Qin","given":"Yebo"},{"family":"Zhai","given":"Shengnan"},{"family":"Balotf","given":"Sadegh"},{"family":"Zhao","given":"Yun"},{"family":"Anwar","given":"Masood"},{"family":"Alhabbar","given":"Zaid"},{"family":"Juhász","given":"Angéla"},{"family":"Chen","given":"Jiansheng"},{"family":"Liu","given":"Hang"},{"family":"Liu","given":"Qier"},{"family":"Zheng","given":"Ting"},{"family":"Yang","given":"Fan"},{"family":"Rong","given":"Junkang"},{"family":"Chen","given":"Kefei"},{"family":"Lu","given":"Meiqin"},{"family":"Islam","given":"Shahidul"},{"family":"Ma","given":"Wujun"}],"issued":{"date-parts":[["2021",1]]}}}],"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(Zhang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2021)</w:t>
            </w:r>
            <w:r w:rsidRPr="00D220C2">
              <w:rPr>
                <w:rFonts w:ascii="Times New Roman" w:hAnsi="Times New Roman" w:cs="Times New Roman"/>
                <w:sz w:val="20"/>
                <w:szCs w:val="20"/>
              </w:rPr>
              <w:fldChar w:fldCharType="end"/>
            </w:r>
            <w:bookmarkEnd w:id="2"/>
          </w:p>
        </w:tc>
      </w:tr>
      <w:tr w:rsidR="00EB2B44" w:rsidRPr="00D220C2" w14:paraId="0585C2D1" w14:textId="77777777" w:rsidTr="006E58B2">
        <w:tc>
          <w:tcPr>
            <w:tcW w:w="480" w:type="dxa"/>
            <w:vAlign w:val="center"/>
          </w:tcPr>
          <w:p w14:paraId="3AC28C92"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12</w:t>
            </w:r>
          </w:p>
        </w:tc>
        <w:tc>
          <w:tcPr>
            <w:tcW w:w="791" w:type="dxa"/>
            <w:vAlign w:val="center"/>
          </w:tcPr>
          <w:p w14:paraId="54978D23"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550E5839" w14:textId="77777777" w:rsidR="00EB2B44" w:rsidRPr="00D220C2" w:rsidRDefault="00EB2B44" w:rsidP="006E58B2">
            <w:pPr>
              <w:pStyle w:val="NormalWeb"/>
              <w:rPr>
                <w:rStyle w:val="Emphasis"/>
                <w:i w:val="0"/>
                <w:iCs w:val="0"/>
                <w:sz w:val="20"/>
                <w:szCs w:val="20"/>
              </w:rPr>
            </w:pPr>
            <w:r w:rsidRPr="00D220C2">
              <w:rPr>
                <w:i/>
                <w:iCs/>
                <w:sz w:val="20"/>
                <w:szCs w:val="20"/>
              </w:rPr>
              <w:t>QGpc.mgb-2B.2</w:t>
            </w:r>
          </w:p>
        </w:tc>
        <w:tc>
          <w:tcPr>
            <w:tcW w:w="2977" w:type="dxa"/>
            <w:vAlign w:val="center"/>
          </w:tcPr>
          <w:p w14:paraId="225B5AC0" w14:textId="77777777" w:rsidR="00EB2B44" w:rsidRPr="00D220C2" w:rsidRDefault="00EB2B44" w:rsidP="006E58B2">
            <w:pPr>
              <w:rPr>
                <w:rStyle w:val="Emphasis"/>
                <w:rFonts w:ascii="Times New Roman" w:hAnsi="Times New Roman" w:cs="Times New Roman"/>
                <w:sz w:val="20"/>
                <w:szCs w:val="20"/>
              </w:rPr>
            </w:pPr>
            <w:r w:rsidRPr="00D220C2">
              <w:rPr>
                <w:rFonts w:ascii="Times New Roman" w:hAnsi="Times New Roman" w:cs="Times New Roman"/>
                <w:sz w:val="20"/>
                <w:szCs w:val="20"/>
              </w:rPr>
              <w:t>IWB51809</w:t>
            </w:r>
          </w:p>
        </w:tc>
        <w:tc>
          <w:tcPr>
            <w:tcW w:w="708" w:type="dxa"/>
            <w:vAlign w:val="center"/>
          </w:tcPr>
          <w:p w14:paraId="25B53BA3"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&gt;3.0</w:t>
            </w:r>
          </w:p>
        </w:tc>
        <w:tc>
          <w:tcPr>
            <w:tcW w:w="1167" w:type="dxa"/>
            <w:vAlign w:val="center"/>
          </w:tcPr>
          <w:p w14:paraId="34BDA56C" w14:textId="1F6A6492"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8.7</w:t>
            </w:r>
            <w:r w:rsidR="006B7386" w:rsidRPr="00D220C2">
              <w:rPr>
                <w:rFonts w:ascii="Times New Roman" w:hAnsi="Times New Roman" w:cs="Times New Roman"/>
                <w:sz w:val="20"/>
                <w:szCs w:val="20"/>
              </w:rPr>
              <w:t>0</w:t>
            </w:r>
          </w:p>
        </w:tc>
        <w:tc>
          <w:tcPr>
            <w:tcW w:w="1028" w:type="dxa"/>
            <w:vAlign w:val="center"/>
          </w:tcPr>
          <w:p w14:paraId="6A7FE577"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129.30</w:t>
            </w:r>
          </w:p>
        </w:tc>
        <w:tc>
          <w:tcPr>
            <w:tcW w:w="1243" w:type="dxa"/>
            <w:vAlign w:val="center"/>
          </w:tcPr>
          <w:p w14:paraId="47930023"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DH</w:t>
            </w:r>
          </w:p>
        </w:tc>
        <w:tc>
          <w:tcPr>
            <w:tcW w:w="693" w:type="dxa"/>
            <w:vAlign w:val="center"/>
          </w:tcPr>
          <w:p w14:paraId="6D792CDB"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NA</w:t>
            </w:r>
          </w:p>
        </w:tc>
        <w:tc>
          <w:tcPr>
            <w:tcW w:w="3018" w:type="dxa"/>
            <w:vAlign w:val="center"/>
          </w:tcPr>
          <w:p w14:paraId="5CBACE36"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{"citationID":"BRcVmhiW","properties":{"formattedCitation":"(Nigro {\\i{}et al.}, 2019)","plainCitation":"(Nigro et al., 2019)","noteIndex":0},"citationItems":[{"id":4,"uris":["http://zotero.org/users/10335591/items/438ZPHPR"],"itemData":{"id":4,"type":"article-journal","abstract":"MAIN CONCLUSION: Stable QTL for grain protein content co-migrating with nitrogen-related genes have been identified by the candidate genes and genome-wide association mapping approaches useful for marker-assisted selection. Grain protein content (GPC) is one of the most important quality traits in wheat, defining the nutritional and end-use properties and rheological characteristics. Over the years, a number of breeding programs have been developed aimed to improving GPC, most of them having been prevented by the negative correlation with grain yield. To overcome this issue, a collection of durum wheat germplasm was evaluated for both GPC and grain protein deviation (GPD) in seven field trials. Fourteen candidate genes involved in several processes related to nitrogen metabolism were precisely located on two high-density consensus maps of common and durum wheat, and six of them were found to be highly associated with both traits. The wheat collection was genotyped using the 90 K iSelect array, and 11 stable quantitative trait loci (QTL) for GPC were detected in at least three environments and the mean across environments by the genome-wide association mapping. Interestingly, seven QTL were co-migrating with N-related candidate genes. Four QTL were found to be significantly associated to increases of GPD, indicating that selecting for GPC could not affect final grain yield per spike. The combined approaches of candidate genes and genome-wide association mapping led to a better understanding of the genetic relationships between grain storage proteins and grain yield per spike, and provided useful information for marker-assisted selection programs.","container-title":"Planta","DOI":"10.1007/s00425-018-03075-1","ISSN":"1432-2048","issue":"4","journalAbbreviation":"Planta","language":"eng","note":"PMID: 30603787","page":"1157-1175","source":"PubMed","title":"Candidate genes and genome-wide association study of grain protein content and protein deviation in durum wheat","volume":"249","author":[{"family":"Nigro","given":"D."},{"family":"Gadaleta","given":"A."},{"family":"Mangini","given":"G."},{"family":"Colasuonno","given":"P."},{"family":"Marcotuli","given":"I."},{"family":"Giancaspro","given":"A."},{"family":"Giove","given":"S. L."},{"family":"Simeone","given":"R."},{"family":"Blanco","given":"A."}],"issued":{"date-parts":[["2019",4]]}}}],"schema":"https://github.com/citation-style-language/schema/raw/master/csl-citation.json"}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(Nigro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2019)</w:t>
            </w:r>
            <w:r w:rsidRPr="00D220C2">
              <w:rPr>
                <w:rFonts w:ascii="Times New Roman" w:hAnsi="Times New Roman" w:cs="Times New Roman"/>
                <w:sz w:val="20"/>
                <w:szCs w:val="20"/>
              </w:rPr>
              <w:fldChar w:fldCharType="end"/>
            </w:r>
          </w:p>
        </w:tc>
      </w:tr>
      <w:tr w:rsidR="00EB2B44" w:rsidRPr="00D220C2" w14:paraId="0D9AFD4C" w14:textId="77777777" w:rsidTr="006E58B2">
        <w:tc>
          <w:tcPr>
            <w:tcW w:w="480" w:type="dxa"/>
            <w:vAlign w:val="center"/>
          </w:tcPr>
          <w:p w14:paraId="778F6D31"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17</w:t>
            </w:r>
          </w:p>
        </w:tc>
        <w:tc>
          <w:tcPr>
            <w:tcW w:w="791" w:type="dxa"/>
            <w:vAlign w:val="center"/>
          </w:tcPr>
          <w:p w14:paraId="545CE384"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0A911C64" w14:textId="77777777" w:rsidR="00EB2B44" w:rsidRPr="00D220C2" w:rsidRDefault="00EB2B44" w:rsidP="006E58B2">
            <w:pPr>
              <w:pStyle w:val="NormalWeb"/>
              <w:rPr>
                <w:i/>
                <w:iCs/>
                <w:sz w:val="20"/>
                <w:szCs w:val="20"/>
              </w:rPr>
            </w:pPr>
            <w:r w:rsidRPr="00D220C2">
              <w:rPr>
                <w:i/>
                <w:iCs/>
                <w:sz w:val="20"/>
                <w:szCs w:val="20"/>
              </w:rPr>
              <w:t>QGpc.spa-2B.1</w:t>
            </w:r>
          </w:p>
        </w:tc>
        <w:tc>
          <w:tcPr>
            <w:tcW w:w="2977" w:type="dxa"/>
            <w:vAlign w:val="center"/>
          </w:tcPr>
          <w:p w14:paraId="7BFAEF35"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IWB19970</w:t>
            </w:r>
          </w:p>
        </w:tc>
        <w:tc>
          <w:tcPr>
            <w:tcW w:w="708" w:type="dxa"/>
            <w:vAlign w:val="center"/>
          </w:tcPr>
          <w:p w14:paraId="64B7BE03"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7.6</w:t>
            </w:r>
          </w:p>
        </w:tc>
        <w:tc>
          <w:tcPr>
            <w:tcW w:w="1167" w:type="dxa"/>
            <w:vAlign w:val="center"/>
          </w:tcPr>
          <w:p w14:paraId="7801595F" w14:textId="6C4C92E1"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16</w:t>
            </w:r>
            <w:r w:rsidR="006B7386" w:rsidRPr="00D220C2">
              <w:rPr>
                <w:rFonts w:ascii="Times New Roman" w:hAnsi="Times New Roman" w:cs="Times New Roman"/>
                <w:sz w:val="20"/>
                <w:szCs w:val="20"/>
              </w:rPr>
              <w:t>.0</w:t>
            </w:r>
          </w:p>
        </w:tc>
        <w:tc>
          <w:tcPr>
            <w:tcW w:w="1028" w:type="dxa"/>
            <w:vAlign w:val="center"/>
          </w:tcPr>
          <w:p w14:paraId="66CE7B02"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168.20</w:t>
            </w:r>
          </w:p>
        </w:tc>
        <w:tc>
          <w:tcPr>
            <w:tcW w:w="1243" w:type="dxa"/>
            <w:vAlign w:val="center"/>
          </w:tcPr>
          <w:p w14:paraId="1A51F257"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DH</w:t>
            </w:r>
          </w:p>
        </w:tc>
        <w:tc>
          <w:tcPr>
            <w:tcW w:w="693" w:type="dxa"/>
            <w:vAlign w:val="center"/>
          </w:tcPr>
          <w:p w14:paraId="54CABBAF"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NA</w:t>
            </w:r>
          </w:p>
        </w:tc>
        <w:tc>
          <w:tcPr>
            <w:tcW w:w="3018" w:type="dxa"/>
            <w:vAlign w:val="center"/>
          </w:tcPr>
          <w:p w14:paraId="008F1EBE"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{"citationID":"dSwdect2","properties":{"formattedCitation":"(Ruan {\\i{}et al.}, 2021)","plainCitation":"(Ruan et al., 2021)","noteIndex":0},"citationItems":[{"id":433,"uris":["http://zotero.org/users/10335591/items/QKA7R2R4"],"itemData":{"id":433,"type":"article-journal","abstract":"Grain protein concentration (GPC) is an important trait in durum cultivar development as a major determinant of the nutritional value of grain and end-use product quality. However, it is challenging to simultaneously select both GPC and grain yield (GY) due to the negative correlation between them. To characterize quantitative trait loci (QTL) for GPC and understand the genetic relationship between GPC and GY in Canadian durum wheat, we performed both traditional and conditional QTL mapping using a doubled haploid (DH) population of 162 lines derived from Pelissier × Strongfield. The population was grown in the field over 5 years and GPC was measured. QTL contributing to GPC were detected on chromosome 1B, 2B, 3A, 5B, 7A, and 7B using traditional mapping. One major QTL on 3A (QGpc.spa-3A.3) was consistently detected over 3 years accounting for 9.4–18.1% of the phenotypic variance, with the favorable allele derived from Pelissier. Another major QTL on 7A (QGpc.spa-7A) detected in 3 years explained 6.9–14.8% of the phenotypic variance, with the beneficial allele derived from Strongfield. Comparison of the QTL described here with the results previously reported led to the identification of one novel major QTL on 3A (QGpc.spa-3A.3) and five novel minor QTL on 1B, 2B and 3A. Four QTL were common between traditional and conditional mapping, with QGpc.spa-3A.3 and QGpc.spa-7A detected in multiple environments. The QTL identified by conditional mapping were independent or partially independent of GY, making them of great importance for development of high GPC and high yielding durum.","container-title":"Frontiers in Plant Science","ISSN":"1664-462X","source":"Frontiers","title":"Conditional Mapping Identified Quantitative Trait Loci for Grain Protein Concentration Expressing Independently of Grain Yield in Canadian Durum Wheat","URL":"https://www.frontiersin.org/articles/10.3389/fpls.2021.642955","volume":"12","author":[{"family":"Ruan","given":"Yuefeng"},{"family":"Yu","given":"Bianyun"},{"family":"Knox","given":"Ron E."},{"family":"Zhang","given":"Wentao"},{"family":"Singh","given":"Asheesh K."},{"family":"Cuthbert","given":"Richard"},{"family":"Fobert","given":"Pierre"},{"family":"DePauw","given":"Ron"},{"family":"Berraies","given":"Samia"},{"family":"Sharpe","given":"Andrew"},{"family":"Fu","given":"Bin Xiao"},{"family":"Sangha","given":"Jatinder"}],"accessed":{"date-parts":[["2023",12,9]]},"issued":{"date-parts":[["2021"]]}}}],"schema":"https://github.com/citation-style-language/schema/raw/master/csl-citation.json"}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(Ruan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2021)</w:t>
            </w:r>
            <w:r w:rsidRPr="00D220C2">
              <w:rPr>
                <w:rFonts w:ascii="Times New Roman" w:hAnsi="Times New Roman" w:cs="Times New Roman"/>
                <w:sz w:val="20"/>
                <w:szCs w:val="20"/>
              </w:rPr>
              <w:fldChar w:fldCharType="end"/>
            </w:r>
          </w:p>
        </w:tc>
      </w:tr>
      <w:tr w:rsidR="00EB2B44" w:rsidRPr="00D220C2" w14:paraId="6A658F68" w14:textId="77777777" w:rsidTr="006E58B2">
        <w:tc>
          <w:tcPr>
            <w:tcW w:w="480" w:type="dxa"/>
            <w:vAlign w:val="center"/>
          </w:tcPr>
          <w:p w14:paraId="0DF40EC7"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8</w:t>
            </w:r>
          </w:p>
        </w:tc>
        <w:tc>
          <w:tcPr>
            <w:tcW w:w="791" w:type="dxa"/>
            <w:vAlign w:val="center"/>
          </w:tcPr>
          <w:p w14:paraId="66E78FD1"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5C852ADD" w14:textId="77777777" w:rsidR="00EB2B44" w:rsidRPr="00D220C2" w:rsidRDefault="00EB2B44" w:rsidP="006E58B2">
            <w:pPr>
              <w:rPr>
                <w:rStyle w:val="Emphasis"/>
                <w:rFonts w:ascii="Times New Roman" w:hAnsi="Times New Roman" w:cs="Times New Roman"/>
                <w:sz w:val="20"/>
                <w:szCs w:val="20"/>
              </w:rPr>
            </w:pPr>
            <w:r w:rsidRPr="00D220C2">
              <w:rPr>
                <w:rStyle w:val="Emphasis"/>
                <w:rFonts w:ascii="Times New Roman" w:hAnsi="Times New Roman" w:cs="Times New Roman"/>
                <w:sz w:val="20"/>
                <w:szCs w:val="20"/>
              </w:rPr>
              <w:t>QGpc.WJ-2B.2</w:t>
            </w:r>
          </w:p>
        </w:tc>
        <w:tc>
          <w:tcPr>
            <w:tcW w:w="2977" w:type="dxa"/>
            <w:vAlign w:val="center"/>
          </w:tcPr>
          <w:p w14:paraId="7BCA5206" w14:textId="77777777" w:rsidR="00EB2B44" w:rsidRPr="00D220C2" w:rsidRDefault="00EB2B44" w:rsidP="006E58B2">
            <w:pPr>
              <w:rPr>
                <w:rStyle w:val="Emphasis"/>
                <w:rFonts w:ascii="Times New Roman" w:hAnsi="Times New Roman" w:cs="Times New Roman"/>
                <w:sz w:val="20"/>
                <w:szCs w:val="20"/>
              </w:rPr>
            </w:pPr>
            <w:r w:rsidRPr="00D220C2">
              <w:rPr>
                <w:rStyle w:val="Emphasis"/>
                <w:rFonts w:ascii="Times New Roman" w:hAnsi="Times New Roman" w:cs="Times New Roman"/>
                <w:sz w:val="20"/>
                <w:szCs w:val="20"/>
              </w:rPr>
              <w:t>wmc344.5–Xwmc344.1</w:t>
            </w:r>
          </w:p>
        </w:tc>
        <w:tc>
          <w:tcPr>
            <w:tcW w:w="708" w:type="dxa"/>
            <w:vAlign w:val="center"/>
          </w:tcPr>
          <w:p w14:paraId="1BB9A60B"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4.1</w:t>
            </w:r>
          </w:p>
        </w:tc>
        <w:tc>
          <w:tcPr>
            <w:tcW w:w="1167" w:type="dxa"/>
            <w:vAlign w:val="center"/>
          </w:tcPr>
          <w:p w14:paraId="3C23C332" w14:textId="50ABB80D"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4.7</w:t>
            </w:r>
            <w:r w:rsidR="006B7386" w:rsidRPr="00D220C2">
              <w:rPr>
                <w:rFonts w:ascii="Times New Roman" w:hAnsi="Times New Roman" w:cs="Times New Roman"/>
                <w:sz w:val="20"/>
                <w:szCs w:val="20"/>
              </w:rPr>
              <w:t>0</w:t>
            </w:r>
          </w:p>
        </w:tc>
        <w:tc>
          <w:tcPr>
            <w:tcW w:w="1028" w:type="dxa"/>
            <w:vAlign w:val="center"/>
          </w:tcPr>
          <w:p w14:paraId="43042EC7" w14:textId="77777777" w:rsidR="00EB2B44" w:rsidRPr="00D220C2" w:rsidRDefault="00EB2B44" w:rsidP="006E58B2">
            <w:pPr>
              <w:pStyle w:val="HTMLPreformatted"/>
              <w:rPr>
                <w:rFonts w:ascii="Times New Roman" w:hAnsi="Times New Roman" w:cs="Times New Roman"/>
              </w:rPr>
            </w:pPr>
            <w:r w:rsidRPr="00D220C2">
              <w:rPr>
                <w:rFonts w:ascii="Times New Roman" w:hAnsi="Times New Roman" w:cs="Times New Roman"/>
              </w:rPr>
              <w:t>173.53</w:t>
            </w:r>
          </w:p>
        </w:tc>
        <w:tc>
          <w:tcPr>
            <w:tcW w:w="1243" w:type="dxa"/>
            <w:vAlign w:val="center"/>
          </w:tcPr>
          <w:p w14:paraId="12836B6D"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RIL</w:t>
            </w:r>
          </w:p>
        </w:tc>
        <w:tc>
          <w:tcPr>
            <w:tcW w:w="693" w:type="dxa"/>
            <w:vAlign w:val="center"/>
          </w:tcPr>
          <w:p w14:paraId="56BCF3FC"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w:t>
            </w:r>
          </w:p>
        </w:tc>
        <w:tc>
          <w:tcPr>
            <w:tcW w:w="3018" w:type="dxa"/>
            <w:vAlign w:val="center"/>
          </w:tcPr>
          <w:p w14:paraId="29E8FE03"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{"citationID":"5VO4Pkzo","properties":{"formattedCitation":"(Li {\\i{}et al.}, 2012)","plainCitation":"(Li et al., 2012)","noteIndex":0},"citationItems":[{"id":165,"uris":["http://zotero.org/users/10335591/items/4RRTU84V"],"itemData":{"id":165,"type":"article-journal","abstract":"Grain protein content (GPC) and gluten quality are the most important factors determining the end-use quality of wheat for pasta-making. Both GPC and gluten quality are considered to be polygenic traits influenced by environmental factors and other agricultural practices. Two related F8:9 recombinant inbred line (RIL) populations were generated to localise genetic factors controlling seven quality traits: GPC, wet gluten content (WGC), flour whiteness (FW), kernel hardness (KH), water absorption (Abs), dough development time (DDT) and dough stability time (DST). These lines were derived by crossing Weimai 8 and Jimai 20 (WJ) and by crossing Weimai 8 and Yannong 19 (WY). In total, WJ comprised 485 lines, while WY comprised 229 lines. Data on these seven quality traits were collected from each line in five different environments. Up to 85 putative QTLs for the seven traits were detected in WJ and 65 putative QTLs were detected in WY. Of these QTLs, 31 QTLs (36.47%) were detected in at least two trials in WJ, while 24 QTLs (36.92%) were detected in at least two trials in WY. Three QTLs from WJ and 25 from WY accounted for more than 10% of the phenotypic variance. The total 150 QTLs were spread throughout all 21 wheat chromosomes. Of these, at least thirteen pairwise were common to both populations, accounting for 20.00 and 15.29% of the total QTLs in WJ and WY, respectively. A major QTL for GPC, accounting for 53.04% of the phenotypic variation, was detected on chromosome 5A. A major QTL for WGC also shared this interval, explained more than 36% of the phenotypic variation, and was significant in two environments. Though co-located QTLs were common, every trait had its unique control mechanism, even for two closely related traits. Due to the different sizes of the two line populations, we also assessed the effects of population size on the efficiency and precision of QTL detection. In sum, this study will enhance our understanding of the genetic basis of these seven pivotal quality traits and facilitate the breeding of improved wheat varieties.","container-title":"Euphytica","DOI":"10.1007/s10681-011-0448-4","ISSN":"1573-5060","issue":"2","journalAbbreviation":"Euphytica","page":"207-226","title":"QTL detection of seven quality traits in wheat using two related recombinant inbred line populations","volume":"183","author":[{"family":"Li","given":"Jun"},{"family":"Cui","given":"Fa"},{"family":"Ding","given":"An-ming"},{"family":"Zhao","given":"Chun-hua"},{"family":"Wang","given":"Xiu-qin"},{"family":"Wang","given":"Lin"},{"family":"Bao","given":"Yin-guang"},{"family":"Qi","given":"Xiao-lei"},{"family":"Li","given":"Xing-feng"},{"family":"Gao","given":"Ju-rong"},{"family":"Feng","given":"De-shun"},{"family":"Wang","given":"Hong-gang"}],"issued":{"date-parts":[["2012",1,1]]}}}],"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(Li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2012)</w:t>
            </w:r>
            <w:r w:rsidRPr="00D220C2">
              <w:rPr>
                <w:rFonts w:ascii="Times New Roman" w:hAnsi="Times New Roman" w:cs="Times New Roman"/>
                <w:sz w:val="20"/>
                <w:szCs w:val="20"/>
              </w:rPr>
              <w:fldChar w:fldCharType="end"/>
            </w:r>
          </w:p>
        </w:tc>
      </w:tr>
      <w:tr w:rsidR="00EB2B44" w:rsidRPr="00D220C2" w14:paraId="1243EA86" w14:textId="77777777" w:rsidTr="006E58B2">
        <w:tc>
          <w:tcPr>
            <w:tcW w:w="480" w:type="dxa"/>
            <w:vAlign w:val="center"/>
          </w:tcPr>
          <w:p w14:paraId="553B6C36"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1</w:t>
            </w:r>
          </w:p>
        </w:tc>
        <w:tc>
          <w:tcPr>
            <w:tcW w:w="791" w:type="dxa"/>
            <w:vAlign w:val="center"/>
          </w:tcPr>
          <w:p w14:paraId="63B32EE1"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6C1A50B7" w14:textId="77777777" w:rsidR="00EB2B44" w:rsidRPr="00D220C2" w:rsidRDefault="00EB2B44" w:rsidP="006E58B2">
            <w:pPr>
              <w:rPr>
                <w:rFonts w:ascii="Times New Roman" w:hAnsi="Times New Roman" w:cs="Times New Roman"/>
                <w:i/>
                <w:iCs/>
                <w:sz w:val="20"/>
                <w:szCs w:val="20"/>
              </w:rPr>
            </w:pPr>
            <w:bookmarkStart w:id="3" w:name="_Hlk168172542"/>
            <w:r w:rsidRPr="00D220C2">
              <w:rPr>
                <w:rFonts w:ascii="Times New Roman" w:hAnsi="Times New Roman" w:cs="Times New Roman"/>
                <w:i/>
                <w:iCs/>
                <w:sz w:val="20"/>
                <w:szCs w:val="20"/>
              </w:rPr>
              <w:t>QGpc.2B-yume</w:t>
            </w:r>
            <w:bookmarkEnd w:id="3"/>
          </w:p>
        </w:tc>
        <w:tc>
          <w:tcPr>
            <w:tcW w:w="2977" w:type="dxa"/>
            <w:vAlign w:val="center"/>
          </w:tcPr>
          <w:p w14:paraId="48977AA9" w14:textId="77777777" w:rsidR="00EB2B44" w:rsidRPr="00D220C2" w:rsidRDefault="00EB2B44" w:rsidP="006E58B2">
            <w:pPr>
              <w:rPr>
                <w:rFonts w:ascii="Times New Roman" w:hAnsi="Times New Roman" w:cs="Times New Roman"/>
                <w:sz w:val="20"/>
                <w:szCs w:val="20"/>
              </w:rPr>
            </w:pPr>
            <w:bookmarkStart w:id="4" w:name="_Hlk168172607"/>
            <w:r w:rsidRPr="00D220C2">
              <w:rPr>
                <w:rStyle w:val="Emphasis"/>
                <w:rFonts w:ascii="Times New Roman" w:hAnsi="Times New Roman" w:cs="Times New Roman"/>
                <w:sz w:val="20"/>
                <w:szCs w:val="20"/>
              </w:rPr>
              <w:t>Xgwm37</w:t>
            </w:r>
            <w:r w:rsidRPr="00D220C2">
              <w:rPr>
                <w:rFonts w:ascii="Times New Roman" w:hAnsi="Times New Roman" w:cs="Times New Roman"/>
                <w:sz w:val="20"/>
                <w:szCs w:val="20"/>
              </w:rPr>
              <w:t xml:space="preserve"> and </w:t>
            </w:r>
            <w:r w:rsidRPr="00D220C2">
              <w:rPr>
                <w:rStyle w:val="Emphasis"/>
                <w:rFonts w:ascii="Times New Roman" w:hAnsi="Times New Roman" w:cs="Times New Roman"/>
                <w:sz w:val="20"/>
                <w:szCs w:val="20"/>
              </w:rPr>
              <w:t>Xwmc179</w:t>
            </w:r>
            <w:bookmarkEnd w:id="4"/>
          </w:p>
        </w:tc>
        <w:tc>
          <w:tcPr>
            <w:tcW w:w="708" w:type="dxa"/>
            <w:vAlign w:val="center"/>
          </w:tcPr>
          <w:p w14:paraId="76497ABC"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2.4</w:t>
            </w:r>
          </w:p>
        </w:tc>
        <w:tc>
          <w:tcPr>
            <w:tcW w:w="1167" w:type="dxa"/>
            <w:vAlign w:val="center"/>
          </w:tcPr>
          <w:p w14:paraId="7BF67A3A" w14:textId="06620667"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28</w:t>
            </w:r>
            <w:r w:rsidR="006B7386" w:rsidRPr="00D220C2">
              <w:rPr>
                <w:rFonts w:ascii="Times New Roman" w:hAnsi="Times New Roman" w:cs="Times New Roman"/>
                <w:sz w:val="20"/>
                <w:szCs w:val="20"/>
              </w:rPr>
              <w:t>.0</w:t>
            </w:r>
          </w:p>
        </w:tc>
        <w:tc>
          <w:tcPr>
            <w:tcW w:w="1028" w:type="dxa"/>
            <w:vAlign w:val="center"/>
          </w:tcPr>
          <w:p w14:paraId="39BBEDB2" w14:textId="77777777" w:rsidR="00EB2B44" w:rsidRPr="00D220C2" w:rsidRDefault="00EB2B44" w:rsidP="006E58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kern w:val="0"/>
                <w:sz w:val="20"/>
                <w:szCs w:val="20"/>
                <w:lang w:eastAsia="en-IN"/>
                <w14:ligatures w14:val="none"/>
              </w:rPr>
            </w:pPr>
            <w:r w:rsidRPr="00D220C2">
              <w:rPr>
                <w:rFonts w:ascii="Times New Roman" w:eastAsia="Times New Roman" w:hAnsi="Times New Roman" w:cs="Times New Roman"/>
                <w:kern w:val="0"/>
                <w:sz w:val="20"/>
                <w:szCs w:val="20"/>
                <w:lang w:eastAsia="en-IN"/>
                <w14:ligatures w14:val="none"/>
              </w:rPr>
              <w:t>242.12</w:t>
            </w:r>
          </w:p>
        </w:tc>
        <w:tc>
          <w:tcPr>
            <w:tcW w:w="1243" w:type="dxa"/>
            <w:vAlign w:val="center"/>
          </w:tcPr>
          <w:p w14:paraId="799A8B6B"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DH</w:t>
            </w:r>
          </w:p>
        </w:tc>
        <w:tc>
          <w:tcPr>
            <w:tcW w:w="693" w:type="dxa"/>
            <w:vAlign w:val="center"/>
          </w:tcPr>
          <w:p w14:paraId="38E38C32"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w:t>
            </w:r>
          </w:p>
        </w:tc>
        <w:bookmarkStart w:id="5" w:name="_Hlk168172670"/>
        <w:tc>
          <w:tcPr>
            <w:tcW w:w="3018" w:type="dxa"/>
            <w:vAlign w:val="center"/>
          </w:tcPr>
          <w:p w14:paraId="0C862B9D"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{"citationID":"GWErF29M","properties":{"formattedCitation":"(Terasawa {\\i{}et al.}, 2016)","plainCitation":"(Terasawa et al., 2016)","noteIndex":0},"citationItems":[{"id":397,"uris":["http://zotero.org/users/10335591/items/KDKEV7LY"],"itemData":{"id":397,"type":"article-journal","abstract":"A quantitative trait locus (QTL) controlling wheat grain protein content (GPC) and flour protein content (FPC) was identified using doubled haploid (DH) lines developed from a cross between the hard red winter wheat variety ‘Yumechikara’ with a high protein content used for bread making, and the soft red winter wheat ‘Kitahonami’ with a low protein content used for Japanese white salted noodles. A single major QTL, QGpc.2B-yume, was identified on the short arm of wheat chromosome 2B for both the GPC and FPC over 3 years of testing. QGpc.2B-yume was mapped on the flanking region of microsatellite marker Xgpw4382. The DH lines grouped by the haplotype of the closest flanking microsatellite marker Xgpw4382 showed differences of 1.0% and 1.1% in mean GPC and FPC, respectively. Yield-component-related traits were not affected by the haplotype of QGpc.2B-yume, and major North American hard red winter wheat varieties showed the high-protein haplotype. Unlike Gpc-B1 derived from tetraploid wheat, QGpc.2B-yume has no negative effects on yield-component-related traits and should be useful for wheat breeding to increase GPC and FPC.","container-title":"Breeding Science","DOI":"10.1270/jsbbs.16026","ISSN":"1344-7610","issue":"4","journalAbbreviation":"Breed Sci","note":"PMID: 27795672\nPMCID: PMC5010309","page":"471-480","source":"PubMed Central","title":"Mapping of a major QTL associated with protein content on chromosome 2B in hard red winter wheat (Triticum aestivum L.)","volume":"66","author":[{"family":"Terasawa","given":"Yohei"},{"family":"Ito","given":"Miwako"},{"family":"Tabiki","given":"Tadashi"},{"family":"Nagasawa","given":"Koichi"},{"family":"Hatta","given":"Koichi"},{"family":"Nishio","given":"Zenta"}],"issued":{"date-parts":[["2016",9]]}}}],"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(Terasawa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2016)</w:t>
            </w:r>
            <w:r w:rsidRPr="00D220C2">
              <w:rPr>
                <w:rFonts w:ascii="Times New Roman" w:hAnsi="Times New Roman" w:cs="Times New Roman"/>
                <w:sz w:val="20"/>
                <w:szCs w:val="20"/>
              </w:rPr>
              <w:fldChar w:fldCharType="end"/>
            </w:r>
            <w:bookmarkEnd w:id="5"/>
          </w:p>
        </w:tc>
      </w:tr>
      <w:tr w:rsidR="00EB2B44" w:rsidRPr="00D220C2" w14:paraId="7EC9EA35" w14:textId="77777777" w:rsidTr="006E58B2">
        <w:tc>
          <w:tcPr>
            <w:tcW w:w="480" w:type="dxa"/>
            <w:vAlign w:val="center"/>
          </w:tcPr>
          <w:p w14:paraId="5288CAE7"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9</w:t>
            </w:r>
          </w:p>
        </w:tc>
        <w:tc>
          <w:tcPr>
            <w:tcW w:w="791" w:type="dxa"/>
            <w:vAlign w:val="center"/>
          </w:tcPr>
          <w:p w14:paraId="64DCF0E8"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0B12F131" w14:textId="77777777" w:rsidR="00EB2B44" w:rsidRPr="00D220C2" w:rsidRDefault="00EB2B44" w:rsidP="006E58B2">
            <w:pPr>
              <w:rPr>
                <w:rStyle w:val="Emphasis"/>
                <w:rFonts w:ascii="Times New Roman" w:hAnsi="Times New Roman" w:cs="Times New Roman"/>
                <w:sz w:val="20"/>
                <w:szCs w:val="20"/>
              </w:rPr>
            </w:pPr>
            <w:r w:rsidRPr="00D220C2">
              <w:rPr>
                <w:rStyle w:val="Emphasis"/>
                <w:rFonts w:ascii="Times New Roman" w:hAnsi="Times New Roman" w:cs="Times New Roman"/>
                <w:sz w:val="20"/>
                <w:szCs w:val="20"/>
              </w:rPr>
              <w:t>Qgpc-1</w:t>
            </w:r>
          </w:p>
        </w:tc>
        <w:tc>
          <w:tcPr>
            <w:tcW w:w="2977" w:type="dxa"/>
            <w:vAlign w:val="center"/>
          </w:tcPr>
          <w:p w14:paraId="70BB9068" w14:textId="77777777" w:rsidR="00EB2B44" w:rsidRPr="00D220C2" w:rsidRDefault="00EB2B44" w:rsidP="006E58B2">
            <w:pPr>
              <w:rPr>
                <w:rStyle w:val="Emphasis"/>
                <w:rFonts w:ascii="Times New Roman" w:hAnsi="Times New Roman" w:cs="Times New Roman"/>
                <w:sz w:val="20"/>
                <w:szCs w:val="20"/>
              </w:rPr>
            </w:pPr>
            <w:r w:rsidRPr="00D220C2">
              <w:rPr>
                <w:rStyle w:val="Emphasis"/>
                <w:rFonts w:ascii="Times New Roman" w:hAnsi="Times New Roman" w:cs="Times New Roman"/>
                <w:sz w:val="20"/>
                <w:szCs w:val="20"/>
              </w:rPr>
              <w:t>IWB1518</w:t>
            </w:r>
          </w:p>
        </w:tc>
        <w:tc>
          <w:tcPr>
            <w:tcW w:w="708" w:type="dxa"/>
            <w:vAlign w:val="center"/>
          </w:tcPr>
          <w:p w14:paraId="669FDB0B"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7.9</w:t>
            </w:r>
          </w:p>
        </w:tc>
        <w:tc>
          <w:tcPr>
            <w:tcW w:w="1167" w:type="dxa"/>
            <w:vAlign w:val="center"/>
          </w:tcPr>
          <w:p w14:paraId="1DA3192D" w14:textId="0F5E8DDD"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8</w:t>
            </w:r>
            <w:r w:rsidR="006B7386" w:rsidRPr="00D220C2">
              <w:rPr>
                <w:rFonts w:ascii="Times New Roman" w:hAnsi="Times New Roman" w:cs="Times New Roman"/>
                <w:sz w:val="20"/>
                <w:szCs w:val="20"/>
              </w:rPr>
              <w:t>.00</w:t>
            </w:r>
          </w:p>
        </w:tc>
        <w:tc>
          <w:tcPr>
            <w:tcW w:w="1028" w:type="dxa"/>
            <w:vAlign w:val="center"/>
          </w:tcPr>
          <w:p w14:paraId="1509A792"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494.37</w:t>
            </w:r>
          </w:p>
        </w:tc>
        <w:tc>
          <w:tcPr>
            <w:tcW w:w="1243" w:type="dxa"/>
            <w:vAlign w:val="center"/>
          </w:tcPr>
          <w:p w14:paraId="2E6E45CF"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NAM</w:t>
            </w:r>
          </w:p>
        </w:tc>
        <w:tc>
          <w:tcPr>
            <w:tcW w:w="693" w:type="dxa"/>
            <w:vAlign w:val="center"/>
          </w:tcPr>
          <w:p w14:paraId="5778F1C3"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w:t>
            </w:r>
          </w:p>
        </w:tc>
        <w:tc>
          <w:tcPr>
            <w:tcW w:w="3018" w:type="dxa"/>
            <w:vAlign w:val="center"/>
          </w:tcPr>
          <w:p w14:paraId="55DF9E54"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{"citationID":"UiZSZmMd","properties":{"formattedCitation":"(Donaire {\\i{}et al.}, 2023)","plainCitation":"(Donaire et al., 2023)","noteIndex":0},"citationItems":[{"id":423,"uris":["http://zotero.org/users/10335591/items/LUILZQTD"],"itemData":{"id":423,"type":"article-journal","container-title":"Euphytica","issue":"6","note":"ISBN: 0014-2336\npublisher: Springer","page":"65","title":"Dissecting genetic loci of yield, yield components, and protein content in bread wheat nested association mapping population","volume":"219","author":[{"family":"Donaire","given":"Guillermo"},{"family":"Vanzetti","given":"Leonardo S."},{"family":"Conde","given":"María B."},{"family":"Bainotti","given":"Carlos"},{"family":"Mir","given":"Leticia"},{"family":"Borrás","given":"Lucas"},{"family":"Chicaiza","given":"Oswaldo"},{"family":"Helguera","given":"Marcelo"}],"issued":{"date-parts":[["2023"]]}}}],"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(Donaire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2023)</w:t>
            </w:r>
            <w:r w:rsidRPr="00D220C2">
              <w:rPr>
                <w:rFonts w:ascii="Times New Roman" w:hAnsi="Times New Roman" w:cs="Times New Roman"/>
                <w:sz w:val="20"/>
                <w:szCs w:val="20"/>
              </w:rPr>
              <w:fldChar w:fldCharType="end"/>
            </w:r>
          </w:p>
        </w:tc>
      </w:tr>
      <w:tr w:rsidR="00EB2B44" w:rsidRPr="00D220C2" w14:paraId="42A7190E" w14:textId="77777777" w:rsidTr="006E58B2">
        <w:tc>
          <w:tcPr>
            <w:tcW w:w="480" w:type="dxa"/>
            <w:vAlign w:val="center"/>
          </w:tcPr>
          <w:p w14:paraId="232AF076"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10</w:t>
            </w:r>
          </w:p>
        </w:tc>
        <w:tc>
          <w:tcPr>
            <w:tcW w:w="791" w:type="dxa"/>
            <w:vAlign w:val="center"/>
          </w:tcPr>
          <w:p w14:paraId="4157A66D"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5A9868FB" w14:textId="77777777" w:rsidR="00EB2B44" w:rsidRPr="00D220C2" w:rsidRDefault="00EB2B44" w:rsidP="006E58B2">
            <w:pPr>
              <w:rPr>
                <w:rStyle w:val="Emphasis"/>
                <w:rFonts w:ascii="Times New Roman" w:hAnsi="Times New Roman" w:cs="Times New Roman"/>
                <w:sz w:val="20"/>
                <w:szCs w:val="20"/>
              </w:rPr>
            </w:pPr>
            <w:r w:rsidRPr="00D220C2">
              <w:rPr>
                <w:rStyle w:val="Emphasis"/>
                <w:rFonts w:ascii="Times New Roman" w:hAnsi="Times New Roman" w:cs="Times New Roman"/>
                <w:sz w:val="20"/>
                <w:szCs w:val="20"/>
              </w:rPr>
              <w:t>Qgpc-2</w:t>
            </w:r>
          </w:p>
        </w:tc>
        <w:tc>
          <w:tcPr>
            <w:tcW w:w="2977" w:type="dxa"/>
            <w:vAlign w:val="center"/>
          </w:tcPr>
          <w:p w14:paraId="240046AB" w14:textId="77777777" w:rsidR="00EB2B44" w:rsidRPr="00D220C2" w:rsidRDefault="00EB2B44" w:rsidP="006E58B2">
            <w:pPr>
              <w:rPr>
                <w:rStyle w:val="Emphasis"/>
                <w:rFonts w:ascii="Times New Roman" w:hAnsi="Times New Roman" w:cs="Times New Roman"/>
                <w:sz w:val="20"/>
                <w:szCs w:val="20"/>
              </w:rPr>
            </w:pPr>
            <w:r w:rsidRPr="00D220C2">
              <w:rPr>
                <w:rStyle w:val="Emphasis"/>
                <w:rFonts w:ascii="Times New Roman" w:hAnsi="Times New Roman" w:cs="Times New Roman"/>
                <w:sz w:val="20"/>
                <w:szCs w:val="20"/>
              </w:rPr>
              <w:t>IWB13965</w:t>
            </w:r>
          </w:p>
        </w:tc>
        <w:tc>
          <w:tcPr>
            <w:tcW w:w="708" w:type="dxa"/>
            <w:vAlign w:val="center"/>
          </w:tcPr>
          <w:p w14:paraId="39A3CDA9"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6.8</w:t>
            </w:r>
          </w:p>
        </w:tc>
        <w:tc>
          <w:tcPr>
            <w:tcW w:w="1167" w:type="dxa"/>
            <w:vAlign w:val="center"/>
          </w:tcPr>
          <w:p w14:paraId="5C15A76E" w14:textId="18805C38"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7</w:t>
            </w:r>
            <w:r w:rsidR="006B7386" w:rsidRPr="00D220C2">
              <w:rPr>
                <w:rFonts w:ascii="Times New Roman" w:hAnsi="Times New Roman" w:cs="Times New Roman"/>
                <w:sz w:val="20"/>
                <w:szCs w:val="20"/>
              </w:rPr>
              <w:t>.00</w:t>
            </w:r>
          </w:p>
        </w:tc>
        <w:tc>
          <w:tcPr>
            <w:tcW w:w="1028" w:type="dxa"/>
            <w:vAlign w:val="center"/>
          </w:tcPr>
          <w:p w14:paraId="45C51B66"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518.74</w:t>
            </w:r>
          </w:p>
        </w:tc>
        <w:tc>
          <w:tcPr>
            <w:tcW w:w="1243" w:type="dxa"/>
            <w:vAlign w:val="center"/>
          </w:tcPr>
          <w:p w14:paraId="35B8FC3C"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NAM</w:t>
            </w:r>
          </w:p>
        </w:tc>
        <w:tc>
          <w:tcPr>
            <w:tcW w:w="693" w:type="dxa"/>
            <w:vAlign w:val="center"/>
          </w:tcPr>
          <w:p w14:paraId="14B15E05"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w:t>
            </w:r>
          </w:p>
        </w:tc>
        <w:tc>
          <w:tcPr>
            <w:tcW w:w="3018" w:type="dxa"/>
            <w:vAlign w:val="center"/>
          </w:tcPr>
          <w:p w14:paraId="73709F95"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{"citationID":"hsIwPeDr","properties":{"formattedCitation":"(Donaire {\\i{}et al.}, 2023)","plainCitation":"(Donaire et al., 2023)","noteIndex":0},"citationItems":[{"id":423,"uris":["http://zotero.org/users/10335591/items/LUILZQTD"],"itemData":{"id":423,"type":"article-journal","container-title":"Euphytica","issue":"6","note":"ISBN: 0014-2336\npublisher: Springer","page":"65","title":"Dissecting genetic loci of yield, yield components, and protein content in bread wheat nested association mapping population","volume":"219","author":[{"family":"Donaire","given":"Guillermo"},{"family":"Vanzetti","given":"Leonardo S."},{"family":"Conde","given":"María B."},{"family":"Bainotti","given":"Carlos"},{"family":"Mir","given":"Leticia"},{"family":"Borrás","given":"Lucas"},{"family":"Chicaiza","given":"Oswaldo"},{"family":"Helguera","given":"Marcelo"}],"issued":{"date-parts":[["2023"]]}}}],"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(Donaire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2023)</w:t>
            </w:r>
            <w:r w:rsidRPr="00D220C2">
              <w:rPr>
                <w:rFonts w:ascii="Times New Roman" w:hAnsi="Times New Roman" w:cs="Times New Roman"/>
                <w:sz w:val="20"/>
                <w:szCs w:val="20"/>
              </w:rPr>
              <w:fldChar w:fldCharType="end"/>
            </w:r>
          </w:p>
        </w:tc>
      </w:tr>
      <w:tr w:rsidR="00EB2B44" w:rsidRPr="00D220C2" w14:paraId="02B99850" w14:textId="77777777" w:rsidTr="006E58B2">
        <w:tc>
          <w:tcPr>
            <w:tcW w:w="480" w:type="dxa"/>
            <w:vAlign w:val="center"/>
          </w:tcPr>
          <w:p w14:paraId="1F7906BA"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11</w:t>
            </w:r>
          </w:p>
        </w:tc>
        <w:tc>
          <w:tcPr>
            <w:tcW w:w="791" w:type="dxa"/>
            <w:vAlign w:val="center"/>
          </w:tcPr>
          <w:p w14:paraId="0103E2D8"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0D2220B5" w14:textId="77777777" w:rsidR="00EB2B44" w:rsidRPr="00D220C2" w:rsidRDefault="00EB2B44" w:rsidP="006E58B2">
            <w:pPr>
              <w:rPr>
                <w:rStyle w:val="Emphasis"/>
                <w:rFonts w:ascii="Times New Roman" w:hAnsi="Times New Roman" w:cs="Times New Roman"/>
                <w:sz w:val="20"/>
                <w:szCs w:val="20"/>
              </w:rPr>
            </w:pPr>
            <w:r w:rsidRPr="00D220C2">
              <w:rPr>
                <w:rStyle w:val="Emphasis"/>
                <w:rFonts w:ascii="Times New Roman" w:hAnsi="Times New Roman" w:cs="Times New Roman"/>
                <w:sz w:val="20"/>
                <w:szCs w:val="20"/>
              </w:rPr>
              <w:t>Qgpc-3</w:t>
            </w:r>
          </w:p>
        </w:tc>
        <w:tc>
          <w:tcPr>
            <w:tcW w:w="2977" w:type="dxa"/>
            <w:vAlign w:val="center"/>
          </w:tcPr>
          <w:p w14:paraId="714D87FC" w14:textId="77777777" w:rsidR="00EB2B44" w:rsidRPr="00D220C2" w:rsidRDefault="00EB2B44" w:rsidP="006E58B2">
            <w:pPr>
              <w:rPr>
                <w:rStyle w:val="Emphasis"/>
                <w:rFonts w:ascii="Times New Roman" w:hAnsi="Times New Roman" w:cs="Times New Roman"/>
                <w:sz w:val="20"/>
                <w:szCs w:val="20"/>
              </w:rPr>
            </w:pPr>
            <w:r w:rsidRPr="00D220C2">
              <w:rPr>
                <w:rStyle w:val="Emphasis"/>
                <w:rFonts w:ascii="Times New Roman" w:hAnsi="Times New Roman" w:cs="Times New Roman"/>
                <w:sz w:val="20"/>
                <w:szCs w:val="20"/>
              </w:rPr>
              <w:t>IWB30976</w:t>
            </w:r>
          </w:p>
        </w:tc>
        <w:tc>
          <w:tcPr>
            <w:tcW w:w="708" w:type="dxa"/>
            <w:vAlign w:val="center"/>
          </w:tcPr>
          <w:p w14:paraId="4666B7C9"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6.3</w:t>
            </w:r>
          </w:p>
        </w:tc>
        <w:tc>
          <w:tcPr>
            <w:tcW w:w="1167" w:type="dxa"/>
            <w:vAlign w:val="center"/>
          </w:tcPr>
          <w:p w14:paraId="6DA5652C" w14:textId="3209D9E0"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6</w:t>
            </w:r>
            <w:r w:rsidR="006B7386" w:rsidRPr="00D220C2">
              <w:rPr>
                <w:rFonts w:ascii="Times New Roman" w:hAnsi="Times New Roman" w:cs="Times New Roman"/>
                <w:sz w:val="20"/>
                <w:szCs w:val="20"/>
              </w:rPr>
              <w:t>.00</w:t>
            </w:r>
          </w:p>
        </w:tc>
        <w:tc>
          <w:tcPr>
            <w:tcW w:w="1028" w:type="dxa"/>
            <w:vAlign w:val="center"/>
          </w:tcPr>
          <w:p w14:paraId="7D2729F0"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539.8</w:t>
            </w:r>
          </w:p>
        </w:tc>
        <w:tc>
          <w:tcPr>
            <w:tcW w:w="1243" w:type="dxa"/>
            <w:vAlign w:val="center"/>
          </w:tcPr>
          <w:p w14:paraId="6280DE30"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NAM</w:t>
            </w:r>
          </w:p>
        </w:tc>
        <w:tc>
          <w:tcPr>
            <w:tcW w:w="693" w:type="dxa"/>
            <w:vAlign w:val="center"/>
          </w:tcPr>
          <w:p w14:paraId="04D8B6FA"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w:t>
            </w:r>
          </w:p>
        </w:tc>
        <w:tc>
          <w:tcPr>
            <w:tcW w:w="3018" w:type="dxa"/>
            <w:vAlign w:val="center"/>
          </w:tcPr>
          <w:p w14:paraId="08F038A4"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{"citationID":"Ccaqo2uL","properties":{"formattedCitation":"(Donaire {\\i{}et al.}, 2023)","plainCitation":"(Donaire et al., 2023)","noteIndex":0},"citationItems":[{"id":423,"uris":["http://zotero.org/users/10335591/items/LUILZQTD"],"itemData":{"id":423,"type":"article-journal","container-title":"Euphytica","issue":"6","note":"ISBN: 0014-2336\npublisher: Springer","page":"65","title":"Dissecting genetic loci of yield, yield components, and protein content in bread wheat nested association mapping population","volume":"219","author":[{"family":"Donaire","given":"Guillermo"},{"family":"Vanzetti","given":"Leonardo S."},{"family":"Conde","given":"María B."},{"family":"Bainotti","given":"Carlos"},{"family":"Mir","given":"Leticia"},{"family":"Borrás","given":"Lucas"},{"family":"Chicaiza","given":"Oswaldo"},{"family":"Helguera","given":"Marcelo"}],"issued":{"date-parts":[["2023"]]}}}],"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(Donaire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2023)</w:t>
            </w:r>
            <w:r w:rsidRPr="00D220C2">
              <w:rPr>
                <w:rFonts w:ascii="Times New Roman" w:hAnsi="Times New Roman" w:cs="Times New Roman"/>
                <w:sz w:val="20"/>
                <w:szCs w:val="20"/>
              </w:rPr>
              <w:fldChar w:fldCharType="end"/>
            </w:r>
          </w:p>
        </w:tc>
      </w:tr>
      <w:tr w:rsidR="00EB2B44" w:rsidRPr="00D220C2" w14:paraId="16D0BABD" w14:textId="77777777" w:rsidTr="006E58B2">
        <w:tc>
          <w:tcPr>
            <w:tcW w:w="480" w:type="dxa"/>
            <w:vAlign w:val="center"/>
          </w:tcPr>
          <w:p w14:paraId="2514F966" w14:textId="77777777" w:rsidR="00EB2B44" w:rsidRPr="00D220C2" w:rsidRDefault="00EB2B44" w:rsidP="006B216C">
            <w:pPr>
              <w:jc w:val="center"/>
              <w:rPr>
                <w:rFonts w:ascii="Times New Roman" w:hAnsi="Times New Roman" w:cs="Times New Roman"/>
                <w:sz w:val="20"/>
                <w:szCs w:val="20"/>
              </w:rPr>
            </w:pPr>
            <w:bookmarkStart w:id="6" w:name="_Hlk168173432"/>
            <w:r w:rsidRPr="00D220C2">
              <w:rPr>
                <w:rFonts w:ascii="Times New Roman" w:hAnsi="Times New Roman" w:cs="Times New Roman"/>
                <w:sz w:val="20"/>
                <w:szCs w:val="20"/>
              </w:rPr>
              <w:t>5</w:t>
            </w:r>
          </w:p>
        </w:tc>
        <w:tc>
          <w:tcPr>
            <w:tcW w:w="791" w:type="dxa"/>
            <w:vAlign w:val="center"/>
          </w:tcPr>
          <w:p w14:paraId="30B08AB6"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7FC62BA0" w14:textId="77777777" w:rsidR="00EB2B44" w:rsidRPr="00D220C2" w:rsidRDefault="00EB2B44" w:rsidP="006E58B2">
            <w:pPr>
              <w:rPr>
                <w:rStyle w:val="Emphasis"/>
                <w:rFonts w:ascii="Times New Roman" w:hAnsi="Times New Roman" w:cs="Times New Roman"/>
                <w:sz w:val="20"/>
                <w:szCs w:val="20"/>
              </w:rPr>
            </w:pPr>
            <w:bookmarkStart w:id="7" w:name="_Hlk168173417"/>
            <w:r w:rsidRPr="00D220C2">
              <w:rPr>
                <w:rStyle w:val="Emphasis"/>
                <w:rFonts w:ascii="Times New Roman" w:hAnsi="Times New Roman" w:cs="Times New Roman"/>
                <w:sz w:val="20"/>
                <w:szCs w:val="20"/>
              </w:rPr>
              <w:t>GPC_B2</w:t>
            </w:r>
            <w:bookmarkEnd w:id="7"/>
          </w:p>
        </w:tc>
        <w:tc>
          <w:tcPr>
            <w:tcW w:w="2977" w:type="dxa"/>
            <w:vAlign w:val="center"/>
          </w:tcPr>
          <w:p w14:paraId="70848C36" w14:textId="77777777" w:rsidR="00EB2B44" w:rsidRPr="00D220C2" w:rsidRDefault="00EB2B44" w:rsidP="006E58B2">
            <w:pPr>
              <w:rPr>
                <w:rStyle w:val="Emphasis"/>
                <w:rFonts w:ascii="Times New Roman" w:hAnsi="Times New Roman" w:cs="Times New Roman"/>
                <w:i w:val="0"/>
                <w:iCs w:val="0"/>
                <w:sz w:val="20"/>
                <w:szCs w:val="20"/>
              </w:rPr>
            </w:pPr>
            <w:bookmarkStart w:id="8" w:name="_Hlk168173473"/>
            <w:r w:rsidRPr="00D220C2">
              <w:rPr>
                <w:rFonts w:ascii="Times New Roman" w:hAnsi="Times New Roman" w:cs="Times New Roman"/>
                <w:i/>
                <w:iCs/>
                <w:sz w:val="20"/>
                <w:szCs w:val="20"/>
              </w:rPr>
              <w:t>barc101a</w:t>
            </w:r>
            <w:bookmarkEnd w:id="8"/>
          </w:p>
        </w:tc>
        <w:tc>
          <w:tcPr>
            <w:tcW w:w="708" w:type="dxa"/>
            <w:vAlign w:val="center"/>
          </w:tcPr>
          <w:p w14:paraId="2803F3D2"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4.4</w:t>
            </w:r>
          </w:p>
        </w:tc>
        <w:tc>
          <w:tcPr>
            <w:tcW w:w="1167" w:type="dxa"/>
            <w:vAlign w:val="center"/>
          </w:tcPr>
          <w:p w14:paraId="3AAD9109" w14:textId="3EF82697"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7.3</w:t>
            </w:r>
            <w:r w:rsidR="006B7386" w:rsidRPr="00D220C2">
              <w:rPr>
                <w:rFonts w:ascii="Times New Roman" w:hAnsi="Times New Roman" w:cs="Times New Roman"/>
                <w:sz w:val="20"/>
                <w:szCs w:val="20"/>
              </w:rPr>
              <w:t>0</w:t>
            </w:r>
          </w:p>
        </w:tc>
        <w:tc>
          <w:tcPr>
            <w:tcW w:w="1028" w:type="dxa"/>
            <w:vAlign w:val="center"/>
          </w:tcPr>
          <w:p w14:paraId="2FA1E6A1" w14:textId="77777777" w:rsidR="00EB2B44" w:rsidRPr="00D220C2" w:rsidRDefault="00EB2B44" w:rsidP="006E58B2">
            <w:pPr>
              <w:pStyle w:val="HTMLPreformatted"/>
              <w:rPr>
                <w:rFonts w:ascii="Times New Roman" w:hAnsi="Times New Roman" w:cs="Times New Roman"/>
              </w:rPr>
            </w:pPr>
            <w:r w:rsidRPr="00D220C2">
              <w:rPr>
                <w:rFonts w:ascii="Times New Roman" w:hAnsi="Times New Roman" w:cs="Times New Roman"/>
              </w:rPr>
              <w:t>629.20</w:t>
            </w:r>
          </w:p>
        </w:tc>
        <w:tc>
          <w:tcPr>
            <w:tcW w:w="1243" w:type="dxa"/>
            <w:vAlign w:val="center"/>
          </w:tcPr>
          <w:p w14:paraId="71197897"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DH</w:t>
            </w:r>
          </w:p>
        </w:tc>
        <w:tc>
          <w:tcPr>
            <w:tcW w:w="693" w:type="dxa"/>
            <w:vAlign w:val="center"/>
          </w:tcPr>
          <w:p w14:paraId="79342B58"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w:t>
            </w:r>
          </w:p>
        </w:tc>
        <w:tc>
          <w:tcPr>
            <w:tcW w:w="3018" w:type="dxa"/>
            <w:vAlign w:val="center"/>
          </w:tcPr>
          <w:p w14:paraId="616FBDC9"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{"citationID":"P49WOuBA","properties":{"formattedCitation":"(Habash {\\i{}et al.}, 2007)","plainCitation":"(Habash et al., 2007)","noteIndex":0},"citationItems":[{"id":407,"uris":["http://zotero.org/users/10335591/items/2RLH3DMY"],"itemData":{"id":407,"type":"article-journal","abstract":"A genetic study is presented for traits relating to nitrogen use in wheat. Quantitative trait loci (QTLs) were established for 21 traits relating to growth, yield and leaf nitrogen (N) assimilation during grain fill in hexaploid wheat (Triticum aestivum L.) using a mapping population from the cross Chinese Spring × SQ1. Glutamine synthetase (GS) isozymes and estimated locations of 126 genes were placed on the genetic map. QTLs for flag leaf GS activity, soluble protein, extract colour and fresh weight were found in similar regions implying shared control of leaf metabolism and leaf size. Flag leaf traits were negatively associated with days to anthesis both phenotypically and genetically, demonstrating the complex interactions of metabolism with development. One QTL cluster for GS activity co-localised with a GS2 gene mapped on chromosome 2A, and another with the mapped GSr gene on 4A. QTLs for GS activity were invariably co-localised with those for grain N, with increased activity associated with higher grain N, but with no or negative correlations with grain yield components. Peduncle N was positively correlated, and QTLs co-localised, with grain N and flag leaf N assimilatory traits, suggesting that stem N can be indicative of grain N status in wheat. A major QTL for ear number per plant was identified on chromosome 6B which was negatively co-localised with leaf fresh weight, peduncle N, grain N and grain yield. This locus is involved in processes defining the control of tiller number and consequently assimilate partitioning and deserves further examination.","container-title":"Theoretical and Applied Genetics","DOI":"10.1007/s00122-006-0429-5","ISSN":"1432-2242","issue":"3","journalAbbreviation":"Theor Appl Genet","language":"en","page":"403-419","source":"Springer Link","title":"The genetics of nitrogen use in hexaploid wheat: N utilisation, development and yield","title-short":"The genetics of nitrogen use in hexaploid wheat","volume":"114","author":[{"family":"Habash","given":"Dimah Z."},{"family":"Bernard","given":"Stephanie"},{"family":"Schondelmaier","given":"Jörg"},{"family":"Weyen","given":"Jens"},{"family":"Quarrie","given":"Steve A."}],"issued":{"date-parts":[["2007",2,1]]}}}],"schema":"https://github.com/citation-style-language/schema/raw/master/csl-citation.json"}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(Habash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2007)</w:t>
            </w:r>
            <w:r w:rsidRPr="00D220C2">
              <w:rPr>
                <w:rFonts w:ascii="Times New Roman" w:hAnsi="Times New Roman" w:cs="Times New Roman"/>
                <w:sz w:val="20"/>
                <w:szCs w:val="20"/>
              </w:rPr>
              <w:fldChar w:fldCharType="end"/>
            </w:r>
          </w:p>
        </w:tc>
      </w:tr>
      <w:tr w:rsidR="00EB2B44" w:rsidRPr="00D220C2" w14:paraId="69C56920" w14:textId="77777777" w:rsidTr="006E58B2">
        <w:tc>
          <w:tcPr>
            <w:tcW w:w="480" w:type="dxa"/>
            <w:vAlign w:val="center"/>
          </w:tcPr>
          <w:p w14:paraId="60989BA8" w14:textId="77777777" w:rsidR="00EB2B44" w:rsidRPr="00D220C2" w:rsidRDefault="00EB2B44" w:rsidP="006B216C">
            <w:pPr>
              <w:jc w:val="center"/>
              <w:rPr>
                <w:rFonts w:ascii="Times New Roman" w:hAnsi="Times New Roman" w:cs="Times New Roman"/>
                <w:sz w:val="20"/>
                <w:szCs w:val="20"/>
              </w:rPr>
            </w:pPr>
            <w:bookmarkStart w:id="9" w:name="_Hlk168173379"/>
            <w:bookmarkEnd w:id="6"/>
            <w:r w:rsidRPr="00D220C2">
              <w:rPr>
                <w:rFonts w:ascii="Times New Roman" w:hAnsi="Times New Roman" w:cs="Times New Roman"/>
                <w:sz w:val="20"/>
                <w:szCs w:val="20"/>
              </w:rPr>
              <w:t>18</w:t>
            </w:r>
          </w:p>
        </w:tc>
        <w:tc>
          <w:tcPr>
            <w:tcW w:w="791" w:type="dxa"/>
            <w:vAlign w:val="center"/>
          </w:tcPr>
          <w:p w14:paraId="5998624F"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46004837" w14:textId="77777777" w:rsidR="00EB2B44" w:rsidRPr="00D220C2" w:rsidRDefault="00EB2B44" w:rsidP="006E58B2">
            <w:pPr>
              <w:pStyle w:val="NormalWeb"/>
              <w:rPr>
                <w:i/>
                <w:iCs/>
                <w:sz w:val="20"/>
                <w:szCs w:val="20"/>
              </w:rPr>
            </w:pPr>
            <w:bookmarkStart w:id="10" w:name="_Hlk168173324"/>
            <w:r w:rsidRPr="00D220C2">
              <w:rPr>
                <w:i/>
                <w:iCs/>
                <w:sz w:val="20"/>
                <w:szCs w:val="20"/>
              </w:rPr>
              <w:t>QGpc.spa-2B.2</w:t>
            </w:r>
            <w:bookmarkEnd w:id="10"/>
          </w:p>
        </w:tc>
        <w:tc>
          <w:tcPr>
            <w:tcW w:w="2977" w:type="dxa"/>
            <w:vAlign w:val="center"/>
          </w:tcPr>
          <w:p w14:paraId="13DF45D1"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IWB38099</w:t>
            </w:r>
          </w:p>
        </w:tc>
        <w:tc>
          <w:tcPr>
            <w:tcW w:w="708" w:type="dxa"/>
            <w:vAlign w:val="center"/>
          </w:tcPr>
          <w:p w14:paraId="7786229D"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5.4</w:t>
            </w:r>
          </w:p>
        </w:tc>
        <w:tc>
          <w:tcPr>
            <w:tcW w:w="1167" w:type="dxa"/>
            <w:vAlign w:val="center"/>
          </w:tcPr>
          <w:p w14:paraId="6FEACA02" w14:textId="1C934F55"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9</w:t>
            </w:r>
            <w:r w:rsidR="006B7386" w:rsidRPr="00D220C2">
              <w:rPr>
                <w:rFonts w:ascii="Times New Roman" w:hAnsi="Times New Roman" w:cs="Times New Roman"/>
                <w:sz w:val="20"/>
                <w:szCs w:val="20"/>
              </w:rPr>
              <w:t>.00</w:t>
            </w:r>
          </w:p>
        </w:tc>
        <w:tc>
          <w:tcPr>
            <w:tcW w:w="1028" w:type="dxa"/>
            <w:vAlign w:val="center"/>
          </w:tcPr>
          <w:p w14:paraId="1D549B00" w14:textId="77777777" w:rsidR="00EB2B44" w:rsidRPr="00D220C2" w:rsidRDefault="00EB2B44" w:rsidP="006E58B2">
            <w:pPr>
              <w:rPr>
                <w:rFonts w:ascii="Times New Roman" w:hAnsi="Times New Roman" w:cs="Times New Roman"/>
                <w:sz w:val="20"/>
                <w:szCs w:val="20"/>
              </w:rPr>
            </w:pPr>
            <w:bookmarkStart w:id="11" w:name="_Hlk168173360"/>
            <w:r w:rsidRPr="00D220C2">
              <w:rPr>
                <w:rFonts w:ascii="Times New Roman" w:hAnsi="Times New Roman" w:cs="Times New Roman"/>
                <w:sz w:val="20"/>
                <w:szCs w:val="20"/>
              </w:rPr>
              <w:t>642.92</w:t>
            </w:r>
            <w:bookmarkEnd w:id="11"/>
          </w:p>
        </w:tc>
        <w:tc>
          <w:tcPr>
            <w:tcW w:w="1243" w:type="dxa"/>
            <w:vAlign w:val="center"/>
          </w:tcPr>
          <w:p w14:paraId="51CB149C"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DH</w:t>
            </w:r>
          </w:p>
        </w:tc>
        <w:tc>
          <w:tcPr>
            <w:tcW w:w="693" w:type="dxa"/>
            <w:vAlign w:val="center"/>
          </w:tcPr>
          <w:p w14:paraId="76E274B1"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NA</w:t>
            </w:r>
          </w:p>
        </w:tc>
        <w:bookmarkStart w:id="12" w:name="_Hlk168173392"/>
        <w:tc>
          <w:tcPr>
            <w:tcW w:w="3018" w:type="dxa"/>
            <w:vAlign w:val="center"/>
          </w:tcPr>
          <w:p w14:paraId="68A3AA34"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{"citationID":"dMUFbORs","properties":{"formattedCitation":"(Ruan {\\i{}et al.}, 2021)","plainCitation":"(Ruan et al., 2021)","noteIndex":0},"citationItems":[{"id":433,"uris":["http://zotero.org/users/10335591/items/QKA7R2R4"],"itemData":{"id":433,"type":"article-journal","abstract":"Grain protein concentration (GPC) is an important trait in durum cultivar development as a major determinant of the nutritional value of grain and end-use product quality. However, it is challenging to simultaneously select both GPC and grain yield (GY) due to the negative correlation between them. To characterize quantitative trait loci (QTL) for GPC and understand the genetic relationship between GPC and GY in Canadian durum wheat, we performed both traditional and conditional QTL mapping using a doubled haploid (DH) population of 162 lines derived from Pelissier × Strongfield. The population was grown in the field over 5 years and GPC was measured. QTL contributing to GPC were detected on chromosome 1B, 2B, 3A, 5B, 7A, and 7B using traditional mapping. One major QTL on 3A (QGpc.spa-3A.3) was consistently detected over 3 years accounting for 9.4–18.1% of the phenotypic variance, with the favorable allele derived from Pelissier. Another major QTL on 7A (QGpc.spa-7A) detected in 3 years explained 6.9–14.8% of the phenotypic variance, with the beneficial allele derived from Strongfield. Comparison of the QTL described here with the results previously reported led to the identification of one novel major QTL on 3A (QGpc.spa-3A.3) and five novel minor QTL on 1B, 2B and 3A. Four QTL were common between traditional and conditional mapping, with QGpc.spa-3A.3 and QGpc.spa-7A detected in multiple environments. The QTL identified by conditional mapping were independent or partially independent of GY, making them of great importance for development of high GPC and high yielding durum.","container-title":"Frontiers in Plant Science","ISSN":"1664-462X","source":"Frontiers","title":"Conditional Mapping Identified Quantitative Trait Loci for Grain Protein Concentration Expressing Independently of Grain Yield in Canadian Durum Wheat","URL":"https://www.frontiersin.org/articles/10.3389/fpls.2021.642955","volume":"12","author":[{"family":"Ruan","given":"Yuefeng"},{"family":"Yu","given":"Bianyun"},{"family":"Knox","given":"Ron E."},{"family":"Zhang","given":"Wentao"},{"family":"Singh","given":"Asheesh K."},{"family":"Cuthbert","given":"Richard"},{"family":"Fobert","given":"Pierre"},{"family":"DePauw","given":"Ron"},{"family":"Berraies","given":"Samia"},{"family":"Sharpe","given":"Andrew"},{"family":"Fu","given":"Bin Xiao"},{"family":"Sangha","given":"Jatinder"}],"accessed":{"date-parts":[["2023",12,9]]},"issued":{"date-parts":[["2021"]]}}}],"schema":"https://github.com/citation-style-language/schema/raw/master/csl-citation.json"}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(Ruan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2021)</w:t>
            </w:r>
            <w:r w:rsidRPr="00D220C2">
              <w:rPr>
                <w:rFonts w:ascii="Times New Roman" w:hAnsi="Times New Roman" w:cs="Times New Roman"/>
                <w:sz w:val="20"/>
                <w:szCs w:val="20"/>
              </w:rPr>
              <w:fldChar w:fldCharType="end"/>
            </w:r>
            <w:bookmarkEnd w:id="12"/>
          </w:p>
        </w:tc>
      </w:tr>
      <w:bookmarkEnd w:id="9"/>
      <w:tr w:rsidR="00EB2B44" w:rsidRPr="00D220C2" w14:paraId="686A0A97" w14:textId="77777777" w:rsidTr="006E58B2">
        <w:tc>
          <w:tcPr>
            <w:tcW w:w="480" w:type="dxa"/>
            <w:vAlign w:val="center"/>
          </w:tcPr>
          <w:p w14:paraId="555EE177"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4</w:t>
            </w:r>
          </w:p>
        </w:tc>
        <w:tc>
          <w:tcPr>
            <w:tcW w:w="791" w:type="dxa"/>
            <w:vAlign w:val="center"/>
          </w:tcPr>
          <w:p w14:paraId="33FC8133"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78F55BBD" w14:textId="77777777" w:rsidR="00EB2B44" w:rsidRPr="00D220C2" w:rsidRDefault="00EB2B44" w:rsidP="006E58B2">
            <w:pPr>
              <w:rPr>
                <w:rStyle w:val="Emphasis"/>
                <w:rFonts w:ascii="Times New Roman" w:hAnsi="Times New Roman" w:cs="Times New Roman"/>
                <w:i w:val="0"/>
                <w:iCs w:val="0"/>
                <w:sz w:val="20"/>
                <w:szCs w:val="20"/>
              </w:rPr>
            </w:pPr>
            <w:r w:rsidRPr="00D220C2">
              <w:rPr>
                <w:rFonts w:ascii="Times New Roman" w:hAnsi="Times New Roman" w:cs="Times New Roman"/>
                <w:i/>
                <w:iCs/>
                <w:sz w:val="20"/>
                <w:szCs w:val="20"/>
              </w:rPr>
              <w:t>GS2-B2</w:t>
            </w:r>
          </w:p>
        </w:tc>
        <w:tc>
          <w:tcPr>
            <w:tcW w:w="2977" w:type="dxa"/>
            <w:vAlign w:val="center"/>
          </w:tcPr>
          <w:p w14:paraId="77CD562C" w14:textId="77777777" w:rsidR="00EB2B44" w:rsidRPr="00D220C2" w:rsidRDefault="00EB2B44" w:rsidP="006E58B2">
            <w:pPr>
              <w:rPr>
                <w:rStyle w:val="Emphasis"/>
                <w:rFonts w:ascii="Times New Roman" w:hAnsi="Times New Roman" w:cs="Times New Roman"/>
                <w:sz w:val="20"/>
                <w:szCs w:val="20"/>
              </w:rPr>
            </w:pPr>
            <w:r w:rsidRPr="00D220C2">
              <w:rPr>
                <w:rStyle w:val="Emphasis"/>
                <w:rFonts w:ascii="Times New Roman" w:hAnsi="Times New Roman" w:cs="Times New Roman"/>
                <w:sz w:val="20"/>
                <w:szCs w:val="20"/>
              </w:rPr>
              <w:t>D_304657 and Xgwm332,</w:t>
            </w:r>
          </w:p>
        </w:tc>
        <w:tc>
          <w:tcPr>
            <w:tcW w:w="708" w:type="dxa"/>
            <w:vAlign w:val="center"/>
          </w:tcPr>
          <w:p w14:paraId="1B6FC136"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2.8</w:t>
            </w:r>
          </w:p>
        </w:tc>
        <w:tc>
          <w:tcPr>
            <w:tcW w:w="1167" w:type="dxa"/>
            <w:vAlign w:val="center"/>
          </w:tcPr>
          <w:p w14:paraId="2953E566" w14:textId="5C1C69EB"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11</w:t>
            </w:r>
            <w:r w:rsidR="006B7386" w:rsidRPr="00D220C2">
              <w:rPr>
                <w:rFonts w:ascii="Times New Roman" w:hAnsi="Times New Roman" w:cs="Times New Roman"/>
                <w:sz w:val="20"/>
                <w:szCs w:val="20"/>
              </w:rPr>
              <w:t>.0</w:t>
            </w:r>
          </w:p>
        </w:tc>
        <w:tc>
          <w:tcPr>
            <w:tcW w:w="1028" w:type="dxa"/>
            <w:vAlign w:val="center"/>
          </w:tcPr>
          <w:p w14:paraId="1294370D"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722.62</w:t>
            </w:r>
          </w:p>
        </w:tc>
        <w:tc>
          <w:tcPr>
            <w:tcW w:w="1243" w:type="dxa"/>
            <w:vAlign w:val="center"/>
          </w:tcPr>
          <w:p w14:paraId="5B109BA7"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 xml:space="preserve">RIL </w:t>
            </w:r>
          </w:p>
        </w:tc>
        <w:tc>
          <w:tcPr>
            <w:tcW w:w="693" w:type="dxa"/>
            <w:vAlign w:val="center"/>
          </w:tcPr>
          <w:p w14:paraId="27303CC5"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w:t>
            </w:r>
          </w:p>
        </w:tc>
        <w:tc>
          <w:tcPr>
            <w:tcW w:w="3018" w:type="dxa"/>
            <w:vAlign w:val="center"/>
          </w:tcPr>
          <w:p w14:paraId="00982903"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{"citationID":"WANimL3e","properties":{"formattedCitation":"(Gadaleta {\\i{}et al.}, 2011a)","plainCitation":"(Gadaleta et al., 2011a)","noteIndex":0},"citationItems":[{"id":405,"uris":["http://zotero.org/users/10335591/items/4QEZ72SF"],"itemData":{"id":405,"type":"article-journal","abstract":"Glutamine synthetase (GS2) is a key enzyme in plant nitrogen metabolism responsible of the first step of ammonium assimilation and transformation into glutamine (an essential compound in the amino acid-biosynthetic pathway). The goal of the present study was to isolate and characterize GS2 genes and to assess the linkage with grain protein content (GPC), an important quantitative trait controlled by multiple genes. Here, we report the isolation of the complete glutamine synthetase gene sequences and their localization on the two homeologous chromosome 2A and 2B in durum wheat cvs. Ciccio and Svevo characterized by a different grain protein content. GS2-A2 located on 2A chromosome is comprised of 13 exons separated by 12 introns, and the allele sequence in the two cultivars were different for an insertion of 5 bp located in the third exon in the cv. Ciccio. The GS2-B2 has the same intron/exon structure, but the two cultivars differ for the insertion of a 33-bp sequence located in the second intron of the cv. Svevo. Specific primers were designed in the polymorphic region and amplified in a recombinant inbred line mapping population. The study localized GS genes (GS2-A2, GS2-B2 GSe, GSr) on chromosomes 2A, 2B, 4A, and 4B, where four significant QTLs for GPC were also located.","container-title":"Functional &amp; Integrative Genomics","DOI":"10.1007/s10142-011-0235-2","ISSN":"1438-7948","issue":"4","journalAbbreviation":"Funct Integr Genomics","language":"en","page":"665-670","source":"Springer Link","title":"The glutamine synthetase (GS2) genes in relation to grain protein content of durum wheat","volume":"11","author":[{"family":"Gadaleta","given":"Agata"},{"family":"Nigro","given":"Domenica"},{"family":"Giancaspro","given":"Angelica"},{"family":"Blanco","given":"Antonio"}],"issued":{"date-parts":[["2011",12,1]]}}}],"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(Gadaleta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2011a)</w:t>
            </w:r>
            <w:r w:rsidRPr="00D220C2">
              <w:rPr>
                <w:rFonts w:ascii="Times New Roman" w:hAnsi="Times New Roman" w:cs="Times New Roman"/>
                <w:sz w:val="20"/>
                <w:szCs w:val="20"/>
              </w:rPr>
              <w:fldChar w:fldCharType="end"/>
            </w:r>
          </w:p>
        </w:tc>
      </w:tr>
      <w:tr w:rsidR="00EB2B44" w:rsidRPr="00D220C2" w14:paraId="6DAC8BBB" w14:textId="77777777" w:rsidTr="006E58B2">
        <w:tc>
          <w:tcPr>
            <w:tcW w:w="480" w:type="dxa"/>
            <w:vAlign w:val="center"/>
          </w:tcPr>
          <w:p w14:paraId="47252D08" w14:textId="77777777" w:rsidR="00EB2B44" w:rsidRPr="00D220C2" w:rsidRDefault="00EB2B44" w:rsidP="006B216C">
            <w:pPr>
              <w:jc w:val="center"/>
              <w:rPr>
                <w:rFonts w:ascii="Times New Roman" w:hAnsi="Times New Roman" w:cs="Times New Roman"/>
                <w:sz w:val="20"/>
                <w:szCs w:val="20"/>
              </w:rPr>
            </w:pPr>
            <w:bookmarkStart w:id="13" w:name="_Hlk168173781"/>
            <w:r w:rsidRPr="00D220C2">
              <w:rPr>
                <w:rFonts w:ascii="Times New Roman" w:hAnsi="Times New Roman" w:cs="Times New Roman"/>
                <w:sz w:val="20"/>
                <w:szCs w:val="20"/>
              </w:rPr>
              <w:t>3</w:t>
            </w:r>
          </w:p>
        </w:tc>
        <w:tc>
          <w:tcPr>
            <w:tcW w:w="791" w:type="dxa"/>
            <w:vAlign w:val="center"/>
          </w:tcPr>
          <w:p w14:paraId="783D599B"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64A37702" w14:textId="77777777" w:rsidR="00EB2B44" w:rsidRPr="00D220C2" w:rsidRDefault="00EB2B44" w:rsidP="006E58B2">
            <w:pPr>
              <w:rPr>
                <w:rStyle w:val="Emphasis"/>
                <w:rFonts w:ascii="Times New Roman" w:hAnsi="Times New Roman" w:cs="Times New Roman"/>
                <w:i w:val="0"/>
                <w:iCs w:val="0"/>
                <w:sz w:val="20"/>
                <w:szCs w:val="20"/>
              </w:rPr>
            </w:pPr>
            <w:r w:rsidRPr="00D220C2">
              <w:rPr>
                <w:rFonts w:ascii="Times New Roman" w:hAnsi="Times New Roman" w:cs="Times New Roman"/>
                <w:i/>
                <w:iCs/>
                <w:sz w:val="20"/>
                <w:szCs w:val="20"/>
              </w:rPr>
              <w:t>GPC-2B_2</w:t>
            </w:r>
          </w:p>
        </w:tc>
        <w:tc>
          <w:tcPr>
            <w:tcW w:w="2977" w:type="dxa"/>
            <w:vAlign w:val="center"/>
          </w:tcPr>
          <w:p w14:paraId="6E19708C" w14:textId="77777777" w:rsidR="00EB2B44" w:rsidRPr="00D220C2" w:rsidRDefault="00EB2B44" w:rsidP="006E58B2">
            <w:pPr>
              <w:rPr>
                <w:rStyle w:val="Emphasis"/>
                <w:rFonts w:ascii="Times New Roman" w:hAnsi="Times New Roman" w:cs="Times New Roman"/>
                <w:sz w:val="20"/>
                <w:szCs w:val="20"/>
              </w:rPr>
            </w:pPr>
            <w:r w:rsidRPr="00D220C2">
              <w:rPr>
                <w:rStyle w:val="Emphasis"/>
                <w:rFonts w:ascii="Times New Roman" w:hAnsi="Times New Roman" w:cs="Times New Roman"/>
                <w:sz w:val="20"/>
                <w:szCs w:val="20"/>
              </w:rPr>
              <w:t>2BM6130 and 2BM79558</w:t>
            </w:r>
          </w:p>
        </w:tc>
        <w:tc>
          <w:tcPr>
            <w:tcW w:w="708" w:type="dxa"/>
            <w:vAlign w:val="center"/>
          </w:tcPr>
          <w:p w14:paraId="60FFAF7B"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3.3</w:t>
            </w:r>
          </w:p>
        </w:tc>
        <w:tc>
          <w:tcPr>
            <w:tcW w:w="1167" w:type="dxa"/>
            <w:vAlign w:val="center"/>
          </w:tcPr>
          <w:p w14:paraId="4BFBEF01" w14:textId="43AD6737"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35</w:t>
            </w:r>
            <w:r w:rsidR="006B7386" w:rsidRPr="00D220C2">
              <w:rPr>
                <w:rFonts w:ascii="Times New Roman" w:hAnsi="Times New Roman" w:cs="Times New Roman"/>
                <w:sz w:val="20"/>
                <w:szCs w:val="20"/>
              </w:rPr>
              <w:t>.0</w:t>
            </w:r>
          </w:p>
        </w:tc>
        <w:tc>
          <w:tcPr>
            <w:tcW w:w="1028" w:type="dxa"/>
            <w:vAlign w:val="center"/>
          </w:tcPr>
          <w:p w14:paraId="1B0CD3BB"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767.65</w:t>
            </w:r>
          </w:p>
        </w:tc>
        <w:tc>
          <w:tcPr>
            <w:tcW w:w="1243" w:type="dxa"/>
            <w:vAlign w:val="center"/>
          </w:tcPr>
          <w:p w14:paraId="562362A8"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 xml:space="preserve">RIL </w:t>
            </w:r>
          </w:p>
        </w:tc>
        <w:tc>
          <w:tcPr>
            <w:tcW w:w="693" w:type="dxa"/>
            <w:vAlign w:val="center"/>
          </w:tcPr>
          <w:p w14:paraId="268CA9F0"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w:t>
            </w:r>
          </w:p>
        </w:tc>
        <w:tc>
          <w:tcPr>
            <w:tcW w:w="3018" w:type="dxa"/>
            <w:vAlign w:val="center"/>
          </w:tcPr>
          <w:p w14:paraId="7D602D08"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{"citationID":"B8ZG0CiQ","properties":{"formattedCitation":"(Zhang {\\i{}et al.}, 2021)","plainCitation":"(Zhang et al., 2021)","noteIndex":0},"citationItems":[{"id":400,"uris":["http://zotero.org/users/10335591/items/7UZAD3RA"],"itemData":{"id":400,"type":"article-journal","abstract":"In the present study, four large-scale field trials using two doubled haploid wheat populations were conducted in different environments for two years. Grain protein content (GPC) and 21 other yield-related traits were investigated. A total of 227 QTL were mapped on 18 chromosomes, which formed 35 QTL clusters. The potential candidate genes underlying the QTL clusters were suggested. Furthermore, adding to the significant correlations between yield and its related traits, correlation variations were clearly shown within the QTL clusters. The QTL clusters with consistently positive correlations were suggested to be directly utilized in wheat breeding, including 1B.2, 2A.2, 2B (4.9–16.5 Mb), 2B.3, 3B (68.9–214.5 Mb), 4A.2, 4B.2, 4D, 5A.1, 5A.2, 5B.1, and 5D. The QTL clusters with negative alignments between traits may also have potential value for yield or GPC improvement in specific environments, including 1A.1, 2B.1, 1B.3, 5A.3, 5B.2 (612.1–613.6 Mb), 7A.1, 7A.2, 7B.1, and 7B.2. One GPC QTL (5B.2: 671.3–672.9 Mb) contributed by cultivar Spitfire was positively associated with nitrogen use efficiency or grain protein yield and is highly recommended for breeding use. Another GPC QTL without negatively pleiotropic effects on 2A (50.0–56.3 Mb), 2D, 4D, and 6B is suggested for quality wheat breeding.","container-title":"International Journal of Molecular Sciences","DOI":"10.3390/ijms222111934","ISSN":"1422-0067","issue":"21","language":"en","license":"http://creativecommons.org/licenses/by/3.0/","note":"number: 21\npublisher: Multidisciplinary Digital Publishing Institute","page":"11934","source":"www.mdpi.com","title":"Yield-Related QTL Clusters and the Potential Candidate Genes in Two Wheat DH Populations","volume":"22","author":[{"family":"Zhang","given":"Jingjuan"},{"family":"She","given":"Maoyun"},{"family":"Yang","given":"Rongchang"},{"family":"Jiang","given":"Yanjie"},{"family":"Qin","given":"Yebo"},{"family":"Zhai","given":"Shengnan"},{"family":"Balotf","given":"Sadegh"},{"family":"Zhao","given":"Yun"},{"family":"Anwar","given":"Masood"},{"family":"Alhabbar","given":"Zaid"},{"family":"Juhász","given":"Angéla"},{"family":"Chen","given":"Jiansheng"},{"family":"Liu","given":"Hang"},{"family":"Liu","given":"Qier"},{"family":"Zheng","given":"Ting"},{"family":"Yang","given":"Fan"},{"family":"Rong","given":"Junkang"},{"family":"Chen","given":"Kefei"},{"family":"Lu","given":"Meiqin"},{"family":"Islam","given":"Shahidul"},{"family":"Ma","given":"Wujun"}],"issued":{"date-parts":[["2021",1]]}}}],"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(Zhang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2021)</w:t>
            </w:r>
            <w:r w:rsidRPr="00D220C2">
              <w:rPr>
                <w:rFonts w:ascii="Times New Roman" w:hAnsi="Times New Roman" w:cs="Times New Roman"/>
                <w:sz w:val="20"/>
                <w:szCs w:val="20"/>
              </w:rPr>
              <w:fldChar w:fldCharType="end"/>
            </w:r>
          </w:p>
        </w:tc>
      </w:tr>
      <w:tr w:rsidR="00EB2B44" w:rsidRPr="00D220C2" w14:paraId="14760F4D" w14:textId="77777777" w:rsidTr="006E58B2">
        <w:tc>
          <w:tcPr>
            <w:tcW w:w="480" w:type="dxa"/>
            <w:vAlign w:val="center"/>
          </w:tcPr>
          <w:p w14:paraId="0F7980A5"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6</w:t>
            </w:r>
          </w:p>
        </w:tc>
        <w:tc>
          <w:tcPr>
            <w:tcW w:w="791" w:type="dxa"/>
            <w:vAlign w:val="center"/>
          </w:tcPr>
          <w:p w14:paraId="4348E939"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5F27FAC9" w14:textId="5AB40FC0" w:rsidR="00EB2B44" w:rsidRPr="00D220C2" w:rsidRDefault="00EB2B44" w:rsidP="006E58B2">
            <w:pPr>
              <w:rPr>
                <w:rStyle w:val="Emphasis"/>
                <w:rFonts w:ascii="Times New Roman" w:hAnsi="Times New Roman" w:cs="Times New Roman"/>
                <w:sz w:val="20"/>
                <w:szCs w:val="20"/>
              </w:rPr>
            </w:pPr>
            <w:r w:rsidRPr="00D220C2">
              <w:rPr>
                <w:rStyle w:val="Emphasis"/>
                <w:rFonts w:ascii="Times New Roman" w:hAnsi="Times New Roman" w:cs="Times New Roman"/>
                <w:sz w:val="20"/>
                <w:szCs w:val="20"/>
              </w:rPr>
              <w:t>GPC_B2</w:t>
            </w:r>
          </w:p>
        </w:tc>
        <w:tc>
          <w:tcPr>
            <w:tcW w:w="2977" w:type="dxa"/>
            <w:vAlign w:val="center"/>
          </w:tcPr>
          <w:p w14:paraId="1BCCCB03" w14:textId="77777777" w:rsidR="00EB2B44" w:rsidRPr="00D220C2" w:rsidRDefault="00EB2B44" w:rsidP="006E58B2">
            <w:pPr>
              <w:rPr>
                <w:rStyle w:val="Emphasis"/>
                <w:rFonts w:ascii="Times New Roman" w:hAnsi="Times New Roman" w:cs="Times New Roman"/>
                <w:sz w:val="20"/>
                <w:szCs w:val="20"/>
              </w:rPr>
            </w:pPr>
            <w:r w:rsidRPr="00D220C2">
              <w:rPr>
                <w:rFonts w:ascii="Times New Roman" w:hAnsi="Times New Roman" w:cs="Times New Roman"/>
                <w:sz w:val="20"/>
                <w:szCs w:val="20"/>
              </w:rPr>
              <w:t>wmc149a</w:t>
            </w:r>
          </w:p>
        </w:tc>
        <w:tc>
          <w:tcPr>
            <w:tcW w:w="708" w:type="dxa"/>
            <w:vAlign w:val="center"/>
          </w:tcPr>
          <w:p w14:paraId="1A94EB56"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4.5</w:t>
            </w:r>
          </w:p>
        </w:tc>
        <w:tc>
          <w:tcPr>
            <w:tcW w:w="1167" w:type="dxa"/>
            <w:vAlign w:val="center"/>
          </w:tcPr>
          <w:p w14:paraId="5E151363" w14:textId="6E5D9027"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9.4</w:t>
            </w:r>
            <w:r w:rsidR="006B7386" w:rsidRPr="00D220C2">
              <w:rPr>
                <w:rFonts w:ascii="Times New Roman" w:hAnsi="Times New Roman" w:cs="Times New Roman"/>
                <w:sz w:val="20"/>
                <w:szCs w:val="20"/>
              </w:rPr>
              <w:t>0</w:t>
            </w:r>
          </w:p>
        </w:tc>
        <w:tc>
          <w:tcPr>
            <w:tcW w:w="1028" w:type="dxa"/>
            <w:vAlign w:val="center"/>
          </w:tcPr>
          <w:p w14:paraId="6995B24D"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788.78</w:t>
            </w:r>
          </w:p>
        </w:tc>
        <w:tc>
          <w:tcPr>
            <w:tcW w:w="1243" w:type="dxa"/>
            <w:vAlign w:val="center"/>
          </w:tcPr>
          <w:p w14:paraId="2EE61F0C"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DH</w:t>
            </w:r>
          </w:p>
        </w:tc>
        <w:tc>
          <w:tcPr>
            <w:tcW w:w="693" w:type="dxa"/>
            <w:vAlign w:val="center"/>
          </w:tcPr>
          <w:p w14:paraId="4D41D87D"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w:t>
            </w:r>
          </w:p>
        </w:tc>
        <w:tc>
          <w:tcPr>
            <w:tcW w:w="3018" w:type="dxa"/>
            <w:vAlign w:val="center"/>
          </w:tcPr>
          <w:p w14:paraId="721B1809"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{"citationID":"2Qbopb7e","properties":{"formattedCitation":"(Habash {\\i{}et al.}, 2007)","plainCitation":"(Habash et al., 2007)","noteIndex":0},"citationItems":[{"id":407,"uris":["http://zotero.org/users/10335591/items/2RLH3DMY"],"itemData":{"id":407,"type":"article-journal","abstract":"A genetic study is presented for traits relating to nitrogen use in wheat. Quantitative trait loci (QTLs) were established for 21 traits relating to growth, yield and leaf nitrogen (N) assimilation during grain fill in hexaploid wheat (Triticum aestivum L.) using a mapping population from the cross Chinese Spring × SQ1. Glutamine synthetase (GS) isozymes and estimated locations of 126 genes were placed on the genetic map. QTLs for flag leaf GS activity, soluble protein, extract colour and fresh weight were found in similar regions implying shared control of leaf metabolism and leaf size. Flag leaf traits were negatively associated with days to anthesis both phenotypically and genetically, demonstrating the complex interactions of metabolism with development. One QTL cluster for GS activity co-localised with a GS2 gene mapped on chromosome 2A, and another with the mapped GSr gene on 4A. QTLs for GS activity were invariably co-localised with those for grain N, with increased activity associated with higher grain N, but with no or negative correlations with grain yield components. Peduncle N was positively correlated, and QTLs co-localised, with grain N and flag leaf N assimilatory traits, suggesting that stem N can be indicative of grain N status in wheat. A major QTL for ear number per plant was identified on chromosome 6B which was negatively co-localised with leaf fresh weight, peduncle N, grain N and grain yield. This locus is involved in processes defining the control of tiller number and consequently assimilate partitioning and deserves further examination.","container-title":"Theoretical and Applied Genetics","DOI":"10.1007/s00122-006-0429-5","ISSN":"1432-2242","issue":"3","journalAbbreviation":"Theor Appl Genet","language":"en","page":"403-419","source":"Springer Link","title":"The genetics of nitrogen use in hexaploid wheat: N utilisation, development and yield","title-short":"The genetics of nitrogen use in hexaploid wheat","volume":"114","author":[{"family":"Habash","given":"Dimah Z."},{"family":"Bernard","given":"Stephanie"},{"family":"Schondelmaier","given":"Jörg"},{"family":"Weyen","given":"Jens"},{"family":"Quarrie","given":"Steve A."}],"issued":{"date-parts":[["2007",2,1]]}}}],"schema":"https://github.com/citation-style-language/schema/raw/master/csl-citation.json"}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(Habash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2007)</w:t>
            </w:r>
            <w:r w:rsidRPr="00D220C2">
              <w:rPr>
                <w:rFonts w:ascii="Times New Roman" w:hAnsi="Times New Roman" w:cs="Times New Roman"/>
                <w:sz w:val="20"/>
                <w:szCs w:val="20"/>
              </w:rPr>
              <w:fldChar w:fldCharType="end"/>
            </w:r>
          </w:p>
        </w:tc>
      </w:tr>
      <w:tr w:rsidR="00EB2B44" w:rsidRPr="00D220C2" w14:paraId="4DE264D0" w14:textId="77777777" w:rsidTr="006E58B2">
        <w:tc>
          <w:tcPr>
            <w:tcW w:w="480" w:type="dxa"/>
            <w:vAlign w:val="center"/>
          </w:tcPr>
          <w:p w14:paraId="1035C488"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14</w:t>
            </w:r>
          </w:p>
        </w:tc>
        <w:tc>
          <w:tcPr>
            <w:tcW w:w="791" w:type="dxa"/>
            <w:vAlign w:val="center"/>
          </w:tcPr>
          <w:p w14:paraId="79C15AC9"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2B</w:t>
            </w:r>
          </w:p>
        </w:tc>
        <w:tc>
          <w:tcPr>
            <w:tcW w:w="1843" w:type="dxa"/>
            <w:vAlign w:val="center"/>
          </w:tcPr>
          <w:p w14:paraId="09C4D8DE" w14:textId="77777777" w:rsidR="00EB2B44" w:rsidRPr="00D220C2" w:rsidRDefault="00EB2B44" w:rsidP="006E58B2">
            <w:pPr>
              <w:pStyle w:val="NormalWeb"/>
              <w:rPr>
                <w:i/>
                <w:iCs/>
                <w:sz w:val="20"/>
                <w:szCs w:val="20"/>
              </w:rPr>
            </w:pPr>
            <w:r w:rsidRPr="00D220C2">
              <w:rPr>
                <w:i/>
                <w:iCs/>
                <w:sz w:val="20"/>
                <w:szCs w:val="20"/>
              </w:rPr>
              <w:t>Qnue.ccsu-2B</w:t>
            </w:r>
          </w:p>
        </w:tc>
        <w:tc>
          <w:tcPr>
            <w:tcW w:w="2977" w:type="dxa"/>
            <w:vAlign w:val="center"/>
          </w:tcPr>
          <w:p w14:paraId="5FC07C43"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WSNP3573-WSNP4835</w:t>
            </w:r>
          </w:p>
        </w:tc>
        <w:tc>
          <w:tcPr>
            <w:tcW w:w="708" w:type="dxa"/>
            <w:vAlign w:val="center"/>
          </w:tcPr>
          <w:p w14:paraId="766BF858"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3.5</w:t>
            </w:r>
          </w:p>
        </w:tc>
        <w:tc>
          <w:tcPr>
            <w:tcW w:w="1167" w:type="dxa"/>
            <w:vAlign w:val="center"/>
          </w:tcPr>
          <w:p w14:paraId="2723384A" w14:textId="16702CF2" w:rsidR="00EB2B44" w:rsidRPr="00D220C2" w:rsidRDefault="00EB2B44" w:rsidP="006B7386">
            <w:pPr>
              <w:rPr>
                <w:rFonts w:ascii="Times New Roman" w:hAnsi="Times New Roman" w:cs="Times New Roman"/>
                <w:sz w:val="20"/>
                <w:szCs w:val="20"/>
              </w:rPr>
            </w:pPr>
            <w:r w:rsidRPr="00D220C2">
              <w:rPr>
                <w:rFonts w:ascii="Times New Roman" w:hAnsi="Times New Roman" w:cs="Times New Roman"/>
                <w:sz w:val="20"/>
                <w:szCs w:val="20"/>
              </w:rPr>
              <w:t>8.9</w:t>
            </w:r>
            <w:r w:rsidR="006B7386" w:rsidRPr="00D220C2">
              <w:rPr>
                <w:rFonts w:ascii="Times New Roman" w:hAnsi="Times New Roman" w:cs="Times New Roman"/>
                <w:sz w:val="20"/>
                <w:szCs w:val="20"/>
              </w:rPr>
              <w:t>0</w:t>
            </w:r>
          </w:p>
        </w:tc>
        <w:tc>
          <w:tcPr>
            <w:tcW w:w="1028" w:type="dxa"/>
            <w:vAlign w:val="center"/>
          </w:tcPr>
          <w:p w14:paraId="0D332D27"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793.18</w:t>
            </w:r>
          </w:p>
        </w:tc>
        <w:tc>
          <w:tcPr>
            <w:tcW w:w="1243" w:type="dxa"/>
            <w:vAlign w:val="center"/>
          </w:tcPr>
          <w:p w14:paraId="7F57E278"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t xml:space="preserve">RIL </w:t>
            </w:r>
          </w:p>
        </w:tc>
        <w:tc>
          <w:tcPr>
            <w:tcW w:w="693" w:type="dxa"/>
            <w:vAlign w:val="center"/>
          </w:tcPr>
          <w:p w14:paraId="6998035D" w14:textId="77777777" w:rsidR="00EB2B44" w:rsidRPr="00D220C2" w:rsidRDefault="00EB2B44" w:rsidP="006B216C">
            <w:pPr>
              <w:jc w:val="center"/>
              <w:rPr>
                <w:rFonts w:ascii="Times New Roman" w:hAnsi="Times New Roman" w:cs="Times New Roman"/>
                <w:sz w:val="20"/>
                <w:szCs w:val="20"/>
              </w:rPr>
            </w:pPr>
            <w:r w:rsidRPr="00D220C2">
              <w:rPr>
                <w:rFonts w:ascii="Times New Roman" w:hAnsi="Times New Roman" w:cs="Times New Roman"/>
                <w:sz w:val="20"/>
                <w:szCs w:val="20"/>
              </w:rPr>
              <w:t>-</w:t>
            </w:r>
          </w:p>
        </w:tc>
        <w:tc>
          <w:tcPr>
            <w:tcW w:w="3018" w:type="dxa"/>
            <w:vAlign w:val="center"/>
          </w:tcPr>
          <w:p w14:paraId="07C5E4AD" w14:textId="77777777" w:rsidR="00EB2B44" w:rsidRPr="00D220C2" w:rsidRDefault="00EB2B44" w:rsidP="006E58B2">
            <w:pPr>
              <w:rPr>
                <w:rFonts w:ascii="Times New Roman" w:hAnsi="Times New Roman" w:cs="Times New Roman"/>
                <w:sz w:val="20"/>
                <w:szCs w:val="20"/>
              </w:rPr>
            </w:pPr>
            <w:r w:rsidRPr="00D220C2">
              <w:rPr>
                <w:rFonts w:ascii="Times New Roman" w:hAnsi="Times New Roman" w:cs="Times New Roman"/>
                <w:sz w:val="20"/>
                <w:szCs w:val="20"/>
              </w:rPr>
              <w:fldChar w:fldCharType="begin"/>
            </w:r>
            <w:r w:rsidRPr="00D220C2">
              <w:rPr>
                <w:rFonts w:ascii="Times New Roman" w:hAnsi="Times New Roman" w:cs="Times New Roman"/>
                <w:sz w:val="20"/>
                <w:szCs w:val="20"/>
              </w:rPr>
              <w:instrText xml:space="preserve"> ADDIN ZOTERO_ITEM CSL_CITATION {"citationID":"wzO2sw1E","properties":{"formattedCitation":"(Singh {\\i{}et al.}, 2022)","plainCitation":"(Singh et al., 2022)","noteIndex":0},"citationItems":[{"id":429,"uris":["http://zotero.org/users/10335591/items/FPMMVX9B"],"itemData":{"id":429,"type":"article-journal","abstract":"The genetic architecture of nitrogen use efficiency (NUE) and its two component traits i.e. NUpE (N uptake efficiency) and NUtE (N utilization efficiency) was studied using a bi-parental RIL mapping population derived from a cross HUW468 (high NUE)/C306 (low NUE). The mapping population, two parental genotypes and three check genotypes were evaluated under four different N levels (0, 60, 120, and 180 kg/ha) over three years. A genetic map containing 456 SNP markers (2571.38 cM length) was used for QTL analysis. Thirty six main effect QTLs (17 QTLs for NUE, 13 NUpE and 6 QTLs for NUtE) distributed on 12 chromosomes (1B, 1D, 2A, 2B, 3A, 4B, 5A, 5B, 5D, 6A, 6D, and 7A) were identified at 2.52–9.27 LOD scores. Individual QTLs explained 6.65–22.89% phenotypic variation. Multi-traits QTLs (Mt-QTLs) and epistatic QTLs involving first-order epistatic (QTL × QTL) interactions were also discovered. Candidate genes (CGs, as many as 737) were mined from QTL regions which were mainly involved in metabolic process, cellular process and catalytic activity, etc.; differential expression was observed for 49 CGs in roots and 34 in shoots. The CGs encoded important transcription factors, transporters, etc. having a role in NUE. QTLs and CGs reported in this study enriched the available knowledge. Seven QTLs (including three Mt-QTLs) and QTLs involved in six epistatic interactions are recommended for MAS for improvement of NUE in wheat.","container-title":"Euphytica","DOI":"10.1007/s10681-022-03134-5","ISSN":"1573-5060","issue":"1","journalAbbreviation":"Euphytica","language":"en","page":"9","source":"Springer Link","title":"QTL analysis for nitrogen use efficiency in wheat (Triticum aestivum L.)","volume":"219","author":[{"family":"Singh","given":"Rakhi"},{"family":"Saripalli","given":"Gautam"},{"family":"Kumar","given":"Anuj"},{"family":"Gautam","given":"Tinku"},{"family":"Singh","given":"Susheel Kumar"},{"family":"Gahlaut","given":"Vijay"},{"family":"Kumar","given":"Sachin"},{"family":"Meher","given":"Prabina Kumar"},{"family":"Mishra","given":"Rajendra Prasad"},{"family":"Singh","given":"Vinod Kumar"},{"family":"Sharma","given":"Pradeep Kumar"},{"family":"Balyan","given":"Harindra Singh"},{"family":"Gupta","given":"Pushpendra Kumar"}],"issued":{"date-parts":[["2022",12,16]]}}}],"schema":"https://github.com/citation-style-language/schema/raw/master/csl-citation.json"} </w:instrText>
            </w:r>
            <w:r w:rsidRPr="00D220C2">
              <w:rPr>
                <w:rFonts w:ascii="Times New Roman" w:hAnsi="Times New Roman" w:cs="Times New Roman"/>
                <w:sz w:val="20"/>
                <w:szCs w:val="20"/>
              </w:rPr>
              <w:fldChar w:fldCharType="separate"/>
            </w:r>
            <w:r w:rsidRPr="00D220C2">
              <w:rPr>
                <w:rFonts w:ascii="Times New Roman" w:hAnsi="Times New Roman" w:cs="Times New Roman"/>
                <w:sz w:val="20"/>
                <w:szCs w:val="20"/>
              </w:rPr>
              <w:t xml:space="preserve">(Singh </w:t>
            </w:r>
            <w:r w:rsidRPr="00D220C2">
              <w:rPr>
                <w:rFonts w:ascii="Times New Roman" w:hAnsi="Times New Roman" w:cs="Times New Roman"/>
                <w:i/>
                <w:iCs/>
                <w:sz w:val="20"/>
                <w:szCs w:val="20"/>
              </w:rPr>
              <w:t>et al.</w:t>
            </w:r>
            <w:r w:rsidRPr="00D220C2">
              <w:rPr>
                <w:rFonts w:ascii="Times New Roman" w:hAnsi="Times New Roman" w:cs="Times New Roman"/>
                <w:sz w:val="20"/>
                <w:szCs w:val="20"/>
              </w:rPr>
              <w:t>, 2022)</w:t>
            </w:r>
            <w:r w:rsidRPr="00D220C2">
              <w:rPr>
                <w:rFonts w:ascii="Times New Roman" w:hAnsi="Times New Roman" w:cs="Times New Roman"/>
                <w:sz w:val="20"/>
                <w:szCs w:val="20"/>
              </w:rPr>
              <w:fldChar w:fldCharType="end"/>
            </w:r>
          </w:p>
        </w:tc>
      </w:tr>
      <w:bookmarkEnd w:id="13"/>
    </w:tbl>
    <w:p w14:paraId="7086B805" w14:textId="2CE156D4" w:rsidR="00EA1C66" w:rsidRPr="00D220C2" w:rsidRDefault="00EA1C66" w:rsidP="00D030D4">
      <w:pPr>
        <w:spacing w:after="0" w:line="240" w:lineRule="auto"/>
        <w:rPr>
          <w:rFonts w:ascii="Times New Roman" w:hAnsi="Times New Roman" w:cs="Times New Roman"/>
          <w:sz w:val="20"/>
          <w:szCs w:val="20"/>
        </w:rPr>
      </w:pPr>
    </w:p>
    <w:sectPr w:rsidR="00EA1C66" w:rsidRPr="00D220C2" w:rsidSect="006D42A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F3199E"/>
    <w:multiLevelType w:val="hybridMultilevel"/>
    <w:tmpl w:val="F132BA8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394676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2A1"/>
    <w:rsid w:val="0009720D"/>
    <w:rsid w:val="00103F59"/>
    <w:rsid w:val="001102FE"/>
    <w:rsid w:val="001457C0"/>
    <w:rsid w:val="00145EB6"/>
    <w:rsid w:val="00184E97"/>
    <w:rsid w:val="001C137C"/>
    <w:rsid w:val="001E3B9B"/>
    <w:rsid w:val="002115A1"/>
    <w:rsid w:val="002149E5"/>
    <w:rsid w:val="00222155"/>
    <w:rsid w:val="002949AE"/>
    <w:rsid w:val="00314E66"/>
    <w:rsid w:val="00335932"/>
    <w:rsid w:val="0034609B"/>
    <w:rsid w:val="003E0CA8"/>
    <w:rsid w:val="00440721"/>
    <w:rsid w:val="00445875"/>
    <w:rsid w:val="00594D85"/>
    <w:rsid w:val="006100D7"/>
    <w:rsid w:val="00612863"/>
    <w:rsid w:val="00641F89"/>
    <w:rsid w:val="00666B3E"/>
    <w:rsid w:val="00683CD2"/>
    <w:rsid w:val="006B216C"/>
    <w:rsid w:val="006B7386"/>
    <w:rsid w:val="006D42A1"/>
    <w:rsid w:val="006D77F2"/>
    <w:rsid w:val="006E58B2"/>
    <w:rsid w:val="006F7360"/>
    <w:rsid w:val="007702F6"/>
    <w:rsid w:val="008E68ED"/>
    <w:rsid w:val="0093414E"/>
    <w:rsid w:val="00977B84"/>
    <w:rsid w:val="00980AAD"/>
    <w:rsid w:val="009E2E04"/>
    <w:rsid w:val="00A17E66"/>
    <w:rsid w:val="00A274E0"/>
    <w:rsid w:val="00A45BB1"/>
    <w:rsid w:val="00A504D4"/>
    <w:rsid w:val="00A84211"/>
    <w:rsid w:val="00A97667"/>
    <w:rsid w:val="00AD6B15"/>
    <w:rsid w:val="00AF5488"/>
    <w:rsid w:val="00B466DB"/>
    <w:rsid w:val="00B6072A"/>
    <w:rsid w:val="00B634AE"/>
    <w:rsid w:val="00BF1E17"/>
    <w:rsid w:val="00BF2CCC"/>
    <w:rsid w:val="00C1476D"/>
    <w:rsid w:val="00C91BCF"/>
    <w:rsid w:val="00CC1CAE"/>
    <w:rsid w:val="00CD6128"/>
    <w:rsid w:val="00CD6FC1"/>
    <w:rsid w:val="00D00D93"/>
    <w:rsid w:val="00D030D4"/>
    <w:rsid w:val="00D1026E"/>
    <w:rsid w:val="00D220C2"/>
    <w:rsid w:val="00D32AC3"/>
    <w:rsid w:val="00D45083"/>
    <w:rsid w:val="00DC0D3E"/>
    <w:rsid w:val="00DC2D48"/>
    <w:rsid w:val="00DD5B1E"/>
    <w:rsid w:val="00DE051E"/>
    <w:rsid w:val="00DE571E"/>
    <w:rsid w:val="00DE6E5A"/>
    <w:rsid w:val="00E54739"/>
    <w:rsid w:val="00E62437"/>
    <w:rsid w:val="00E9627D"/>
    <w:rsid w:val="00EA1C66"/>
    <w:rsid w:val="00EA3352"/>
    <w:rsid w:val="00EB2B44"/>
    <w:rsid w:val="00EF16FC"/>
    <w:rsid w:val="00F766B4"/>
    <w:rsid w:val="00FC4404"/>
    <w:rsid w:val="00FD6FD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D515A"/>
  <w15:chartTrackingRefBased/>
  <w15:docId w15:val="{F9DFC31E-F7EC-4079-9185-D98183F6B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D42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6D42A1"/>
    <w:rPr>
      <w:i/>
      <w:iCs/>
    </w:rPr>
  </w:style>
  <w:style w:type="character" w:customStyle="1" w:styleId="css-1qaijid">
    <w:name w:val="css-1qaijid"/>
    <w:basedOn w:val="DefaultParagraphFont"/>
    <w:rsid w:val="00E62437"/>
  </w:style>
  <w:style w:type="character" w:styleId="Hyperlink">
    <w:name w:val="Hyperlink"/>
    <w:basedOn w:val="DefaultParagraphFont"/>
    <w:uiPriority w:val="99"/>
    <w:unhideWhenUsed/>
    <w:rsid w:val="00E62437"/>
    <w:rPr>
      <w:color w:val="0000FF"/>
      <w:u w:val="single"/>
    </w:rPr>
  </w:style>
  <w:style w:type="character" w:styleId="UnresolvedMention">
    <w:name w:val="Unresolved Mention"/>
    <w:basedOn w:val="DefaultParagraphFont"/>
    <w:uiPriority w:val="99"/>
    <w:semiHidden/>
    <w:unhideWhenUsed/>
    <w:rsid w:val="00DC0D3E"/>
    <w:rPr>
      <w:color w:val="605E5C"/>
      <w:shd w:val="clear" w:color="auto" w:fill="E1DFDD"/>
    </w:rPr>
  </w:style>
  <w:style w:type="character" w:styleId="FollowedHyperlink">
    <w:name w:val="FollowedHyperlink"/>
    <w:basedOn w:val="DefaultParagraphFont"/>
    <w:uiPriority w:val="99"/>
    <w:semiHidden/>
    <w:unhideWhenUsed/>
    <w:rsid w:val="00DC0D3E"/>
    <w:rPr>
      <w:color w:val="954F72" w:themeColor="followedHyperlink"/>
      <w:u w:val="single"/>
    </w:rPr>
  </w:style>
  <w:style w:type="paragraph" w:styleId="HTMLPreformatted">
    <w:name w:val="HTML Preformatted"/>
    <w:basedOn w:val="Normal"/>
    <w:link w:val="HTMLPreformattedChar"/>
    <w:uiPriority w:val="99"/>
    <w:unhideWhenUsed/>
    <w:rsid w:val="0014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IN"/>
      <w14:ligatures w14:val="none"/>
    </w:rPr>
  </w:style>
  <w:style w:type="character" w:customStyle="1" w:styleId="HTMLPreformattedChar">
    <w:name w:val="HTML Preformatted Char"/>
    <w:basedOn w:val="DefaultParagraphFont"/>
    <w:link w:val="HTMLPreformatted"/>
    <w:uiPriority w:val="99"/>
    <w:rsid w:val="00145EB6"/>
    <w:rPr>
      <w:rFonts w:ascii="Courier New" w:eastAsia="Times New Roman" w:hAnsi="Courier New" w:cs="Courier New"/>
      <w:kern w:val="0"/>
      <w:sz w:val="20"/>
      <w:szCs w:val="20"/>
      <w:lang w:eastAsia="en-IN"/>
      <w14:ligatures w14:val="none"/>
    </w:rPr>
  </w:style>
  <w:style w:type="paragraph" w:styleId="ListParagraph">
    <w:name w:val="List Paragraph"/>
    <w:basedOn w:val="Normal"/>
    <w:uiPriority w:val="34"/>
    <w:qFormat/>
    <w:rsid w:val="00DE051E"/>
    <w:pPr>
      <w:ind w:left="720"/>
      <w:contextualSpacing/>
    </w:pPr>
  </w:style>
  <w:style w:type="paragraph" w:styleId="NormalWeb">
    <w:name w:val="Normal (Web)"/>
    <w:basedOn w:val="Normal"/>
    <w:uiPriority w:val="99"/>
    <w:unhideWhenUsed/>
    <w:rsid w:val="00E9627D"/>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styleId="Bibliography">
    <w:name w:val="Bibliography"/>
    <w:basedOn w:val="Normal"/>
    <w:next w:val="Normal"/>
    <w:uiPriority w:val="37"/>
    <w:unhideWhenUsed/>
    <w:rsid w:val="00EA1C66"/>
    <w:pPr>
      <w:spacing w:after="24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441774">
      <w:bodyDiv w:val="1"/>
      <w:marLeft w:val="0"/>
      <w:marRight w:val="0"/>
      <w:marTop w:val="0"/>
      <w:marBottom w:val="0"/>
      <w:divBdr>
        <w:top w:val="none" w:sz="0" w:space="0" w:color="auto"/>
        <w:left w:val="none" w:sz="0" w:space="0" w:color="auto"/>
        <w:bottom w:val="none" w:sz="0" w:space="0" w:color="auto"/>
        <w:right w:val="none" w:sz="0" w:space="0" w:color="auto"/>
      </w:divBdr>
      <w:divsChild>
        <w:div w:id="1719082707">
          <w:marLeft w:val="0"/>
          <w:marRight w:val="0"/>
          <w:marTop w:val="0"/>
          <w:marBottom w:val="0"/>
          <w:divBdr>
            <w:top w:val="none" w:sz="0" w:space="0" w:color="auto"/>
            <w:left w:val="none" w:sz="0" w:space="0" w:color="auto"/>
            <w:bottom w:val="none" w:sz="0" w:space="0" w:color="auto"/>
            <w:right w:val="none" w:sz="0" w:space="0" w:color="auto"/>
          </w:divBdr>
          <w:divsChild>
            <w:div w:id="986974855">
              <w:marLeft w:val="0"/>
              <w:marRight w:val="0"/>
              <w:marTop w:val="0"/>
              <w:marBottom w:val="0"/>
              <w:divBdr>
                <w:top w:val="none" w:sz="0" w:space="0" w:color="auto"/>
                <w:left w:val="none" w:sz="0" w:space="0" w:color="auto"/>
                <w:bottom w:val="none" w:sz="0" w:space="0" w:color="auto"/>
                <w:right w:val="none" w:sz="0" w:space="0" w:color="auto"/>
              </w:divBdr>
              <w:divsChild>
                <w:div w:id="954674311">
                  <w:marLeft w:val="0"/>
                  <w:marRight w:val="0"/>
                  <w:marTop w:val="0"/>
                  <w:marBottom w:val="0"/>
                  <w:divBdr>
                    <w:top w:val="none" w:sz="0" w:space="0" w:color="auto"/>
                    <w:left w:val="none" w:sz="0" w:space="0" w:color="auto"/>
                    <w:bottom w:val="none" w:sz="0" w:space="0" w:color="auto"/>
                    <w:right w:val="none" w:sz="0" w:space="0" w:color="auto"/>
                  </w:divBdr>
                  <w:divsChild>
                    <w:div w:id="18101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3172276">
      <w:bodyDiv w:val="1"/>
      <w:marLeft w:val="0"/>
      <w:marRight w:val="0"/>
      <w:marTop w:val="0"/>
      <w:marBottom w:val="0"/>
      <w:divBdr>
        <w:top w:val="none" w:sz="0" w:space="0" w:color="auto"/>
        <w:left w:val="none" w:sz="0" w:space="0" w:color="auto"/>
        <w:bottom w:val="none" w:sz="0" w:space="0" w:color="auto"/>
        <w:right w:val="none" w:sz="0" w:space="0" w:color="auto"/>
      </w:divBdr>
    </w:div>
    <w:div w:id="450438604">
      <w:bodyDiv w:val="1"/>
      <w:marLeft w:val="0"/>
      <w:marRight w:val="0"/>
      <w:marTop w:val="0"/>
      <w:marBottom w:val="0"/>
      <w:divBdr>
        <w:top w:val="none" w:sz="0" w:space="0" w:color="auto"/>
        <w:left w:val="none" w:sz="0" w:space="0" w:color="auto"/>
        <w:bottom w:val="none" w:sz="0" w:space="0" w:color="auto"/>
        <w:right w:val="none" w:sz="0" w:space="0" w:color="auto"/>
      </w:divBdr>
    </w:div>
    <w:div w:id="636448011">
      <w:bodyDiv w:val="1"/>
      <w:marLeft w:val="0"/>
      <w:marRight w:val="0"/>
      <w:marTop w:val="0"/>
      <w:marBottom w:val="0"/>
      <w:divBdr>
        <w:top w:val="none" w:sz="0" w:space="0" w:color="auto"/>
        <w:left w:val="none" w:sz="0" w:space="0" w:color="auto"/>
        <w:bottom w:val="none" w:sz="0" w:space="0" w:color="auto"/>
        <w:right w:val="none" w:sz="0" w:space="0" w:color="auto"/>
      </w:divBdr>
    </w:div>
    <w:div w:id="796876730">
      <w:bodyDiv w:val="1"/>
      <w:marLeft w:val="0"/>
      <w:marRight w:val="0"/>
      <w:marTop w:val="0"/>
      <w:marBottom w:val="0"/>
      <w:divBdr>
        <w:top w:val="none" w:sz="0" w:space="0" w:color="auto"/>
        <w:left w:val="none" w:sz="0" w:space="0" w:color="auto"/>
        <w:bottom w:val="none" w:sz="0" w:space="0" w:color="auto"/>
        <w:right w:val="none" w:sz="0" w:space="0" w:color="auto"/>
      </w:divBdr>
    </w:div>
    <w:div w:id="913975144">
      <w:bodyDiv w:val="1"/>
      <w:marLeft w:val="0"/>
      <w:marRight w:val="0"/>
      <w:marTop w:val="0"/>
      <w:marBottom w:val="0"/>
      <w:divBdr>
        <w:top w:val="none" w:sz="0" w:space="0" w:color="auto"/>
        <w:left w:val="none" w:sz="0" w:space="0" w:color="auto"/>
        <w:bottom w:val="none" w:sz="0" w:space="0" w:color="auto"/>
        <w:right w:val="none" w:sz="0" w:space="0" w:color="auto"/>
      </w:divBdr>
    </w:div>
    <w:div w:id="919145185">
      <w:bodyDiv w:val="1"/>
      <w:marLeft w:val="0"/>
      <w:marRight w:val="0"/>
      <w:marTop w:val="0"/>
      <w:marBottom w:val="0"/>
      <w:divBdr>
        <w:top w:val="none" w:sz="0" w:space="0" w:color="auto"/>
        <w:left w:val="none" w:sz="0" w:space="0" w:color="auto"/>
        <w:bottom w:val="none" w:sz="0" w:space="0" w:color="auto"/>
        <w:right w:val="none" w:sz="0" w:space="0" w:color="auto"/>
      </w:divBdr>
    </w:div>
    <w:div w:id="932667837">
      <w:bodyDiv w:val="1"/>
      <w:marLeft w:val="0"/>
      <w:marRight w:val="0"/>
      <w:marTop w:val="0"/>
      <w:marBottom w:val="0"/>
      <w:divBdr>
        <w:top w:val="none" w:sz="0" w:space="0" w:color="auto"/>
        <w:left w:val="none" w:sz="0" w:space="0" w:color="auto"/>
        <w:bottom w:val="none" w:sz="0" w:space="0" w:color="auto"/>
        <w:right w:val="none" w:sz="0" w:space="0" w:color="auto"/>
      </w:divBdr>
    </w:div>
    <w:div w:id="946541621">
      <w:bodyDiv w:val="1"/>
      <w:marLeft w:val="0"/>
      <w:marRight w:val="0"/>
      <w:marTop w:val="0"/>
      <w:marBottom w:val="0"/>
      <w:divBdr>
        <w:top w:val="none" w:sz="0" w:space="0" w:color="auto"/>
        <w:left w:val="none" w:sz="0" w:space="0" w:color="auto"/>
        <w:bottom w:val="none" w:sz="0" w:space="0" w:color="auto"/>
        <w:right w:val="none" w:sz="0" w:space="0" w:color="auto"/>
      </w:divBdr>
    </w:div>
    <w:div w:id="947390344">
      <w:bodyDiv w:val="1"/>
      <w:marLeft w:val="0"/>
      <w:marRight w:val="0"/>
      <w:marTop w:val="0"/>
      <w:marBottom w:val="0"/>
      <w:divBdr>
        <w:top w:val="none" w:sz="0" w:space="0" w:color="auto"/>
        <w:left w:val="none" w:sz="0" w:space="0" w:color="auto"/>
        <w:bottom w:val="none" w:sz="0" w:space="0" w:color="auto"/>
        <w:right w:val="none" w:sz="0" w:space="0" w:color="auto"/>
      </w:divBdr>
    </w:div>
    <w:div w:id="1062756426">
      <w:bodyDiv w:val="1"/>
      <w:marLeft w:val="0"/>
      <w:marRight w:val="0"/>
      <w:marTop w:val="0"/>
      <w:marBottom w:val="0"/>
      <w:divBdr>
        <w:top w:val="none" w:sz="0" w:space="0" w:color="auto"/>
        <w:left w:val="none" w:sz="0" w:space="0" w:color="auto"/>
        <w:bottom w:val="none" w:sz="0" w:space="0" w:color="auto"/>
        <w:right w:val="none" w:sz="0" w:space="0" w:color="auto"/>
      </w:divBdr>
    </w:div>
    <w:div w:id="1235242630">
      <w:bodyDiv w:val="1"/>
      <w:marLeft w:val="0"/>
      <w:marRight w:val="0"/>
      <w:marTop w:val="0"/>
      <w:marBottom w:val="0"/>
      <w:divBdr>
        <w:top w:val="none" w:sz="0" w:space="0" w:color="auto"/>
        <w:left w:val="none" w:sz="0" w:space="0" w:color="auto"/>
        <w:bottom w:val="none" w:sz="0" w:space="0" w:color="auto"/>
        <w:right w:val="none" w:sz="0" w:space="0" w:color="auto"/>
      </w:divBdr>
    </w:div>
    <w:div w:id="1409425216">
      <w:bodyDiv w:val="1"/>
      <w:marLeft w:val="0"/>
      <w:marRight w:val="0"/>
      <w:marTop w:val="0"/>
      <w:marBottom w:val="0"/>
      <w:divBdr>
        <w:top w:val="none" w:sz="0" w:space="0" w:color="auto"/>
        <w:left w:val="none" w:sz="0" w:space="0" w:color="auto"/>
        <w:bottom w:val="none" w:sz="0" w:space="0" w:color="auto"/>
        <w:right w:val="none" w:sz="0" w:space="0" w:color="auto"/>
      </w:divBdr>
    </w:div>
    <w:div w:id="1430736759">
      <w:bodyDiv w:val="1"/>
      <w:marLeft w:val="0"/>
      <w:marRight w:val="0"/>
      <w:marTop w:val="0"/>
      <w:marBottom w:val="0"/>
      <w:divBdr>
        <w:top w:val="none" w:sz="0" w:space="0" w:color="auto"/>
        <w:left w:val="none" w:sz="0" w:space="0" w:color="auto"/>
        <w:bottom w:val="none" w:sz="0" w:space="0" w:color="auto"/>
        <w:right w:val="none" w:sz="0" w:space="0" w:color="auto"/>
      </w:divBdr>
    </w:div>
    <w:div w:id="1556045755">
      <w:bodyDiv w:val="1"/>
      <w:marLeft w:val="0"/>
      <w:marRight w:val="0"/>
      <w:marTop w:val="0"/>
      <w:marBottom w:val="0"/>
      <w:divBdr>
        <w:top w:val="none" w:sz="0" w:space="0" w:color="auto"/>
        <w:left w:val="none" w:sz="0" w:space="0" w:color="auto"/>
        <w:bottom w:val="none" w:sz="0" w:space="0" w:color="auto"/>
        <w:right w:val="none" w:sz="0" w:space="0" w:color="auto"/>
      </w:divBdr>
    </w:div>
    <w:div w:id="1653173079">
      <w:bodyDiv w:val="1"/>
      <w:marLeft w:val="0"/>
      <w:marRight w:val="0"/>
      <w:marTop w:val="0"/>
      <w:marBottom w:val="0"/>
      <w:divBdr>
        <w:top w:val="none" w:sz="0" w:space="0" w:color="auto"/>
        <w:left w:val="none" w:sz="0" w:space="0" w:color="auto"/>
        <w:bottom w:val="none" w:sz="0" w:space="0" w:color="auto"/>
        <w:right w:val="none" w:sz="0" w:space="0" w:color="auto"/>
      </w:divBdr>
    </w:div>
    <w:div w:id="1710951462">
      <w:bodyDiv w:val="1"/>
      <w:marLeft w:val="0"/>
      <w:marRight w:val="0"/>
      <w:marTop w:val="0"/>
      <w:marBottom w:val="0"/>
      <w:divBdr>
        <w:top w:val="none" w:sz="0" w:space="0" w:color="auto"/>
        <w:left w:val="none" w:sz="0" w:space="0" w:color="auto"/>
        <w:bottom w:val="none" w:sz="0" w:space="0" w:color="auto"/>
        <w:right w:val="none" w:sz="0" w:space="0" w:color="auto"/>
      </w:divBdr>
    </w:div>
    <w:div w:id="1860657357">
      <w:bodyDiv w:val="1"/>
      <w:marLeft w:val="0"/>
      <w:marRight w:val="0"/>
      <w:marTop w:val="0"/>
      <w:marBottom w:val="0"/>
      <w:divBdr>
        <w:top w:val="none" w:sz="0" w:space="0" w:color="auto"/>
        <w:left w:val="none" w:sz="0" w:space="0" w:color="auto"/>
        <w:bottom w:val="none" w:sz="0" w:space="0" w:color="auto"/>
        <w:right w:val="none" w:sz="0" w:space="0" w:color="auto"/>
      </w:divBdr>
    </w:div>
    <w:div w:id="1876575826">
      <w:bodyDiv w:val="1"/>
      <w:marLeft w:val="0"/>
      <w:marRight w:val="0"/>
      <w:marTop w:val="0"/>
      <w:marBottom w:val="0"/>
      <w:divBdr>
        <w:top w:val="none" w:sz="0" w:space="0" w:color="auto"/>
        <w:left w:val="none" w:sz="0" w:space="0" w:color="auto"/>
        <w:bottom w:val="none" w:sz="0" w:space="0" w:color="auto"/>
        <w:right w:val="none" w:sz="0" w:space="0" w:color="auto"/>
      </w:divBdr>
    </w:div>
    <w:div w:id="2009744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9860</TotalTime>
  <Pages>1</Pages>
  <Words>6281</Words>
  <Characters>35804</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Abhishek Bhandawat</dc:creator>
  <cp:keywords/>
  <dc:description/>
  <cp:lastModifiedBy>Abhishek Bhandawat</cp:lastModifiedBy>
  <cp:revision>19</cp:revision>
  <dcterms:created xsi:type="dcterms:W3CDTF">2023-11-29T07:20:00Z</dcterms:created>
  <dcterms:modified xsi:type="dcterms:W3CDTF">2024-07-05T09:31:00Z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id="LuVQ4npF"/&gt;&lt;style id="http://www.zotero.org/styles/harvard-cite-them-right" hasBibliography="1" bibliographyStyleHasBeenSet="1"/&gt;&lt;prefs&gt;&lt;pref name="fieldType" value="Field"/&gt;&lt;pref name="automatic</vt:lpwstr>
  </property>
  <property fmtid="{D5CDD505-2E9C-101B-9397-08002B2CF9AE}" pid="3" name="ZOTERO_PREF_2">
    <vt:lpwstr>JournalAbbreviations" value="true"/&gt;&lt;/prefs&gt;&lt;/data&gt;</vt:lpwstr>
  </property>
</Properties>
</file>