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8B52FE" w14:textId="7FF2DA72" w:rsidR="004C56DE" w:rsidRPr="00774ECD" w:rsidRDefault="004C56DE" w:rsidP="004C56DE">
      <w:pPr>
        <w:spacing w:line="360" w:lineRule="auto"/>
        <w:rPr>
          <w:rFonts w:ascii="Times New Roman" w:hAnsi="Times New Roman" w:cs="Times New Roman"/>
          <w:b/>
          <w:bCs/>
          <w:sz w:val="24"/>
          <w:szCs w:val="24"/>
        </w:rPr>
      </w:pPr>
      <w:r w:rsidRPr="00774ECD">
        <w:rPr>
          <w:rFonts w:ascii="Times New Roman" w:hAnsi="Times New Roman" w:cs="Times New Roman"/>
          <w:b/>
          <w:bCs/>
          <w:sz w:val="24"/>
          <w:szCs w:val="24"/>
        </w:rPr>
        <w:t>Supplementary material</w:t>
      </w:r>
    </w:p>
    <w:p w14:paraId="0AA62C29" w14:textId="76C78D79" w:rsidR="004C56DE" w:rsidRPr="00774ECD" w:rsidRDefault="004C56DE" w:rsidP="004C56DE">
      <w:pPr>
        <w:spacing w:line="360" w:lineRule="auto"/>
        <w:jc w:val="center"/>
        <w:rPr>
          <w:rFonts w:ascii="Times New Roman" w:hAnsi="Times New Roman" w:cs="Times New Roman"/>
          <w:color w:val="242424"/>
          <w:sz w:val="24"/>
          <w:szCs w:val="24"/>
          <w:shd w:val="clear" w:color="auto" w:fill="FFFFFF"/>
        </w:rPr>
      </w:pPr>
      <w:r w:rsidRPr="00774ECD">
        <w:rPr>
          <w:rFonts w:ascii="Times New Roman" w:hAnsi="Times New Roman" w:cs="Times New Roman"/>
          <w:sz w:val="24"/>
          <w:szCs w:val="24"/>
        </w:rPr>
        <w:t>Per- and polyfluoroalkyl substances (</w:t>
      </w:r>
      <w:r w:rsidRPr="00774ECD">
        <w:rPr>
          <w:rFonts w:ascii="Times New Roman" w:hAnsi="Times New Roman" w:cs="Times New Roman"/>
          <w:color w:val="242424"/>
          <w:sz w:val="24"/>
          <w:szCs w:val="24"/>
          <w:shd w:val="clear" w:color="auto" w:fill="FFFFFF"/>
        </w:rPr>
        <w:t>PFAS) Regulatory Frameworks, Sources, Occurrence, Fate, and Exposure: Trend, Concern, and Research Implication</w:t>
      </w:r>
    </w:p>
    <w:p w14:paraId="23F8CE74" w14:textId="77777777" w:rsidR="004C56DE" w:rsidRPr="00774ECD" w:rsidRDefault="004C56DE" w:rsidP="004C56DE">
      <w:pPr>
        <w:spacing w:line="360" w:lineRule="auto"/>
        <w:jc w:val="center"/>
        <w:rPr>
          <w:rFonts w:ascii="Times New Roman" w:hAnsi="Times New Roman" w:cs="Times New Roman"/>
          <w:color w:val="242424"/>
          <w:sz w:val="24"/>
          <w:szCs w:val="24"/>
          <w:shd w:val="clear" w:color="auto" w:fill="FFFFFF"/>
        </w:rPr>
      </w:pPr>
      <w:r w:rsidRPr="00774ECD">
        <w:rPr>
          <w:rFonts w:ascii="Times New Roman" w:hAnsi="Times New Roman" w:cs="Times New Roman"/>
          <w:color w:val="242424"/>
          <w:sz w:val="24"/>
          <w:szCs w:val="24"/>
          <w:shd w:val="clear" w:color="auto" w:fill="FFFFFF"/>
        </w:rPr>
        <w:t>Md Shahin Alam</w:t>
      </w:r>
      <w:r w:rsidRPr="00774ECD">
        <w:rPr>
          <w:rFonts w:ascii="Times New Roman" w:hAnsi="Times New Roman" w:cs="Times New Roman"/>
          <w:color w:val="242424"/>
          <w:sz w:val="24"/>
          <w:szCs w:val="24"/>
          <w:shd w:val="clear" w:color="auto" w:fill="FFFFFF"/>
          <w:vertAlign w:val="superscript"/>
        </w:rPr>
        <w:t>1*</w:t>
      </w:r>
      <w:r w:rsidRPr="00774ECD">
        <w:rPr>
          <w:rFonts w:ascii="Times New Roman" w:hAnsi="Times New Roman" w:cs="Times New Roman"/>
          <w:color w:val="242424"/>
          <w:sz w:val="24"/>
          <w:szCs w:val="24"/>
          <w:shd w:val="clear" w:color="auto" w:fill="FFFFFF"/>
        </w:rPr>
        <w:t>, Gang Chen</w:t>
      </w:r>
      <w:r w:rsidRPr="00774ECD">
        <w:rPr>
          <w:rFonts w:ascii="Times New Roman" w:hAnsi="Times New Roman" w:cs="Times New Roman"/>
          <w:color w:val="242424"/>
          <w:sz w:val="24"/>
          <w:szCs w:val="24"/>
          <w:shd w:val="clear" w:color="auto" w:fill="FFFFFF"/>
          <w:vertAlign w:val="superscript"/>
        </w:rPr>
        <w:t>1</w:t>
      </w:r>
    </w:p>
    <w:p w14:paraId="1B14FC67" w14:textId="77777777" w:rsidR="004C56DE" w:rsidRPr="00774ECD" w:rsidRDefault="004C56DE" w:rsidP="004C56DE">
      <w:pPr>
        <w:spacing w:line="360" w:lineRule="auto"/>
        <w:jc w:val="center"/>
        <w:rPr>
          <w:rFonts w:ascii="Times New Roman" w:hAnsi="Times New Roman" w:cs="Times New Roman"/>
          <w:color w:val="242424"/>
          <w:sz w:val="24"/>
          <w:szCs w:val="24"/>
          <w:shd w:val="clear" w:color="auto" w:fill="FFFFFF"/>
        </w:rPr>
      </w:pPr>
      <w:r w:rsidRPr="00774ECD">
        <w:rPr>
          <w:rFonts w:ascii="Times New Roman" w:hAnsi="Times New Roman" w:cs="Times New Roman"/>
          <w:color w:val="242424"/>
          <w:sz w:val="24"/>
          <w:szCs w:val="24"/>
          <w:shd w:val="clear" w:color="auto" w:fill="FFFFFF"/>
        </w:rPr>
        <w:t>Corresponding Author Email: ma23ch@fsu.edu</w:t>
      </w:r>
    </w:p>
    <w:p w14:paraId="0F23C11B" w14:textId="77777777" w:rsidR="004C56DE" w:rsidRPr="00774ECD" w:rsidRDefault="004C56DE" w:rsidP="004C56DE">
      <w:pPr>
        <w:spacing w:line="360" w:lineRule="auto"/>
        <w:jc w:val="center"/>
        <w:rPr>
          <w:rFonts w:ascii="Times New Roman" w:hAnsi="Times New Roman" w:cs="Times New Roman"/>
          <w:sz w:val="24"/>
          <w:szCs w:val="24"/>
        </w:rPr>
      </w:pPr>
      <w:r w:rsidRPr="00774ECD">
        <w:rPr>
          <w:rFonts w:ascii="Times New Roman" w:hAnsi="Times New Roman" w:cs="Times New Roman"/>
          <w:sz w:val="24"/>
          <w:szCs w:val="24"/>
          <w:vertAlign w:val="superscript"/>
        </w:rPr>
        <w:t>1</w:t>
      </w:r>
      <w:r w:rsidRPr="00774ECD">
        <w:rPr>
          <w:rFonts w:ascii="Times New Roman" w:hAnsi="Times New Roman" w:cs="Times New Roman"/>
          <w:sz w:val="24"/>
          <w:szCs w:val="24"/>
        </w:rPr>
        <w:t>Department of Civil and Environmental Engineering, Florida State University, Tallahassee, FL 32310, USA</w:t>
      </w:r>
    </w:p>
    <w:p w14:paraId="65B1CF38" w14:textId="3EDEBE34" w:rsidR="00A36415" w:rsidRPr="00774ECD" w:rsidRDefault="00C909A5" w:rsidP="00605742">
      <w:pPr>
        <w:pStyle w:val="Heading1"/>
        <w:rPr>
          <w:rFonts w:ascii="Times New Roman" w:hAnsi="Times New Roman" w:cs="Times New Roman"/>
          <w:sz w:val="24"/>
          <w:szCs w:val="24"/>
        </w:rPr>
      </w:pPr>
      <w:r w:rsidRPr="00774ECD">
        <w:rPr>
          <w:rFonts w:ascii="Times New Roman" w:hAnsi="Times New Roman" w:cs="Times New Roman"/>
          <w:sz w:val="24"/>
          <w:szCs w:val="24"/>
        </w:rPr>
        <w:t>Bibliometric Analysis</w:t>
      </w:r>
    </w:p>
    <w:p w14:paraId="1D786638" w14:textId="01CCDDAF" w:rsidR="00C909A5" w:rsidRPr="00774ECD" w:rsidRDefault="00C909A5" w:rsidP="00C909A5">
      <w:pPr>
        <w:pBdr>
          <w:top w:val="nil"/>
          <w:left w:val="nil"/>
          <w:bottom w:val="nil"/>
          <w:right w:val="nil"/>
          <w:between w:val="nil"/>
        </w:pBdr>
        <w:spacing w:after="0" w:line="360" w:lineRule="auto"/>
        <w:ind w:firstLine="720"/>
        <w:jc w:val="both"/>
        <w:rPr>
          <w:rFonts w:ascii="Times New Roman" w:eastAsia="Times New Roman" w:hAnsi="Times New Roman" w:cs="Times New Roman"/>
          <w:sz w:val="24"/>
          <w:szCs w:val="24"/>
        </w:rPr>
      </w:pPr>
      <w:r w:rsidRPr="00774ECD">
        <w:rPr>
          <w:rFonts w:ascii="Times New Roman" w:hAnsi="Times New Roman" w:cs="Times New Roman"/>
          <w:sz w:val="24"/>
          <w:szCs w:val="24"/>
        </w:rPr>
        <w:t xml:space="preserve">This review article did citation analysis based on publication sources, encompassing 1,459 sources identified through our literature search. To streamline the analysis, a minimum threshold of five publications from a source was set, resulting in 198 articles meeting this criterion. Notably, the journal “Environmental Science &amp; Technology” is the most prolific publisher, with 776 articles and a significant citation count of 58,448. Following closely, “Chemosphere” ranks as the second most prolific publisher, with 656 articles and 24,685 citations. “Science of the Total Environment” secures the third position, contributing 592 articles with a citation count 14,866. Additionally, several journals, including “Environmental International”, “Environmental Pollution”, “Environmental Health Perspectives”, “Journal of Hazardous Materials”, “Environmental Research”, “Water Research”, “Environmental Science and Pollution Research”, “Environmental Toxicology and Chemistry”, “Ecotoxicology and Environmental Safety”, and various chemical engineering journals, have collectively published over 100 research papers related to PFASs. Among these, “Environmental International”, “Environmental Pollution”, “Environmental Health Perspectives”, “Journal of Hazardous Materials”, and “Environmental Research” have emerged as leading journals actively publishing PFAS-related articles, and a frequent inter-citation pattern is observed among these publications (Figure </w:t>
      </w:r>
      <w:r w:rsidR="00FD452F" w:rsidRPr="00774ECD">
        <w:rPr>
          <w:rFonts w:ascii="Times New Roman" w:hAnsi="Times New Roman" w:cs="Times New Roman"/>
          <w:sz w:val="24"/>
          <w:szCs w:val="24"/>
        </w:rPr>
        <w:t>1-SM</w:t>
      </w:r>
      <w:r w:rsidRPr="00774ECD">
        <w:rPr>
          <w:rFonts w:ascii="Times New Roman" w:hAnsi="Times New Roman" w:cs="Times New Roman"/>
          <w:sz w:val="24"/>
          <w:szCs w:val="24"/>
        </w:rPr>
        <w:t>).</w:t>
      </w:r>
      <w:r w:rsidRPr="00774ECD">
        <w:rPr>
          <w:rFonts w:ascii="Times New Roman" w:eastAsia="Times New Roman" w:hAnsi="Times New Roman" w:cs="Times New Roman"/>
          <w:sz w:val="24"/>
          <w:szCs w:val="24"/>
        </w:rPr>
        <w:t xml:space="preserve"> </w:t>
      </w:r>
    </w:p>
    <w:p w14:paraId="463C7525" w14:textId="1866E888" w:rsidR="00FD452F" w:rsidRPr="00774ECD" w:rsidRDefault="00FD452F" w:rsidP="00C909A5">
      <w:pPr>
        <w:pBdr>
          <w:top w:val="nil"/>
          <w:left w:val="nil"/>
          <w:bottom w:val="nil"/>
          <w:right w:val="nil"/>
          <w:between w:val="nil"/>
        </w:pBdr>
        <w:spacing w:after="0" w:line="360" w:lineRule="auto"/>
        <w:ind w:firstLine="720"/>
        <w:jc w:val="both"/>
        <w:rPr>
          <w:rFonts w:ascii="Times New Roman" w:eastAsia="Times New Roman" w:hAnsi="Times New Roman" w:cs="Times New Roman"/>
          <w:sz w:val="24"/>
          <w:szCs w:val="24"/>
        </w:rPr>
      </w:pPr>
      <w:r w:rsidRPr="00774ECD">
        <w:rPr>
          <w:rFonts w:ascii="Times New Roman" w:hAnsi="Times New Roman" w:cs="Times New Roman"/>
          <w:noProof/>
          <w:sz w:val="24"/>
          <w:szCs w:val="24"/>
          <w:shd w:val="clear" w:color="auto" w:fill="FFFFFF"/>
        </w:rPr>
        <w:lastRenderedPageBreak/>
        <w:drawing>
          <wp:inline distT="0" distB="0" distL="0" distR="0" wp14:anchorId="3EF365F3" wp14:editId="18D089EA">
            <wp:extent cx="5943600" cy="3510280"/>
            <wp:effectExtent l="0" t="0" r="0" b="0"/>
            <wp:docPr id="2038896706" name="Picture 2038896706" descr="A close-up of a green and yellow b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145094" name="Picture 1" descr="A close-up of a green and yellow blo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510280"/>
                    </a:xfrm>
                    <a:prstGeom prst="rect">
                      <a:avLst/>
                    </a:prstGeom>
                  </pic:spPr>
                </pic:pic>
              </a:graphicData>
            </a:graphic>
          </wp:inline>
        </w:drawing>
      </w:r>
    </w:p>
    <w:p w14:paraId="71727339" w14:textId="1BAC2FA7" w:rsidR="00153425" w:rsidRPr="00774ECD" w:rsidRDefault="00153425" w:rsidP="00153425">
      <w:pPr>
        <w:pBdr>
          <w:top w:val="nil"/>
          <w:left w:val="nil"/>
          <w:bottom w:val="nil"/>
          <w:right w:val="nil"/>
          <w:between w:val="nil"/>
        </w:pBdr>
        <w:spacing w:after="0" w:line="360" w:lineRule="auto"/>
        <w:jc w:val="both"/>
        <w:rPr>
          <w:rFonts w:ascii="Times New Roman" w:eastAsia="Times New Roman" w:hAnsi="Times New Roman" w:cs="Times New Roman"/>
          <w:sz w:val="24"/>
          <w:szCs w:val="24"/>
        </w:rPr>
      </w:pPr>
      <w:r w:rsidRPr="00774ECD">
        <w:rPr>
          <w:rFonts w:ascii="Times New Roman" w:eastAsia="Times New Roman" w:hAnsi="Times New Roman" w:cs="Times New Roman"/>
          <w:b/>
          <w:sz w:val="24"/>
          <w:szCs w:val="24"/>
        </w:rPr>
        <w:t xml:space="preserve">Figure </w:t>
      </w:r>
      <w:r w:rsidRPr="00774ECD">
        <w:rPr>
          <w:rFonts w:ascii="Times New Roman" w:eastAsia="Times New Roman" w:hAnsi="Times New Roman" w:cs="Times New Roman"/>
          <w:b/>
          <w:bCs/>
          <w:sz w:val="24"/>
          <w:szCs w:val="24"/>
        </w:rPr>
        <w:t>1-SM</w:t>
      </w:r>
      <w:r w:rsidRPr="00774ECD">
        <w:rPr>
          <w:rFonts w:ascii="Times New Roman" w:eastAsia="Times New Roman" w:hAnsi="Times New Roman" w:cs="Times New Roman"/>
          <w:sz w:val="24"/>
          <w:szCs w:val="24"/>
        </w:rPr>
        <w:t xml:space="preserve">: corresponds to an analysis of bibliographic coupling of the most used journals published PFAS articles in the 1990–2023 period with </w:t>
      </w:r>
      <w:r w:rsidRPr="00774ECD">
        <w:rPr>
          <w:rFonts w:ascii="Times New Roman" w:hAnsi="Times New Roman" w:cs="Times New Roman"/>
          <w:sz w:val="24"/>
          <w:szCs w:val="24"/>
          <w:shd w:val="clear" w:color="auto" w:fill="FFFFFF"/>
        </w:rPr>
        <w:t>Lin/log </w:t>
      </w:r>
      <w:r w:rsidRPr="00774ECD">
        <w:rPr>
          <w:rStyle w:val="Emphasis"/>
          <w:rFonts w:ascii="Times New Roman" w:hAnsi="Times New Roman" w:cs="Times New Roman"/>
          <w:sz w:val="24"/>
          <w:szCs w:val="24"/>
          <w:shd w:val="clear" w:color="auto" w:fill="FFFFFF"/>
        </w:rPr>
        <w:t>modularity</w:t>
      </w:r>
      <w:r w:rsidRPr="00774ECD">
        <w:rPr>
          <w:rFonts w:ascii="Times New Roman" w:eastAsia="Times New Roman" w:hAnsi="Times New Roman" w:cs="Times New Roman"/>
          <w:sz w:val="24"/>
          <w:szCs w:val="24"/>
        </w:rPr>
        <w:t>.</w:t>
      </w:r>
    </w:p>
    <w:p w14:paraId="07A30EFB" w14:textId="77777777" w:rsidR="009232AB" w:rsidRPr="00774ECD" w:rsidRDefault="009232AB" w:rsidP="009232AB">
      <w:pPr>
        <w:pStyle w:val="Heading1"/>
        <w:rPr>
          <w:rFonts w:ascii="Times New Roman" w:hAnsi="Times New Roman" w:cs="Times New Roman"/>
          <w:b/>
          <w:sz w:val="24"/>
          <w:szCs w:val="24"/>
          <w:lang w:eastAsia="zh-CN"/>
        </w:rPr>
      </w:pPr>
      <w:r w:rsidRPr="00774ECD">
        <w:rPr>
          <w:rFonts w:ascii="Times New Roman" w:hAnsi="Times New Roman" w:cs="Times New Roman"/>
          <w:sz w:val="24"/>
          <w:szCs w:val="24"/>
        </w:rPr>
        <w:t>Fate and Occurrence of PFAS</w:t>
      </w:r>
      <w:r w:rsidRPr="00774ECD">
        <w:rPr>
          <w:rFonts w:ascii="Times New Roman" w:hAnsi="Times New Roman" w:cs="Times New Roman"/>
          <w:b/>
          <w:sz w:val="24"/>
          <w:szCs w:val="24"/>
          <w:lang w:eastAsia="zh-CN"/>
        </w:rPr>
        <w:t xml:space="preserve"> </w:t>
      </w:r>
    </w:p>
    <w:p w14:paraId="256DBB25" w14:textId="03D24152" w:rsidR="00CE3963" w:rsidRPr="00774ECD" w:rsidRDefault="00433E84" w:rsidP="00433E84">
      <w:pPr>
        <w:pBdr>
          <w:top w:val="nil"/>
          <w:left w:val="nil"/>
          <w:bottom w:val="nil"/>
          <w:right w:val="nil"/>
          <w:between w:val="nil"/>
        </w:pBdr>
        <w:spacing w:after="0" w:line="360" w:lineRule="auto"/>
        <w:ind w:firstLine="720"/>
        <w:jc w:val="both"/>
        <w:rPr>
          <w:rFonts w:ascii="Times New Roman" w:eastAsia="Times New Roman" w:hAnsi="Times New Roman" w:cs="Times New Roman"/>
          <w:sz w:val="24"/>
          <w:szCs w:val="24"/>
        </w:rPr>
      </w:pPr>
      <w:r w:rsidRPr="00774ECD">
        <w:rPr>
          <w:rFonts w:ascii="Times New Roman" w:hAnsi="Times New Roman" w:cs="Times New Roman"/>
          <w:sz w:val="24"/>
          <w:szCs w:val="24"/>
        </w:rPr>
        <w:t xml:space="preserve">Table 1-SM displays the average concentrations of six PFAS compounds (PFOA, PFOS, PFNA, </w:t>
      </w:r>
      <w:proofErr w:type="spellStart"/>
      <w:r w:rsidRPr="00774ECD">
        <w:rPr>
          <w:rFonts w:ascii="Times New Roman" w:hAnsi="Times New Roman" w:cs="Times New Roman"/>
          <w:sz w:val="24"/>
          <w:szCs w:val="24"/>
        </w:rPr>
        <w:t>PFHxS</w:t>
      </w:r>
      <w:proofErr w:type="spellEnd"/>
      <w:r w:rsidRPr="00774ECD">
        <w:rPr>
          <w:rFonts w:ascii="Times New Roman" w:hAnsi="Times New Roman" w:cs="Times New Roman"/>
          <w:sz w:val="24"/>
          <w:szCs w:val="24"/>
        </w:rPr>
        <w:t>, PFBS, and HFPO-DA/</w:t>
      </w:r>
      <w:proofErr w:type="spellStart"/>
      <w:r w:rsidRPr="00774ECD">
        <w:rPr>
          <w:rFonts w:ascii="Times New Roman" w:hAnsi="Times New Roman" w:cs="Times New Roman"/>
          <w:sz w:val="24"/>
          <w:szCs w:val="24"/>
        </w:rPr>
        <w:t>GenX</w:t>
      </w:r>
      <w:proofErr w:type="spellEnd"/>
      <w:r w:rsidRPr="00774ECD">
        <w:rPr>
          <w:rFonts w:ascii="Times New Roman" w:hAnsi="Times New Roman" w:cs="Times New Roman"/>
          <w:sz w:val="24"/>
          <w:szCs w:val="24"/>
        </w:rPr>
        <w:t xml:space="preserve">) in ng/L from various studies aiming to meet USEPA standards for MCL and MCLG in drinking water. The data include surface water, groundwater, and drinking water samples from diverse global locations, such as China, the United States, and Norway. The results show significant variations in PFAS levels across different regions and sample types. For example, PFOA levels in Massachusetts groundwater were notably high at 608.88 ng/L </w:t>
      </w:r>
      <w:r w:rsidR="00C02CD9" w:rsidRPr="00774ECD">
        <w:rPr>
          <w:rFonts w:ascii="Times New Roman" w:hAnsi="Times New Roman" w:cs="Times New Roman"/>
          <w:sz w:val="24"/>
          <w:szCs w:val="24"/>
        </w:rPr>
        <w:fldChar w:fldCharType="begin"/>
      </w:r>
      <w:r w:rsidR="00C02CD9" w:rsidRPr="00774ECD">
        <w:rPr>
          <w:rFonts w:ascii="Times New Roman" w:hAnsi="Times New Roman" w:cs="Times New Roman"/>
          <w:sz w:val="24"/>
          <w:szCs w:val="24"/>
        </w:rPr>
        <w:instrText xml:space="preserve"> ADDIN EN.CITE &lt;EndNote&gt;&lt;Cite&gt;&lt;Author&gt;Barber&lt;/Author&gt;&lt;Year&gt;2023&lt;/Year&gt;&lt;RecNum&gt;78&lt;/RecNum&gt;&lt;DisplayText&gt;(Barber et al., 2023)&lt;/DisplayText&gt;&lt;record&gt;&lt;rec-number&gt;78&lt;/rec-number&gt;&lt;foreign-keys&gt;&lt;key app="EN" db-id="2tad9590eprt07epr2avrp2n5zrefvv5rwff" timestamp="1696822952"&gt;78&lt;/key&gt;&lt;/foreign-keys&gt;&lt;ref-type name="Journal Article"&gt;17&lt;/ref-type&gt;&lt;contributors&gt;&lt;authors&gt;&lt;author&gt;Barber, L. B.&lt;/author&gt;&lt;author&gt;Pickard, H. M.&lt;/author&gt;&lt;author&gt;Alvarez, D. A.&lt;/author&gt;&lt;author&gt;Becanova, J.&lt;/author&gt;&lt;author&gt;Keefe, S. H.&lt;/author&gt;&lt;author&gt;LeBlanc, D. R.&lt;/author&gt;&lt;author&gt;Lohmann, R.&lt;/author&gt;&lt;author&gt;Steevens, J. A.&lt;/author&gt;&lt;author&gt;Vajda, A. M.&lt;/author&gt;&lt;/authors&gt;&lt;/contributors&gt;&lt;titles&gt;&lt;title&gt;Uptake of Per- and Polyfluoroalkyl Substances by Fish, Mussel, and Passive Samplers in Mobile-Laboratory Exposures Using Groundwater from a Contamination Plume at a Historical Fire Training Area, Cape Cod, Massachusetts&lt;/title&gt;&lt;secondary-title&gt;Environmental Science &amp;amp; Technology&lt;/secondary-title&gt;&lt;/titles&gt;&lt;periodical&gt;&lt;full-title&gt;Environmental Science &amp;amp; Technology&lt;/full-title&gt;&lt;/periodical&gt;&lt;pages&gt;5544-5557&lt;/pages&gt;&lt;volume&gt;57&lt;/volume&gt;&lt;number&gt;7&lt;/number&gt;&lt;dates&gt;&lt;year&gt;2023&lt;/year&gt;&lt;pub-dates&gt;&lt;date&gt;Apr&lt;/date&gt;&lt;/pub-dates&gt;&lt;/dates&gt;&lt;isbn&gt;0013-936X&lt;/isbn&gt;&lt;accession-num&gt;WOS:000970730600001&lt;/accession-num&gt;&lt;urls&gt;&lt;related-urls&gt;&lt;url&gt;&amp;lt;Go to ISI&amp;gt;://WOS:000970730600001&lt;/url&gt;&lt;/related-urls&gt;&lt;/urls&gt;&lt;electronic-resource-num&gt;10.1021/acs.est.2c06500&lt;/electronic-resource-num&gt;&lt;/record&gt;&lt;/Cite&gt;&lt;/EndNote&gt;</w:instrText>
      </w:r>
      <w:r w:rsidR="00C02CD9" w:rsidRPr="00774ECD">
        <w:rPr>
          <w:rFonts w:ascii="Times New Roman" w:hAnsi="Times New Roman" w:cs="Times New Roman"/>
          <w:sz w:val="24"/>
          <w:szCs w:val="24"/>
        </w:rPr>
        <w:fldChar w:fldCharType="separate"/>
      </w:r>
      <w:r w:rsidR="00C02CD9" w:rsidRPr="00774ECD">
        <w:rPr>
          <w:rFonts w:ascii="Times New Roman" w:hAnsi="Times New Roman" w:cs="Times New Roman"/>
          <w:noProof/>
          <w:sz w:val="24"/>
          <w:szCs w:val="24"/>
        </w:rPr>
        <w:t>(Barber et al., 2023)</w:t>
      </w:r>
      <w:r w:rsidR="00C02CD9" w:rsidRPr="00774ECD">
        <w:rPr>
          <w:rFonts w:ascii="Times New Roman" w:hAnsi="Times New Roman" w:cs="Times New Roman"/>
          <w:sz w:val="24"/>
          <w:szCs w:val="24"/>
        </w:rPr>
        <w:fldChar w:fldCharType="end"/>
      </w:r>
      <w:r w:rsidRPr="00774ECD">
        <w:rPr>
          <w:rFonts w:ascii="Times New Roman" w:hAnsi="Times New Roman" w:cs="Times New Roman"/>
          <w:sz w:val="24"/>
          <w:szCs w:val="24"/>
        </w:rPr>
        <w:t xml:space="preserve">, while they were much lower in Arizona groundwater at 0.02 ng/L </w:t>
      </w:r>
      <w:r w:rsidR="00F01638" w:rsidRPr="00774ECD">
        <w:rPr>
          <w:rFonts w:ascii="Times New Roman" w:hAnsi="Times New Roman" w:cs="Times New Roman"/>
          <w:sz w:val="24"/>
          <w:szCs w:val="24"/>
        </w:rPr>
        <w:fldChar w:fldCharType="begin"/>
      </w:r>
      <w:r w:rsidR="00F01638" w:rsidRPr="00774ECD">
        <w:rPr>
          <w:rFonts w:ascii="Times New Roman" w:hAnsi="Times New Roman" w:cs="Times New Roman"/>
          <w:sz w:val="24"/>
          <w:szCs w:val="24"/>
        </w:rPr>
        <w:instrText xml:space="preserve"> ADDIN EN.CITE &lt;EndNote&gt;&lt;Cite&gt;&lt;Author&gt;Canez&lt;/Author&gt;&lt;Year&gt;2021&lt;/Year&gt;&lt;RecNum&gt;50&lt;/RecNum&gt;&lt;DisplayText&gt;(Canez et al., 2021)&lt;/DisplayText&gt;&lt;record&gt;&lt;rec-number&gt;50&lt;/rec-number&gt;&lt;foreign-keys&gt;&lt;key app="EN" db-id="2tad9590eprt07epr2avrp2n5zrefvv5rwff" timestamp="1696822952"&gt;50&lt;/key&gt;&lt;/foreign-keys&gt;&lt;ref-type name="Journal Article"&gt;17&lt;/ref-type&gt;&lt;contributors&gt;&lt;authors&gt;&lt;author&gt;Canez, T. T.&lt;/author&gt;&lt;author&gt;Guo, B.&lt;/author&gt;&lt;author&gt;McIntosh, J. C.&lt;/author&gt;&lt;author&gt;Brusseau, M. L.&lt;/author&gt;&lt;/authors&gt;&lt;/contributors&gt;&lt;titles&gt;&lt;title&gt;Perfluoroalkyl and polyfluoroalkyl substances (PFAS) in groundwater at a reclaimed water recharge facility&lt;/title&gt;&lt;secondary-title&gt;Science of the Total Environment&lt;/secondary-title&gt;&lt;/titles&gt;&lt;periodical&gt;&lt;full-title&gt;Science of the Total Environment&lt;/full-title&gt;&lt;/periodical&gt;&lt;volume&gt;791&lt;/volume&gt;&lt;dates&gt;&lt;year&gt;2021&lt;/year&gt;&lt;pub-dates&gt;&lt;date&gt;Oct&lt;/date&gt;&lt;/pub-dates&gt;&lt;/dates&gt;&lt;isbn&gt;0048-9697&lt;/isbn&gt;&lt;accession-num&gt;WOS:000686011600003&lt;/accession-num&gt;&lt;urls&gt;&lt;related-urls&gt;&lt;url&gt;&amp;lt;Go to ISI&amp;gt;://WOS:000686011600003&lt;/url&gt;&lt;/related-urls&gt;&lt;/urls&gt;&lt;custom7&gt;147906&lt;/custom7&gt;&lt;electronic-resource-num&gt;10.1016/j.scitotenv.2021.147906&lt;/electronic-resource-num&gt;&lt;/record&gt;&lt;/Cite&gt;&lt;/EndNote&gt;</w:instrText>
      </w:r>
      <w:r w:rsidR="00F01638" w:rsidRPr="00774ECD">
        <w:rPr>
          <w:rFonts w:ascii="Times New Roman" w:hAnsi="Times New Roman" w:cs="Times New Roman"/>
          <w:sz w:val="24"/>
          <w:szCs w:val="24"/>
        </w:rPr>
        <w:fldChar w:fldCharType="separate"/>
      </w:r>
      <w:r w:rsidR="00F01638" w:rsidRPr="00774ECD">
        <w:rPr>
          <w:rFonts w:ascii="Times New Roman" w:hAnsi="Times New Roman" w:cs="Times New Roman"/>
          <w:noProof/>
          <w:sz w:val="24"/>
          <w:szCs w:val="24"/>
        </w:rPr>
        <w:t>(Canez et al., 2021)</w:t>
      </w:r>
      <w:r w:rsidR="00F01638" w:rsidRPr="00774ECD">
        <w:rPr>
          <w:rFonts w:ascii="Times New Roman" w:hAnsi="Times New Roman" w:cs="Times New Roman"/>
          <w:sz w:val="24"/>
          <w:szCs w:val="24"/>
        </w:rPr>
        <w:fldChar w:fldCharType="end"/>
      </w:r>
      <w:r w:rsidRPr="00774ECD">
        <w:rPr>
          <w:rFonts w:ascii="Times New Roman" w:hAnsi="Times New Roman" w:cs="Times New Roman"/>
          <w:sz w:val="24"/>
          <w:szCs w:val="24"/>
        </w:rPr>
        <w:t xml:space="preserve">. PFOS concentrations ranged from 0.14 ng/L in the South China Sea to 1342.33 ng/L in Massachusetts groundwater </w:t>
      </w:r>
      <w:r w:rsidR="00F01638" w:rsidRPr="00774ECD">
        <w:rPr>
          <w:rFonts w:ascii="Times New Roman" w:hAnsi="Times New Roman" w:cs="Times New Roman"/>
          <w:sz w:val="24"/>
          <w:szCs w:val="24"/>
        </w:rPr>
        <w:fldChar w:fldCharType="begin">
          <w:fldData xml:space="preserve">PEVuZE5vdGU+PENpdGU+PEF1dGhvcj5CYXJiZXI8L0F1dGhvcj48WWVhcj4yMDIzPC9ZZWFyPjxS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</w:fldData>
        </w:fldChar>
      </w:r>
      <w:r w:rsidR="00F01638" w:rsidRPr="00774ECD">
        <w:rPr>
          <w:rFonts w:ascii="Times New Roman" w:hAnsi="Times New Roman" w:cs="Times New Roman"/>
          <w:sz w:val="24"/>
          <w:szCs w:val="24"/>
        </w:rPr>
        <w:instrText xml:space="preserve"> ADDIN EN.CITE </w:instrText>
      </w:r>
      <w:r w:rsidR="00F01638" w:rsidRPr="00774ECD">
        <w:rPr>
          <w:rFonts w:ascii="Times New Roman" w:hAnsi="Times New Roman" w:cs="Times New Roman"/>
          <w:sz w:val="24"/>
          <w:szCs w:val="24"/>
        </w:rPr>
        <w:fldChar w:fldCharType="begin">
          <w:fldData xml:space="preserve">PEVuZE5vdGU+PENpdGU+PEF1dGhvcj5CYXJiZXI8L0F1dGhvcj48WWVhcj4yMDIzPC9ZZWFyPjxS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</w:fldData>
        </w:fldChar>
      </w:r>
      <w:r w:rsidR="00F01638" w:rsidRPr="00774ECD">
        <w:rPr>
          <w:rFonts w:ascii="Times New Roman" w:hAnsi="Times New Roman" w:cs="Times New Roman"/>
          <w:sz w:val="24"/>
          <w:szCs w:val="24"/>
        </w:rPr>
        <w:instrText xml:space="preserve"> ADDIN EN.CITE.DATA </w:instrText>
      </w:r>
      <w:r w:rsidR="00F01638" w:rsidRPr="00774ECD">
        <w:rPr>
          <w:rFonts w:ascii="Times New Roman" w:hAnsi="Times New Roman" w:cs="Times New Roman"/>
          <w:sz w:val="24"/>
          <w:szCs w:val="24"/>
        </w:rPr>
      </w:r>
      <w:r w:rsidR="00F01638" w:rsidRPr="00774ECD">
        <w:rPr>
          <w:rFonts w:ascii="Times New Roman" w:hAnsi="Times New Roman" w:cs="Times New Roman"/>
          <w:sz w:val="24"/>
          <w:szCs w:val="24"/>
        </w:rPr>
        <w:fldChar w:fldCharType="end"/>
      </w:r>
      <w:r w:rsidR="00F01638" w:rsidRPr="00774ECD">
        <w:rPr>
          <w:rFonts w:ascii="Times New Roman" w:hAnsi="Times New Roman" w:cs="Times New Roman"/>
          <w:sz w:val="24"/>
          <w:szCs w:val="24"/>
        </w:rPr>
      </w:r>
      <w:r w:rsidR="00F01638" w:rsidRPr="00774ECD">
        <w:rPr>
          <w:rFonts w:ascii="Times New Roman" w:hAnsi="Times New Roman" w:cs="Times New Roman"/>
          <w:sz w:val="24"/>
          <w:szCs w:val="24"/>
        </w:rPr>
        <w:fldChar w:fldCharType="separate"/>
      </w:r>
      <w:r w:rsidR="00F01638" w:rsidRPr="00774ECD">
        <w:rPr>
          <w:rFonts w:ascii="Times New Roman" w:hAnsi="Times New Roman" w:cs="Times New Roman"/>
          <w:noProof/>
          <w:sz w:val="24"/>
          <w:szCs w:val="24"/>
        </w:rPr>
        <w:t>(Barber et al., 2023; Xiao et al., 2021)</w:t>
      </w:r>
      <w:r w:rsidR="00F01638" w:rsidRPr="00774ECD">
        <w:rPr>
          <w:rFonts w:ascii="Times New Roman" w:hAnsi="Times New Roman" w:cs="Times New Roman"/>
          <w:sz w:val="24"/>
          <w:szCs w:val="24"/>
        </w:rPr>
        <w:fldChar w:fldCharType="end"/>
      </w:r>
      <w:r w:rsidRPr="00774ECD">
        <w:rPr>
          <w:rFonts w:ascii="Times New Roman" w:hAnsi="Times New Roman" w:cs="Times New Roman"/>
          <w:sz w:val="24"/>
          <w:szCs w:val="24"/>
        </w:rPr>
        <w:t xml:space="preserve">. Additionally, some PFAS compounds were not detected (ND) in certain samples, highlighting the varying levels of contamination and the global concern over PFAS pollution in water sources. This dataset </w:t>
      </w:r>
      <w:r w:rsidR="003E3964">
        <w:rPr>
          <w:rFonts w:ascii="Times New Roman" w:hAnsi="Times New Roman" w:cs="Times New Roman"/>
          <w:sz w:val="24"/>
          <w:szCs w:val="24"/>
        </w:rPr>
        <w:t>highlight</w:t>
      </w:r>
      <w:r w:rsidR="00C26B94">
        <w:rPr>
          <w:rFonts w:ascii="Times New Roman" w:hAnsi="Times New Roman" w:cs="Times New Roman"/>
          <w:sz w:val="24"/>
          <w:szCs w:val="24"/>
        </w:rPr>
        <w:t>s</w:t>
      </w:r>
      <w:r w:rsidRPr="00774ECD">
        <w:rPr>
          <w:rFonts w:ascii="Times New Roman" w:hAnsi="Times New Roman" w:cs="Times New Roman"/>
          <w:sz w:val="24"/>
          <w:szCs w:val="24"/>
        </w:rPr>
        <w:t xml:space="preserve"> the critical need for extensive monitoring efforts and regulatory measures to tackle PFAS contamination worldwide.</w:t>
      </w:r>
    </w:p>
    <w:p w14:paraId="57641C5F" w14:textId="77777777" w:rsidR="00CE3963" w:rsidRPr="00774ECD" w:rsidRDefault="00CE3963" w:rsidP="001867FE">
      <w:pPr>
        <w:spacing w:line="360" w:lineRule="auto"/>
        <w:jc w:val="both"/>
        <w:rPr>
          <w:rFonts w:ascii="Times New Roman" w:eastAsia="Times New Roman" w:hAnsi="Times New Roman" w:cs="Times New Roman"/>
          <w:sz w:val="24"/>
          <w:szCs w:val="24"/>
        </w:rPr>
        <w:sectPr w:rsidR="00CE3963" w:rsidRPr="00774ECD">
          <w:pgSz w:w="12240" w:h="15840"/>
          <w:pgMar w:top="1440" w:right="1440" w:bottom="1440" w:left="1440" w:header="720" w:footer="720" w:gutter="0"/>
          <w:cols w:space="720"/>
          <w:docGrid w:linePitch="360"/>
        </w:sectPr>
      </w:pPr>
    </w:p>
    <w:p w14:paraId="5675F941" w14:textId="42F49EFE" w:rsidR="001867FE" w:rsidRPr="00774ECD" w:rsidRDefault="001867FE" w:rsidP="001867FE">
      <w:pPr>
        <w:spacing w:line="360" w:lineRule="auto"/>
        <w:jc w:val="both"/>
        <w:rPr>
          <w:rFonts w:ascii="Times New Roman" w:hAnsi="Times New Roman" w:cs="Times New Roman"/>
          <w:sz w:val="24"/>
          <w:szCs w:val="24"/>
        </w:rPr>
      </w:pPr>
      <w:r w:rsidRPr="00774ECD">
        <w:rPr>
          <w:rFonts w:ascii="Times New Roman" w:eastAsia="Times New Roman" w:hAnsi="Times New Roman" w:cs="Times New Roman"/>
          <w:sz w:val="24"/>
          <w:szCs w:val="24"/>
        </w:rPr>
        <w:lastRenderedPageBreak/>
        <w:t xml:space="preserve">Table </w:t>
      </w:r>
      <w:r w:rsidR="00DD041F" w:rsidRPr="00774ECD">
        <w:rPr>
          <w:rFonts w:ascii="Times New Roman" w:eastAsia="Times New Roman" w:hAnsi="Times New Roman" w:cs="Times New Roman"/>
          <w:sz w:val="24"/>
          <w:szCs w:val="24"/>
        </w:rPr>
        <w:t>1-SM</w:t>
      </w:r>
      <w:r w:rsidRPr="00774ECD">
        <w:rPr>
          <w:rFonts w:ascii="Times New Roman" w:eastAsia="Times New Roman" w:hAnsi="Times New Roman" w:cs="Times New Roman"/>
          <w:sz w:val="24"/>
          <w:szCs w:val="24"/>
        </w:rPr>
        <w:t xml:space="preserve">: Average distribution of PFOA, PFOS, PFNA, </w:t>
      </w:r>
      <w:proofErr w:type="spellStart"/>
      <w:r w:rsidRPr="00774ECD">
        <w:rPr>
          <w:rFonts w:ascii="Times New Roman" w:eastAsia="Times New Roman" w:hAnsi="Times New Roman" w:cs="Times New Roman"/>
          <w:sz w:val="24"/>
          <w:szCs w:val="24"/>
        </w:rPr>
        <w:t>PFHxS</w:t>
      </w:r>
      <w:proofErr w:type="spellEnd"/>
      <w:r w:rsidRPr="00774ECD">
        <w:rPr>
          <w:rFonts w:ascii="Times New Roman" w:eastAsia="Times New Roman" w:hAnsi="Times New Roman" w:cs="Times New Roman"/>
          <w:sz w:val="24"/>
          <w:szCs w:val="24"/>
        </w:rPr>
        <w:t>, PFBS &amp; HFPO-DA/</w:t>
      </w:r>
      <w:proofErr w:type="spellStart"/>
      <w:r w:rsidRPr="00774ECD">
        <w:rPr>
          <w:rFonts w:ascii="Times New Roman" w:eastAsia="Times New Roman" w:hAnsi="Times New Roman" w:cs="Times New Roman"/>
          <w:sz w:val="24"/>
          <w:szCs w:val="24"/>
        </w:rPr>
        <w:t>GenX</w:t>
      </w:r>
      <w:proofErr w:type="spellEnd"/>
      <w:r w:rsidRPr="00774ECD">
        <w:rPr>
          <w:rFonts w:ascii="Times New Roman" w:eastAsia="Times New Roman" w:hAnsi="Times New Roman" w:cs="Times New Roman"/>
          <w:sz w:val="24"/>
          <w:szCs w:val="24"/>
        </w:rPr>
        <w:t xml:space="preserve"> (ng/L) in the s</w:t>
      </w:r>
      <w:r w:rsidRPr="00774ECD">
        <w:rPr>
          <w:rFonts w:ascii="Times New Roman" w:hAnsi="Times New Roman" w:cs="Times New Roman"/>
          <w:color w:val="1F1F1F"/>
          <w:sz w:val="24"/>
          <w:szCs w:val="24"/>
        </w:rPr>
        <w:t xml:space="preserve">tudies reporting </w:t>
      </w:r>
      <w:r w:rsidR="00FC1220" w:rsidRPr="00774ECD">
        <w:rPr>
          <w:rFonts w:ascii="Times New Roman" w:hAnsi="Times New Roman" w:cs="Times New Roman"/>
          <w:color w:val="1F1F1F"/>
          <w:sz w:val="24"/>
          <w:szCs w:val="24"/>
        </w:rPr>
        <w:t>PFAS.</w:t>
      </w:r>
    </w:p>
    <w:tbl>
      <w:tblPr>
        <w:tblW w:w="14306" w:type="dxa"/>
        <w:tblLook w:val="04A0" w:firstRow="1" w:lastRow="0" w:firstColumn="1" w:lastColumn="0" w:noHBand="0" w:noVBand="1"/>
      </w:tblPr>
      <w:tblGrid>
        <w:gridCol w:w="2186"/>
        <w:gridCol w:w="1710"/>
        <w:gridCol w:w="3294"/>
        <w:gridCol w:w="1236"/>
        <w:gridCol w:w="1116"/>
        <w:gridCol w:w="876"/>
        <w:gridCol w:w="996"/>
        <w:gridCol w:w="996"/>
        <w:gridCol w:w="1896"/>
      </w:tblGrid>
      <w:tr w:rsidR="00E27DA3" w:rsidRPr="00774ECD" w14:paraId="500DEA62" w14:textId="77777777" w:rsidTr="00765B89">
        <w:trPr>
          <w:trHeight w:val="334"/>
        </w:trPr>
        <w:tc>
          <w:tcPr>
            <w:tcW w:w="2186" w:type="dxa"/>
            <w:tcBorders>
              <w:top w:val="single" w:sz="4" w:space="0" w:color="auto"/>
              <w:left w:val="nil"/>
              <w:bottom w:val="single" w:sz="8" w:space="0" w:color="auto"/>
              <w:right w:val="nil"/>
            </w:tcBorders>
            <w:shd w:val="clear" w:color="auto" w:fill="auto"/>
            <w:vAlign w:val="center"/>
            <w:hideMark/>
          </w:tcPr>
          <w:p w14:paraId="06E80ABC"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 xml:space="preserve">Source </w:t>
            </w:r>
          </w:p>
        </w:tc>
        <w:tc>
          <w:tcPr>
            <w:tcW w:w="1710" w:type="dxa"/>
            <w:tcBorders>
              <w:top w:val="single" w:sz="4" w:space="0" w:color="auto"/>
              <w:left w:val="nil"/>
              <w:bottom w:val="single" w:sz="8" w:space="0" w:color="auto"/>
              <w:right w:val="nil"/>
            </w:tcBorders>
            <w:shd w:val="clear" w:color="auto" w:fill="auto"/>
            <w:vAlign w:val="center"/>
            <w:hideMark/>
          </w:tcPr>
          <w:p w14:paraId="0EF072CA"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Sample Types</w:t>
            </w:r>
          </w:p>
        </w:tc>
        <w:tc>
          <w:tcPr>
            <w:tcW w:w="0" w:type="auto"/>
            <w:tcBorders>
              <w:top w:val="single" w:sz="4" w:space="0" w:color="auto"/>
              <w:left w:val="nil"/>
              <w:bottom w:val="single" w:sz="8" w:space="0" w:color="auto"/>
              <w:right w:val="nil"/>
            </w:tcBorders>
            <w:shd w:val="clear" w:color="auto" w:fill="auto"/>
            <w:vAlign w:val="center"/>
            <w:hideMark/>
          </w:tcPr>
          <w:p w14:paraId="39707478"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 xml:space="preserve">Location </w:t>
            </w:r>
          </w:p>
        </w:tc>
        <w:tc>
          <w:tcPr>
            <w:tcW w:w="0" w:type="auto"/>
            <w:tcBorders>
              <w:top w:val="single" w:sz="4" w:space="0" w:color="auto"/>
              <w:left w:val="nil"/>
              <w:bottom w:val="single" w:sz="8" w:space="0" w:color="auto"/>
              <w:right w:val="nil"/>
            </w:tcBorders>
            <w:shd w:val="clear" w:color="auto" w:fill="auto"/>
            <w:noWrap/>
            <w:vAlign w:val="center"/>
            <w:hideMark/>
          </w:tcPr>
          <w:p w14:paraId="2A30E53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 xml:space="preserve">PFOA  </w:t>
            </w:r>
          </w:p>
        </w:tc>
        <w:tc>
          <w:tcPr>
            <w:tcW w:w="0" w:type="auto"/>
            <w:tcBorders>
              <w:top w:val="single" w:sz="4" w:space="0" w:color="auto"/>
              <w:left w:val="nil"/>
              <w:bottom w:val="single" w:sz="8" w:space="0" w:color="auto"/>
              <w:right w:val="nil"/>
            </w:tcBorders>
            <w:shd w:val="clear" w:color="auto" w:fill="auto"/>
            <w:noWrap/>
            <w:vAlign w:val="center"/>
            <w:hideMark/>
          </w:tcPr>
          <w:p w14:paraId="30D5CBE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PFOS</w:t>
            </w:r>
          </w:p>
        </w:tc>
        <w:tc>
          <w:tcPr>
            <w:tcW w:w="0" w:type="auto"/>
            <w:tcBorders>
              <w:top w:val="single" w:sz="4" w:space="0" w:color="auto"/>
              <w:left w:val="nil"/>
              <w:bottom w:val="single" w:sz="8" w:space="0" w:color="auto"/>
              <w:right w:val="nil"/>
            </w:tcBorders>
            <w:shd w:val="clear" w:color="auto" w:fill="auto"/>
            <w:noWrap/>
            <w:vAlign w:val="center"/>
            <w:hideMark/>
          </w:tcPr>
          <w:p w14:paraId="14FCA98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PFNA</w:t>
            </w:r>
          </w:p>
        </w:tc>
        <w:tc>
          <w:tcPr>
            <w:tcW w:w="0" w:type="auto"/>
            <w:tcBorders>
              <w:top w:val="single" w:sz="4" w:space="0" w:color="auto"/>
              <w:left w:val="nil"/>
              <w:bottom w:val="single" w:sz="8" w:space="0" w:color="auto"/>
              <w:right w:val="nil"/>
            </w:tcBorders>
            <w:shd w:val="clear" w:color="auto" w:fill="auto"/>
            <w:noWrap/>
            <w:vAlign w:val="center"/>
            <w:hideMark/>
          </w:tcPr>
          <w:p w14:paraId="3C013C0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proofErr w:type="spellStart"/>
            <w:r w:rsidRPr="00774ECD">
              <w:rPr>
                <w:rFonts w:ascii="Times New Roman" w:eastAsia="Times New Roman" w:hAnsi="Times New Roman" w:cs="Times New Roman"/>
                <w:color w:val="000000"/>
                <w:kern w:val="0"/>
                <w:sz w:val="24"/>
                <w:szCs w:val="24"/>
                <w14:ligatures w14:val="none"/>
              </w:rPr>
              <w:t>PFHxS</w:t>
            </w:r>
            <w:proofErr w:type="spellEnd"/>
          </w:p>
        </w:tc>
        <w:tc>
          <w:tcPr>
            <w:tcW w:w="0" w:type="auto"/>
            <w:tcBorders>
              <w:top w:val="single" w:sz="4" w:space="0" w:color="auto"/>
              <w:left w:val="nil"/>
              <w:bottom w:val="single" w:sz="8" w:space="0" w:color="auto"/>
              <w:right w:val="nil"/>
            </w:tcBorders>
            <w:shd w:val="clear" w:color="auto" w:fill="auto"/>
            <w:noWrap/>
            <w:vAlign w:val="center"/>
            <w:hideMark/>
          </w:tcPr>
          <w:p w14:paraId="166875B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PFBS</w:t>
            </w:r>
          </w:p>
        </w:tc>
        <w:tc>
          <w:tcPr>
            <w:tcW w:w="0" w:type="auto"/>
            <w:tcBorders>
              <w:top w:val="single" w:sz="4" w:space="0" w:color="auto"/>
              <w:left w:val="nil"/>
              <w:bottom w:val="single" w:sz="8" w:space="0" w:color="auto"/>
              <w:right w:val="nil"/>
            </w:tcBorders>
            <w:shd w:val="clear" w:color="auto" w:fill="auto"/>
            <w:noWrap/>
            <w:vAlign w:val="center"/>
            <w:hideMark/>
          </w:tcPr>
          <w:p w14:paraId="4077D40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HFPO-DA/</w:t>
            </w:r>
            <w:proofErr w:type="spellStart"/>
            <w:r w:rsidRPr="00774ECD">
              <w:rPr>
                <w:rFonts w:ascii="Times New Roman" w:eastAsia="Times New Roman" w:hAnsi="Times New Roman" w:cs="Times New Roman"/>
                <w:color w:val="000000"/>
                <w:kern w:val="0"/>
                <w:sz w:val="24"/>
                <w:szCs w:val="24"/>
                <w14:ligatures w14:val="none"/>
              </w:rPr>
              <w:t>GenX</w:t>
            </w:r>
            <w:proofErr w:type="spellEnd"/>
          </w:p>
        </w:tc>
      </w:tr>
      <w:tr w:rsidR="00E27DA3" w:rsidRPr="00774ECD" w14:paraId="20037309" w14:textId="77777777" w:rsidTr="00765B89">
        <w:trPr>
          <w:trHeight w:val="318"/>
        </w:trPr>
        <w:tc>
          <w:tcPr>
            <w:tcW w:w="2186" w:type="dxa"/>
            <w:tcBorders>
              <w:top w:val="nil"/>
              <w:left w:val="nil"/>
              <w:bottom w:val="nil"/>
              <w:right w:val="nil"/>
            </w:tcBorders>
            <w:shd w:val="clear" w:color="auto" w:fill="auto"/>
            <w:vAlign w:val="center"/>
            <w:hideMark/>
          </w:tcPr>
          <w:p w14:paraId="40E58346"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An et al., 2023</w:t>
            </w:r>
          </w:p>
        </w:tc>
        <w:tc>
          <w:tcPr>
            <w:tcW w:w="1710" w:type="dxa"/>
            <w:tcBorders>
              <w:top w:val="nil"/>
              <w:left w:val="nil"/>
              <w:bottom w:val="nil"/>
              <w:right w:val="nil"/>
            </w:tcBorders>
            <w:shd w:val="clear" w:color="auto" w:fill="auto"/>
            <w:vAlign w:val="center"/>
            <w:hideMark/>
          </w:tcPr>
          <w:p w14:paraId="3FE9EDD2"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0C555F85"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proofErr w:type="spellStart"/>
            <w:r w:rsidRPr="00774ECD">
              <w:rPr>
                <w:rFonts w:ascii="Times New Roman" w:eastAsia="Times New Roman" w:hAnsi="Times New Roman" w:cs="Times New Roman"/>
                <w:kern w:val="0"/>
                <w:sz w:val="24"/>
                <w:szCs w:val="24"/>
                <w14:ligatures w14:val="none"/>
              </w:rPr>
              <w:t>Jiulong</w:t>
            </w:r>
            <w:proofErr w:type="spellEnd"/>
            <w:r w:rsidRPr="00774ECD">
              <w:rPr>
                <w:rFonts w:ascii="Times New Roman" w:eastAsia="Times New Roman" w:hAnsi="Times New Roman" w:cs="Times New Roman"/>
                <w:kern w:val="0"/>
                <w:sz w:val="24"/>
                <w:szCs w:val="24"/>
                <w14:ligatures w14:val="none"/>
              </w:rPr>
              <w:t xml:space="preserve"> River and Xiamen Bay regions, China</w:t>
            </w:r>
          </w:p>
        </w:tc>
        <w:tc>
          <w:tcPr>
            <w:tcW w:w="0" w:type="auto"/>
            <w:tcBorders>
              <w:top w:val="nil"/>
              <w:left w:val="nil"/>
              <w:bottom w:val="nil"/>
              <w:right w:val="nil"/>
            </w:tcBorders>
            <w:shd w:val="clear" w:color="auto" w:fill="auto"/>
            <w:noWrap/>
            <w:vAlign w:val="bottom"/>
            <w:hideMark/>
          </w:tcPr>
          <w:p w14:paraId="423E16B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3.9</w:t>
            </w:r>
          </w:p>
        </w:tc>
        <w:tc>
          <w:tcPr>
            <w:tcW w:w="0" w:type="auto"/>
            <w:tcBorders>
              <w:top w:val="nil"/>
              <w:left w:val="nil"/>
              <w:bottom w:val="nil"/>
              <w:right w:val="nil"/>
            </w:tcBorders>
            <w:shd w:val="clear" w:color="auto" w:fill="auto"/>
            <w:noWrap/>
            <w:vAlign w:val="bottom"/>
            <w:hideMark/>
          </w:tcPr>
          <w:p w14:paraId="62F9E9B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2.52</w:t>
            </w:r>
          </w:p>
        </w:tc>
        <w:tc>
          <w:tcPr>
            <w:tcW w:w="0" w:type="auto"/>
            <w:tcBorders>
              <w:top w:val="nil"/>
              <w:left w:val="nil"/>
              <w:bottom w:val="nil"/>
              <w:right w:val="nil"/>
            </w:tcBorders>
            <w:shd w:val="clear" w:color="auto" w:fill="auto"/>
            <w:noWrap/>
            <w:vAlign w:val="bottom"/>
            <w:hideMark/>
          </w:tcPr>
          <w:p w14:paraId="28888BD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c>
          <w:tcPr>
            <w:tcW w:w="0" w:type="auto"/>
            <w:tcBorders>
              <w:top w:val="nil"/>
              <w:left w:val="nil"/>
              <w:bottom w:val="nil"/>
              <w:right w:val="nil"/>
            </w:tcBorders>
            <w:shd w:val="clear" w:color="auto" w:fill="auto"/>
            <w:noWrap/>
            <w:vAlign w:val="bottom"/>
            <w:hideMark/>
          </w:tcPr>
          <w:p w14:paraId="1968A57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0.2</w:t>
            </w:r>
          </w:p>
        </w:tc>
        <w:tc>
          <w:tcPr>
            <w:tcW w:w="0" w:type="auto"/>
            <w:tcBorders>
              <w:top w:val="nil"/>
              <w:left w:val="nil"/>
              <w:bottom w:val="nil"/>
              <w:right w:val="nil"/>
            </w:tcBorders>
            <w:shd w:val="clear" w:color="auto" w:fill="auto"/>
            <w:noWrap/>
            <w:vAlign w:val="bottom"/>
            <w:hideMark/>
          </w:tcPr>
          <w:p w14:paraId="5E9FDC0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3.28</w:t>
            </w:r>
          </w:p>
        </w:tc>
        <w:tc>
          <w:tcPr>
            <w:tcW w:w="0" w:type="auto"/>
            <w:tcBorders>
              <w:top w:val="nil"/>
              <w:left w:val="nil"/>
              <w:bottom w:val="nil"/>
              <w:right w:val="nil"/>
            </w:tcBorders>
            <w:shd w:val="clear" w:color="auto" w:fill="auto"/>
            <w:noWrap/>
            <w:vAlign w:val="bottom"/>
            <w:hideMark/>
          </w:tcPr>
          <w:p w14:paraId="35C9F68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2C9B241E" w14:textId="77777777" w:rsidTr="00765B89">
        <w:trPr>
          <w:trHeight w:val="318"/>
        </w:trPr>
        <w:tc>
          <w:tcPr>
            <w:tcW w:w="2186" w:type="dxa"/>
            <w:tcBorders>
              <w:top w:val="nil"/>
              <w:left w:val="nil"/>
              <w:bottom w:val="nil"/>
              <w:right w:val="nil"/>
            </w:tcBorders>
            <w:shd w:val="clear" w:color="auto" w:fill="auto"/>
            <w:vAlign w:val="center"/>
            <w:hideMark/>
          </w:tcPr>
          <w:p w14:paraId="3F60D984"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Babayev et al., 2022</w:t>
            </w:r>
          </w:p>
        </w:tc>
        <w:tc>
          <w:tcPr>
            <w:tcW w:w="1710" w:type="dxa"/>
            <w:tcBorders>
              <w:top w:val="nil"/>
              <w:left w:val="nil"/>
              <w:bottom w:val="nil"/>
              <w:right w:val="nil"/>
            </w:tcBorders>
            <w:shd w:val="clear" w:color="auto" w:fill="auto"/>
            <w:vAlign w:val="center"/>
            <w:hideMark/>
          </w:tcPr>
          <w:p w14:paraId="01856E1B"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Drinking water</w:t>
            </w:r>
          </w:p>
        </w:tc>
        <w:tc>
          <w:tcPr>
            <w:tcW w:w="0" w:type="auto"/>
            <w:tcBorders>
              <w:top w:val="nil"/>
              <w:left w:val="nil"/>
              <w:bottom w:val="nil"/>
              <w:right w:val="nil"/>
            </w:tcBorders>
            <w:shd w:val="clear" w:color="auto" w:fill="auto"/>
            <w:vAlign w:val="center"/>
            <w:hideMark/>
          </w:tcPr>
          <w:p w14:paraId="76DDAA6B"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Southeast Alaska, United States</w:t>
            </w:r>
          </w:p>
        </w:tc>
        <w:tc>
          <w:tcPr>
            <w:tcW w:w="0" w:type="auto"/>
            <w:tcBorders>
              <w:top w:val="nil"/>
              <w:left w:val="nil"/>
              <w:bottom w:val="nil"/>
              <w:right w:val="nil"/>
            </w:tcBorders>
            <w:shd w:val="clear" w:color="auto" w:fill="auto"/>
            <w:noWrap/>
            <w:vAlign w:val="bottom"/>
            <w:hideMark/>
          </w:tcPr>
          <w:p w14:paraId="30DFB5F2"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0.64</w:t>
            </w:r>
          </w:p>
        </w:tc>
        <w:tc>
          <w:tcPr>
            <w:tcW w:w="0" w:type="auto"/>
            <w:tcBorders>
              <w:top w:val="nil"/>
              <w:left w:val="nil"/>
              <w:bottom w:val="nil"/>
              <w:right w:val="nil"/>
            </w:tcBorders>
            <w:shd w:val="clear" w:color="auto" w:fill="auto"/>
            <w:noWrap/>
            <w:vAlign w:val="bottom"/>
            <w:hideMark/>
          </w:tcPr>
          <w:p w14:paraId="1153D9A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14.9</w:t>
            </w:r>
          </w:p>
        </w:tc>
        <w:tc>
          <w:tcPr>
            <w:tcW w:w="0" w:type="auto"/>
            <w:tcBorders>
              <w:top w:val="nil"/>
              <w:left w:val="nil"/>
              <w:bottom w:val="nil"/>
              <w:right w:val="nil"/>
            </w:tcBorders>
            <w:shd w:val="clear" w:color="auto" w:fill="auto"/>
            <w:noWrap/>
            <w:vAlign w:val="bottom"/>
            <w:hideMark/>
          </w:tcPr>
          <w:p w14:paraId="58D1EC9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0.02</w:t>
            </w:r>
          </w:p>
        </w:tc>
        <w:tc>
          <w:tcPr>
            <w:tcW w:w="0" w:type="auto"/>
            <w:tcBorders>
              <w:top w:val="nil"/>
              <w:left w:val="nil"/>
              <w:bottom w:val="nil"/>
              <w:right w:val="nil"/>
            </w:tcBorders>
            <w:shd w:val="clear" w:color="auto" w:fill="auto"/>
            <w:noWrap/>
            <w:vAlign w:val="bottom"/>
            <w:hideMark/>
          </w:tcPr>
          <w:p w14:paraId="086DCED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4.38</w:t>
            </w:r>
          </w:p>
        </w:tc>
        <w:tc>
          <w:tcPr>
            <w:tcW w:w="0" w:type="auto"/>
            <w:tcBorders>
              <w:top w:val="nil"/>
              <w:left w:val="nil"/>
              <w:bottom w:val="nil"/>
              <w:right w:val="nil"/>
            </w:tcBorders>
            <w:shd w:val="clear" w:color="auto" w:fill="auto"/>
            <w:noWrap/>
            <w:vAlign w:val="bottom"/>
            <w:hideMark/>
          </w:tcPr>
          <w:p w14:paraId="77A50F9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0.8</w:t>
            </w:r>
          </w:p>
        </w:tc>
        <w:tc>
          <w:tcPr>
            <w:tcW w:w="0" w:type="auto"/>
            <w:tcBorders>
              <w:top w:val="nil"/>
              <w:left w:val="nil"/>
              <w:bottom w:val="nil"/>
              <w:right w:val="nil"/>
            </w:tcBorders>
            <w:shd w:val="clear" w:color="auto" w:fill="auto"/>
            <w:noWrap/>
            <w:vAlign w:val="bottom"/>
            <w:hideMark/>
          </w:tcPr>
          <w:p w14:paraId="12539C2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151946CE" w14:textId="77777777" w:rsidTr="00765B89">
        <w:trPr>
          <w:trHeight w:val="318"/>
        </w:trPr>
        <w:tc>
          <w:tcPr>
            <w:tcW w:w="2186" w:type="dxa"/>
            <w:tcBorders>
              <w:top w:val="nil"/>
              <w:left w:val="nil"/>
              <w:bottom w:val="nil"/>
              <w:right w:val="nil"/>
            </w:tcBorders>
            <w:shd w:val="clear" w:color="auto" w:fill="auto"/>
            <w:vAlign w:val="center"/>
            <w:hideMark/>
          </w:tcPr>
          <w:p w14:paraId="56C56E76"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 xml:space="preserve"> Barber et al., 2023</w:t>
            </w:r>
          </w:p>
        </w:tc>
        <w:tc>
          <w:tcPr>
            <w:tcW w:w="1710" w:type="dxa"/>
            <w:tcBorders>
              <w:top w:val="nil"/>
              <w:left w:val="nil"/>
              <w:bottom w:val="nil"/>
              <w:right w:val="nil"/>
            </w:tcBorders>
            <w:shd w:val="clear" w:color="auto" w:fill="auto"/>
            <w:vAlign w:val="center"/>
            <w:hideMark/>
          </w:tcPr>
          <w:p w14:paraId="6F2B7D5B"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Groundwater</w:t>
            </w:r>
          </w:p>
        </w:tc>
        <w:tc>
          <w:tcPr>
            <w:tcW w:w="0" w:type="auto"/>
            <w:tcBorders>
              <w:top w:val="nil"/>
              <w:left w:val="nil"/>
              <w:bottom w:val="nil"/>
              <w:right w:val="nil"/>
            </w:tcBorders>
            <w:shd w:val="clear" w:color="auto" w:fill="auto"/>
            <w:vAlign w:val="center"/>
            <w:hideMark/>
          </w:tcPr>
          <w:p w14:paraId="7274F9C0"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Massachusetts, United States</w:t>
            </w:r>
          </w:p>
        </w:tc>
        <w:tc>
          <w:tcPr>
            <w:tcW w:w="0" w:type="auto"/>
            <w:tcBorders>
              <w:top w:val="nil"/>
              <w:left w:val="nil"/>
              <w:bottom w:val="nil"/>
              <w:right w:val="nil"/>
            </w:tcBorders>
            <w:shd w:val="clear" w:color="auto" w:fill="auto"/>
            <w:noWrap/>
            <w:vAlign w:val="bottom"/>
            <w:hideMark/>
          </w:tcPr>
          <w:p w14:paraId="0C9E37F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608.88</w:t>
            </w:r>
          </w:p>
        </w:tc>
        <w:tc>
          <w:tcPr>
            <w:tcW w:w="0" w:type="auto"/>
            <w:tcBorders>
              <w:top w:val="nil"/>
              <w:left w:val="nil"/>
              <w:bottom w:val="nil"/>
              <w:right w:val="nil"/>
            </w:tcBorders>
            <w:shd w:val="clear" w:color="auto" w:fill="auto"/>
            <w:noWrap/>
            <w:vAlign w:val="bottom"/>
            <w:hideMark/>
          </w:tcPr>
          <w:p w14:paraId="2CD5799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1342.33</w:t>
            </w:r>
          </w:p>
        </w:tc>
        <w:tc>
          <w:tcPr>
            <w:tcW w:w="0" w:type="auto"/>
            <w:tcBorders>
              <w:top w:val="nil"/>
              <w:left w:val="nil"/>
              <w:bottom w:val="nil"/>
              <w:right w:val="nil"/>
            </w:tcBorders>
            <w:shd w:val="clear" w:color="auto" w:fill="auto"/>
            <w:noWrap/>
            <w:vAlign w:val="bottom"/>
            <w:hideMark/>
          </w:tcPr>
          <w:p w14:paraId="14A54EB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18.11</w:t>
            </w:r>
          </w:p>
        </w:tc>
        <w:tc>
          <w:tcPr>
            <w:tcW w:w="0" w:type="auto"/>
            <w:tcBorders>
              <w:top w:val="nil"/>
              <w:left w:val="nil"/>
              <w:bottom w:val="nil"/>
              <w:right w:val="nil"/>
            </w:tcBorders>
            <w:shd w:val="clear" w:color="auto" w:fill="auto"/>
            <w:noWrap/>
            <w:vAlign w:val="bottom"/>
            <w:hideMark/>
          </w:tcPr>
          <w:p w14:paraId="24C8E42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751.75</w:t>
            </w:r>
          </w:p>
        </w:tc>
        <w:tc>
          <w:tcPr>
            <w:tcW w:w="0" w:type="auto"/>
            <w:tcBorders>
              <w:top w:val="nil"/>
              <w:left w:val="nil"/>
              <w:bottom w:val="nil"/>
              <w:right w:val="nil"/>
            </w:tcBorders>
            <w:shd w:val="clear" w:color="auto" w:fill="auto"/>
            <w:noWrap/>
            <w:vAlign w:val="bottom"/>
            <w:hideMark/>
          </w:tcPr>
          <w:p w14:paraId="49E5455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32.78</w:t>
            </w:r>
          </w:p>
        </w:tc>
        <w:tc>
          <w:tcPr>
            <w:tcW w:w="0" w:type="auto"/>
            <w:tcBorders>
              <w:top w:val="nil"/>
              <w:left w:val="nil"/>
              <w:bottom w:val="nil"/>
              <w:right w:val="nil"/>
            </w:tcBorders>
            <w:shd w:val="clear" w:color="auto" w:fill="auto"/>
            <w:noWrap/>
            <w:vAlign w:val="bottom"/>
            <w:hideMark/>
          </w:tcPr>
          <w:p w14:paraId="7BA21C0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77B7CE5E" w14:textId="77777777" w:rsidTr="00765B89">
        <w:trPr>
          <w:trHeight w:val="318"/>
        </w:trPr>
        <w:tc>
          <w:tcPr>
            <w:tcW w:w="2186" w:type="dxa"/>
            <w:tcBorders>
              <w:top w:val="nil"/>
              <w:left w:val="nil"/>
              <w:bottom w:val="nil"/>
              <w:right w:val="nil"/>
            </w:tcBorders>
            <w:shd w:val="clear" w:color="auto" w:fill="auto"/>
            <w:vAlign w:val="center"/>
            <w:hideMark/>
          </w:tcPr>
          <w:p w14:paraId="05BE0AC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proofErr w:type="spellStart"/>
            <w:r w:rsidRPr="00774ECD">
              <w:rPr>
                <w:rFonts w:ascii="Times New Roman" w:eastAsia="Times New Roman" w:hAnsi="Times New Roman" w:cs="Times New Roman"/>
                <w:color w:val="000000"/>
                <w:kern w:val="0"/>
                <w:sz w:val="24"/>
                <w:szCs w:val="24"/>
                <w14:ligatures w14:val="none"/>
              </w:rPr>
              <w:t>Björnsdotter</w:t>
            </w:r>
            <w:proofErr w:type="spellEnd"/>
            <w:r w:rsidRPr="00774ECD">
              <w:rPr>
                <w:rFonts w:ascii="Times New Roman" w:eastAsia="Times New Roman" w:hAnsi="Times New Roman" w:cs="Times New Roman"/>
                <w:color w:val="000000"/>
                <w:kern w:val="0"/>
                <w:sz w:val="24"/>
                <w:szCs w:val="24"/>
                <w14:ligatures w14:val="none"/>
              </w:rPr>
              <w:t xml:space="preserve"> et al., 2021</w:t>
            </w:r>
          </w:p>
        </w:tc>
        <w:tc>
          <w:tcPr>
            <w:tcW w:w="1710" w:type="dxa"/>
            <w:tcBorders>
              <w:top w:val="nil"/>
              <w:left w:val="nil"/>
              <w:bottom w:val="nil"/>
              <w:right w:val="nil"/>
            </w:tcBorders>
            <w:shd w:val="clear" w:color="auto" w:fill="auto"/>
            <w:vAlign w:val="center"/>
            <w:hideMark/>
          </w:tcPr>
          <w:p w14:paraId="66B13CA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snow</w:t>
            </w:r>
          </w:p>
        </w:tc>
        <w:tc>
          <w:tcPr>
            <w:tcW w:w="0" w:type="auto"/>
            <w:tcBorders>
              <w:top w:val="nil"/>
              <w:left w:val="nil"/>
              <w:bottom w:val="nil"/>
              <w:right w:val="nil"/>
            </w:tcBorders>
            <w:shd w:val="clear" w:color="auto" w:fill="auto"/>
            <w:vAlign w:val="center"/>
            <w:hideMark/>
          </w:tcPr>
          <w:p w14:paraId="386FC46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Svalbard &amp; Jan Mayen, Arctic Norway</w:t>
            </w:r>
          </w:p>
        </w:tc>
        <w:tc>
          <w:tcPr>
            <w:tcW w:w="0" w:type="auto"/>
            <w:tcBorders>
              <w:top w:val="nil"/>
              <w:left w:val="nil"/>
              <w:bottom w:val="nil"/>
              <w:right w:val="nil"/>
            </w:tcBorders>
            <w:shd w:val="clear" w:color="auto" w:fill="auto"/>
            <w:noWrap/>
            <w:vAlign w:val="bottom"/>
            <w:hideMark/>
          </w:tcPr>
          <w:p w14:paraId="32CD998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c>
          <w:tcPr>
            <w:tcW w:w="0" w:type="auto"/>
            <w:tcBorders>
              <w:top w:val="nil"/>
              <w:left w:val="nil"/>
              <w:bottom w:val="nil"/>
              <w:right w:val="nil"/>
            </w:tcBorders>
            <w:shd w:val="clear" w:color="auto" w:fill="auto"/>
            <w:noWrap/>
            <w:vAlign w:val="bottom"/>
            <w:hideMark/>
          </w:tcPr>
          <w:p w14:paraId="148887A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c>
          <w:tcPr>
            <w:tcW w:w="0" w:type="auto"/>
            <w:tcBorders>
              <w:top w:val="nil"/>
              <w:left w:val="nil"/>
              <w:bottom w:val="nil"/>
              <w:right w:val="nil"/>
            </w:tcBorders>
            <w:shd w:val="clear" w:color="auto" w:fill="auto"/>
            <w:noWrap/>
            <w:vAlign w:val="bottom"/>
            <w:hideMark/>
          </w:tcPr>
          <w:p w14:paraId="54C995F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c>
          <w:tcPr>
            <w:tcW w:w="0" w:type="auto"/>
            <w:tcBorders>
              <w:top w:val="nil"/>
              <w:left w:val="nil"/>
              <w:bottom w:val="nil"/>
              <w:right w:val="nil"/>
            </w:tcBorders>
            <w:shd w:val="clear" w:color="auto" w:fill="auto"/>
            <w:noWrap/>
            <w:vAlign w:val="bottom"/>
            <w:hideMark/>
          </w:tcPr>
          <w:p w14:paraId="548B25A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c>
          <w:tcPr>
            <w:tcW w:w="0" w:type="auto"/>
            <w:tcBorders>
              <w:top w:val="nil"/>
              <w:left w:val="nil"/>
              <w:bottom w:val="nil"/>
              <w:right w:val="nil"/>
            </w:tcBorders>
            <w:shd w:val="clear" w:color="auto" w:fill="auto"/>
            <w:noWrap/>
            <w:vAlign w:val="bottom"/>
            <w:hideMark/>
          </w:tcPr>
          <w:p w14:paraId="7931753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0.54</w:t>
            </w:r>
          </w:p>
        </w:tc>
        <w:tc>
          <w:tcPr>
            <w:tcW w:w="0" w:type="auto"/>
            <w:tcBorders>
              <w:top w:val="nil"/>
              <w:left w:val="nil"/>
              <w:bottom w:val="nil"/>
              <w:right w:val="nil"/>
            </w:tcBorders>
            <w:shd w:val="clear" w:color="auto" w:fill="auto"/>
            <w:noWrap/>
            <w:vAlign w:val="bottom"/>
            <w:hideMark/>
          </w:tcPr>
          <w:p w14:paraId="796A226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75A36991" w14:textId="77777777" w:rsidTr="00765B89">
        <w:trPr>
          <w:trHeight w:val="318"/>
        </w:trPr>
        <w:tc>
          <w:tcPr>
            <w:tcW w:w="2186" w:type="dxa"/>
            <w:tcBorders>
              <w:top w:val="nil"/>
              <w:left w:val="nil"/>
              <w:bottom w:val="nil"/>
              <w:right w:val="nil"/>
            </w:tcBorders>
            <w:shd w:val="clear" w:color="auto" w:fill="auto"/>
            <w:vAlign w:val="center"/>
            <w:hideMark/>
          </w:tcPr>
          <w:p w14:paraId="6174E87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proofErr w:type="spellStart"/>
            <w:r w:rsidRPr="00774ECD">
              <w:rPr>
                <w:rFonts w:ascii="Times New Roman" w:eastAsia="Times New Roman" w:hAnsi="Times New Roman" w:cs="Times New Roman"/>
                <w:color w:val="000000"/>
                <w:kern w:val="0"/>
                <w:sz w:val="24"/>
                <w:szCs w:val="24"/>
                <w14:ligatures w14:val="none"/>
              </w:rPr>
              <w:t>Cáñez</w:t>
            </w:r>
            <w:proofErr w:type="spellEnd"/>
            <w:r w:rsidRPr="00774ECD">
              <w:rPr>
                <w:rFonts w:ascii="Times New Roman" w:eastAsia="Times New Roman" w:hAnsi="Times New Roman" w:cs="Times New Roman"/>
                <w:color w:val="000000"/>
                <w:kern w:val="0"/>
                <w:sz w:val="24"/>
                <w:szCs w:val="24"/>
                <w14:ligatures w14:val="none"/>
              </w:rPr>
              <w:t xml:space="preserve"> et al., 2021</w:t>
            </w:r>
          </w:p>
        </w:tc>
        <w:tc>
          <w:tcPr>
            <w:tcW w:w="1710" w:type="dxa"/>
            <w:tcBorders>
              <w:top w:val="nil"/>
              <w:left w:val="nil"/>
              <w:bottom w:val="nil"/>
              <w:right w:val="nil"/>
            </w:tcBorders>
            <w:shd w:val="clear" w:color="auto" w:fill="auto"/>
            <w:vAlign w:val="center"/>
            <w:hideMark/>
          </w:tcPr>
          <w:p w14:paraId="5D06912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Groundwater</w:t>
            </w:r>
          </w:p>
        </w:tc>
        <w:tc>
          <w:tcPr>
            <w:tcW w:w="0" w:type="auto"/>
            <w:tcBorders>
              <w:top w:val="nil"/>
              <w:left w:val="nil"/>
              <w:bottom w:val="nil"/>
              <w:right w:val="nil"/>
            </w:tcBorders>
            <w:shd w:val="clear" w:color="auto" w:fill="auto"/>
            <w:vAlign w:val="center"/>
            <w:hideMark/>
          </w:tcPr>
          <w:p w14:paraId="5FFBEF18" w14:textId="77777777" w:rsidR="001867FE" w:rsidRPr="00774ECD" w:rsidRDefault="001867FE" w:rsidP="00416F34">
            <w:pPr>
              <w:spacing w:after="0" w:line="240" w:lineRule="auto"/>
              <w:jc w:val="center"/>
              <w:rPr>
                <w:rFonts w:ascii="Times New Roman" w:eastAsia="Times New Roman" w:hAnsi="Times New Roman" w:cs="Times New Roman"/>
                <w:color w:val="1F1F1F"/>
                <w:kern w:val="0"/>
                <w:sz w:val="24"/>
                <w:szCs w:val="24"/>
                <w14:ligatures w14:val="none"/>
              </w:rPr>
            </w:pPr>
            <w:r w:rsidRPr="00774ECD">
              <w:rPr>
                <w:rFonts w:ascii="Times New Roman" w:eastAsia="Times New Roman" w:hAnsi="Times New Roman" w:cs="Times New Roman"/>
                <w:color w:val="1F1F1F"/>
                <w:kern w:val="0"/>
                <w:sz w:val="24"/>
                <w:szCs w:val="24"/>
                <w14:ligatures w14:val="none"/>
              </w:rPr>
              <w:t>Arizona, United States</w:t>
            </w:r>
          </w:p>
        </w:tc>
        <w:tc>
          <w:tcPr>
            <w:tcW w:w="0" w:type="auto"/>
            <w:tcBorders>
              <w:top w:val="nil"/>
              <w:left w:val="nil"/>
              <w:bottom w:val="nil"/>
              <w:right w:val="nil"/>
            </w:tcBorders>
            <w:shd w:val="clear" w:color="auto" w:fill="auto"/>
            <w:noWrap/>
            <w:vAlign w:val="bottom"/>
            <w:hideMark/>
          </w:tcPr>
          <w:p w14:paraId="5F1048B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0.02</w:t>
            </w:r>
          </w:p>
        </w:tc>
        <w:tc>
          <w:tcPr>
            <w:tcW w:w="0" w:type="auto"/>
            <w:tcBorders>
              <w:top w:val="nil"/>
              <w:left w:val="nil"/>
              <w:bottom w:val="nil"/>
              <w:right w:val="nil"/>
            </w:tcBorders>
            <w:shd w:val="clear" w:color="auto" w:fill="auto"/>
            <w:noWrap/>
            <w:vAlign w:val="bottom"/>
            <w:hideMark/>
          </w:tcPr>
          <w:p w14:paraId="0EC20B3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0.09</w:t>
            </w:r>
          </w:p>
        </w:tc>
        <w:tc>
          <w:tcPr>
            <w:tcW w:w="0" w:type="auto"/>
            <w:tcBorders>
              <w:top w:val="nil"/>
              <w:left w:val="nil"/>
              <w:bottom w:val="nil"/>
              <w:right w:val="nil"/>
            </w:tcBorders>
            <w:shd w:val="clear" w:color="auto" w:fill="auto"/>
            <w:noWrap/>
            <w:vAlign w:val="bottom"/>
            <w:hideMark/>
          </w:tcPr>
          <w:p w14:paraId="45341C8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0.007</w:t>
            </w:r>
          </w:p>
        </w:tc>
        <w:tc>
          <w:tcPr>
            <w:tcW w:w="0" w:type="auto"/>
            <w:tcBorders>
              <w:top w:val="nil"/>
              <w:left w:val="nil"/>
              <w:bottom w:val="nil"/>
              <w:right w:val="nil"/>
            </w:tcBorders>
            <w:shd w:val="clear" w:color="auto" w:fill="auto"/>
            <w:noWrap/>
            <w:vAlign w:val="bottom"/>
            <w:hideMark/>
          </w:tcPr>
          <w:p w14:paraId="7B3877E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0.02</w:t>
            </w:r>
          </w:p>
        </w:tc>
        <w:tc>
          <w:tcPr>
            <w:tcW w:w="0" w:type="auto"/>
            <w:tcBorders>
              <w:top w:val="nil"/>
              <w:left w:val="nil"/>
              <w:bottom w:val="nil"/>
              <w:right w:val="nil"/>
            </w:tcBorders>
            <w:shd w:val="clear" w:color="auto" w:fill="auto"/>
            <w:noWrap/>
            <w:vAlign w:val="bottom"/>
            <w:hideMark/>
          </w:tcPr>
          <w:p w14:paraId="405CF6F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0.011</w:t>
            </w:r>
          </w:p>
        </w:tc>
        <w:tc>
          <w:tcPr>
            <w:tcW w:w="0" w:type="auto"/>
            <w:tcBorders>
              <w:top w:val="nil"/>
              <w:left w:val="nil"/>
              <w:bottom w:val="nil"/>
              <w:right w:val="nil"/>
            </w:tcBorders>
            <w:shd w:val="clear" w:color="auto" w:fill="auto"/>
            <w:noWrap/>
            <w:vAlign w:val="bottom"/>
            <w:hideMark/>
          </w:tcPr>
          <w:p w14:paraId="497A588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202552FF" w14:textId="77777777" w:rsidTr="00765B89">
        <w:trPr>
          <w:trHeight w:val="318"/>
        </w:trPr>
        <w:tc>
          <w:tcPr>
            <w:tcW w:w="2186" w:type="dxa"/>
            <w:tcBorders>
              <w:top w:val="nil"/>
              <w:left w:val="nil"/>
              <w:bottom w:val="nil"/>
              <w:right w:val="nil"/>
            </w:tcBorders>
            <w:shd w:val="clear" w:color="auto" w:fill="auto"/>
            <w:vAlign w:val="center"/>
            <w:hideMark/>
          </w:tcPr>
          <w:p w14:paraId="1915CBCD" w14:textId="77777777" w:rsidR="001867FE" w:rsidRPr="00774ECD" w:rsidRDefault="001867FE" w:rsidP="00416F34">
            <w:pPr>
              <w:spacing w:after="0" w:line="240" w:lineRule="auto"/>
              <w:jc w:val="center"/>
              <w:rPr>
                <w:rFonts w:ascii="Times New Roman" w:eastAsia="Times New Roman" w:hAnsi="Times New Roman" w:cs="Times New Roman"/>
                <w:color w:val="1F1F1F"/>
                <w:kern w:val="0"/>
                <w:sz w:val="24"/>
                <w:szCs w:val="24"/>
                <w14:ligatures w14:val="none"/>
              </w:rPr>
            </w:pPr>
            <w:r w:rsidRPr="00774ECD">
              <w:rPr>
                <w:rFonts w:ascii="Times New Roman" w:eastAsia="Times New Roman" w:hAnsi="Times New Roman" w:cs="Times New Roman"/>
                <w:color w:val="1F1F1F"/>
                <w:kern w:val="0"/>
                <w:sz w:val="24"/>
                <w:szCs w:val="24"/>
                <w14:ligatures w14:val="none"/>
              </w:rPr>
              <w:t xml:space="preserve"> Christie et al., 2023</w:t>
            </w:r>
          </w:p>
        </w:tc>
        <w:tc>
          <w:tcPr>
            <w:tcW w:w="1710" w:type="dxa"/>
            <w:tcBorders>
              <w:top w:val="nil"/>
              <w:left w:val="nil"/>
              <w:bottom w:val="nil"/>
              <w:right w:val="nil"/>
            </w:tcBorders>
            <w:shd w:val="clear" w:color="auto" w:fill="auto"/>
            <w:vAlign w:val="center"/>
            <w:hideMark/>
          </w:tcPr>
          <w:p w14:paraId="74382F2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Groundwater</w:t>
            </w:r>
          </w:p>
        </w:tc>
        <w:tc>
          <w:tcPr>
            <w:tcW w:w="0" w:type="auto"/>
            <w:tcBorders>
              <w:top w:val="nil"/>
              <w:left w:val="nil"/>
              <w:bottom w:val="nil"/>
              <w:right w:val="nil"/>
            </w:tcBorders>
            <w:shd w:val="clear" w:color="auto" w:fill="auto"/>
            <w:vAlign w:val="center"/>
            <w:hideMark/>
          </w:tcPr>
          <w:p w14:paraId="2A7576B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Military Bases, United States</w:t>
            </w:r>
          </w:p>
        </w:tc>
        <w:tc>
          <w:tcPr>
            <w:tcW w:w="0" w:type="auto"/>
            <w:tcBorders>
              <w:top w:val="nil"/>
              <w:left w:val="nil"/>
              <w:bottom w:val="nil"/>
              <w:right w:val="nil"/>
            </w:tcBorders>
            <w:shd w:val="clear" w:color="auto" w:fill="auto"/>
            <w:noWrap/>
            <w:vAlign w:val="bottom"/>
            <w:hideMark/>
          </w:tcPr>
          <w:p w14:paraId="7757D6B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289</w:t>
            </w:r>
          </w:p>
        </w:tc>
        <w:tc>
          <w:tcPr>
            <w:tcW w:w="0" w:type="auto"/>
            <w:tcBorders>
              <w:top w:val="nil"/>
              <w:left w:val="nil"/>
              <w:bottom w:val="nil"/>
              <w:right w:val="nil"/>
            </w:tcBorders>
            <w:shd w:val="clear" w:color="auto" w:fill="auto"/>
            <w:noWrap/>
            <w:vAlign w:val="bottom"/>
            <w:hideMark/>
          </w:tcPr>
          <w:p w14:paraId="7FD4357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1925.5</w:t>
            </w:r>
          </w:p>
        </w:tc>
        <w:tc>
          <w:tcPr>
            <w:tcW w:w="0" w:type="auto"/>
            <w:tcBorders>
              <w:top w:val="nil"/>
              <w:left w:val="nil"/>
              <w:bottom w:val="nil"/>
              <w:right w:val="nil"/>
            </w:tcBorders>
            <w:shd w:val="clear" w:color="auto" w:fill="auto"/>
            <w:noWrap/>
            <w:vAlign w:val="bottom"/>
            <w:hideMark/>
          </w:tcPr>
          <w:p w14:paraId="0B1314A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ND</w:t>
            </w:r>
          </w:p>
        </w:tc>
        <w:tc>
          <w:tcPr>
            <w:tcW w:w="0" w:type="auto"/>
            <w:tcBorders>
              <w:top w:val="nil"/>
              <w:left w:val="nil"/>
              <w:bottom w:val="nil"/>
              <w:right w:val="nil"/>
            </w:tcBorders>
            <w:shd w:val="clear" w:color="auto" w:fill="auto"/>
            <w:noWrap/>
            <w:vAlign w:val="bottom"/>
            <w:hideMark/>
          </w:tcPr>
          <w:p w14:paraId="760D2EF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140</w:t>
            </w:r>
          </w:p>
        </w:tc>
        <w:tc>
          <w:tcPr>
            <w:tcW w:w="0" w:type="auto"/>
            <w:tcBorders>
              <w:top w:val="nil"/>
              <w:left w:val="nil"/>
              <w:bottom w:val="nil"/>
              <w:right w:val="nil"/>
            </w:tcBorders>
            <w:shd w:val="clear" w:color="auto" w:fill="auto"/>
            <w:noWrap/>
            <w:vAlign w:val="bottom"/>
            <w:hideMark/>
          </w:tcPr>
          <w:p w14:paraId="72CF150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ND</w:t>
            </w:r>
          </w:p>
        </w:tc>
        <w:tc>
          <w:tcPr>
            <w:tcW w:w="0" w:type="auto"/>
            <w:tcBorders>
              <w:top w:val="nil"/>
              <w:left w:val="nil"/>
              <w:bottom w:val="nil"/>
              <w:right w:val="nil"/>
            </w:tcBorders>
            <w:shd w:val="clear" w:color="auto" w:fill="auto"/>
            <w:noWrap/>
            <w:vAlign w:val="bottom"/>
            <w:hideMark/>
          </w:tcPr>
          <w:p w14:paraId="0D66144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ND</w:t>
            </w:r>
          </w:p>
        </w:tc>
      </w:tr>
      <w:tr w:rsidR="00E27DA3" w:rsidRPr="00774ECD" w14:paraId="0542F8A2" w14:textId="77777777" w:rsidTr="00765B89">
        <w:trPr>
          <w:trHeight w:val="318"/>
        </w:trPr>
        <w:tc>
          <w:tcPr>
            <w:tcW w:w="2186" w:type="dxa"/>
            <w:tcBorders>
              <w:top w:val="nil"/>
              <w:left w:val="nil"/>
              <w:bottom w:val="nil"/>
              <w:right w:val="nil"/>
            </w:tcBorders>
            <w:shd w:val="clear" w:color="auto" w:fill="auto"/>
            <w:vAlign w:val="center"/>
            <w:hideMark/>
          </w:tcPr>
          <w:p w14:paraId="52EDBAA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da Silva et al., 2022</w:t>
            </w:r>
          </w:p>
        </w:tc>
        <w:tc>
          <w:tcPr>
            <w:tcW w:w="1710" w:type="dxa"/>
            <w:tcBorders>
              <w:top w:val="nil"/>
              <w:left w:val="nil"/>
              <w:bottom w:val="nil"/>
              <w:right w:val="nil"/>
            </w:tcBorders>
            <w:shd w:val="clear" w:color="auto" w:fill="auto"/>
            <w:vAlign w:val="center"/>
            <w:hideMark/>
          </w:tcPr>
          <w:p w14:paraId="051DA2F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5D015D2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 xml:space="preserve">Florida, United States </w:t>
            </w:r>
          </w:p>
        </w:tc>
        <w:tc>
          <w:tcPr>
            <w:tcW w:w="0" w:type="auto"/>
            <w:tcBorders>
              <w:top w:val="nil"/>
              <w:left w:val="nil"/>
              <w:bottom w:val="nil"/>
              <w:right w:val="nil"/>
            </w:tcBorders>
            <w:shd w:val="clear" w:color="auto" w:fill="auto"/>
            <w:noWrap/>
            <w:vAlign w:val="bottom"/>
            <w:hideMark/>
          </w:tcPr>
          <w:p w14:paraId="185EA9C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0.24</w:t>
            </w:r>
          </w:p>
        </w:tc>
        <w:tc>
          <w:tcPr>
            <w:tcW w:w="0" w:type="auto"/>
            <w:tcBorders>
              <w:top w:val="nil"/>
              <w:left w:val="nil"/>
              <w:bottom w:val="nil"/>
              <w:right w:val="nil"/>
            </w:tcBorders>
            <w:shd w:val="clear" w:color="auto" w:fill="auto"/>
            <w:noWrap/>
            <w:vAlign w:val="bottom"/>
            <w:hideMark/>
          </w:tcPr>
          <w:p w14:paraId="02A5367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10.4</w:t>
            </w:r>
          </w:p>
        </w:tc>
        <w:tc>
          <w:tcPr>
            <w:tcW w:w="0" w:type="auto"/>
            <w:tcBorders>
              <w:top w:val="nil"/>
              <w:left w:val="nil"/>
              <w:bottom w:val="nil"/>
              <w:right w:val="nil"/>
            </w:tcBorders>
            <w:shd w:val="clear" w:color="auto" w:fill="auto"/>
            <w:noWrap/>
            <w:vAlign w:val="bottom"/>
            <w:hideMark/>
          </w:tcPr>
          <w:p w14:paraId="1727BCB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0.37</w:t>
            </w:r>
          </w:p>
        </w:tc>
        <w:tc>
          <w:tcPr>
            <w:tcW w:w="0" w:type="auto"/>
            <w:tcBorders>
              <w:top w:val="nil"/>
              <w:left w:val="nil"/>
              <w:bottom w:val="nil"/>
              <w:right w:val="nil"/>
            </w:tcBorders>
            <w:shd w:val="clear" w:color="auto" w:fill="auto"/>
            <w:noWrap/>
            <w:vAlign w:val="bottom"/>
            <w:hideMark/>
          </w:tcPr>
          <w:p w14:paraId="6A7F7C8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3.04</w:t>
            </w:r>
          </w:p>
        </w:tc>
        <w:tc>
          <w:tcPr>
            <w:tcW w:w="0" w:type="auto"/>
            <w:tcBorders>
              <w:top w:val="nil"/>
              <w:left w:val="nil"/>
              <w:bottom w:val="nil"/>
              <w:right w:val="nil"/>
            </w:tcBorders>
            <w:shd w:val="clear" w:color="auto" w:fill="auto"/>
            <w:noWrap/>
            <w:vAlign w:val="bottom"/>
            <w:hideMark/>
          </w:tcPr>
          <w:p w14:paraId="37D8C21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1.15</w:t>
            </w:r>
          </w:p>
        </w:tc>
        <w:tc>
          <w:tcPr>
            <w:tcW w:w="0" w:type="auto"/>
            <w:tcBorders>
              <w:top w:val="nil"/>
              <w:left w:val="nil"/>
              <w:bottom w:val="nil"/>
              <w:right w:val="nil"/>
            </w:tcBorders>
            <w:shd w:val="clear" w:color="auto" w:fill="auto"/>
            <w:noWrap/>
            <w:vAlign w:val="bottom"/>
            <w:hideMark/>
          </w:tcPr>
          <w:p w14:paraId="119B136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60529B05" w14:textId="77777777" w:rsidTr="00765B89">
        <w:trPr>
          <w:trHeight w:val="318"/>
        </w:trPr>
        <w:tc>
          <w:tcPr>
            <w:tcW w:w="2186" w:type="dxa"/>
            <w:tcBorders>
              <w:top w:val="nil"/>
              <w:left w:val="nil"/>
              <w:bottom w:val="nil"/>
              <w:right w:val="nil"/>
            </w:tcBorders>
            <w:shd w:val="clear" w:color="auto" w:fill="auto"/>
            <w:vAlign w:val="center"/>
            <w:hideMark/>
          </w:tcPr>
          <w:p w14:paraId="75491F8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proofErr w:type="spellStart"/>
            <w:r w:rsidRPr="00774ECD">
              <w:rPr>
                <w:rFonts w:ascii="Times New Roman" w:eastAsia="Times New Roman" w:hAnsi="Times New Roman" w:cs="Times New Roman"/>
                <w:color w:val="000000"/>
                <w:kern w:val="0"/>
                <w:sz w:val="24"/>
                <w:szCs w:val="24"/>
                <w14:ligatures w14:val="none"/>
              </w:rPr>
              <w:t>Desgens</w:t>
            </w:r>
            <w:proofErr w:type="spellEnd"/>
            <w:r w:rsidRPr="00774ECD">
              <w:rPr>
                <w:rFonts w:ascii="Times New Roman" w:eastAsia="Times New Roman" w:hAnsi="Times New Roman" w:cs="Times New Roman"/>
                <w:color w:val="000000"/>
                <w:kern w:val="0"/>
                <w:sz w:val="24"/>
                <w:szCs w:val="24"/>
                <w14:ligatures w14:val="none"/>
              </w:rPr>
              <w:t>-Martin et al., 2023</w:t>
            </w:r>
          </w:p>
        </w:tc>
        <w:tc>
          <w:tcPr>
            <w:tcW w:w="1710" w:type="dxa"/>
            <w:tcBorders>
              <w:top w:val="nil"/>
              <w:left w:val="nil"/>
              <w:bottom w:val="nil"/>
              <w:right w:val="nil"/>
            </w:tcBorders>
            <w:shd w:val="clear" w:color="auto" w:fill="auto"/>
            <w:vAlign w:val="center"/>
            <w:hideMark/>
          </w:tcPr>
          <w:p w14:paraId="114ADB6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7FD0C1B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California, United States</w:t>
            </w:r>
          </w:p>
        </w:tc>
        <w:tc>
          <w:tcPr>
            <w:tcW w:w="0" w:type="auto"/>
            <w:tcBorders>
              <w:top w:val="nil"/>
              <w:left w:val="nil"/>
              <w:bottom w:val="nil"/>
              <w:right w:val="nil"/>
            </w:tcBorders>
            <w:shd w:val="clear" w:color="auto" w:fill="auto"/>
            <w:noWrap/>
            <w:vAlign w:val="bottom"/>
            <w:hideMark/>
          </w:tcPr>
          <w:p w14:paraId="06A51AA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104.84</w:t>
            </w:r>
          </w:p>
        </w:tc>
        <w:tc>
          <w:tcPr>
            <w:tcW w:w="0" w:type="auto"/>
            <w:tcBorders>
              <w:top w:val="nil"/>
              <w:left w:val="nil"/>
              <w:bottom w:val="nil"/>
              <w:right w:val="nil"/>
            </w:tcBorders>
            <w:shd w:val="clear" w:color="auto" w:fill="auto"/>
            <w:noWrap/>
            <w:vAlign w:val="bottom"/>
            <w:hideMark/>
          </w:tcPr>
          <w:p w14:paraId="06FCF62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20.7</w:t>
            </w:r>
          </w:p>
        </w:tc>
        <w:tc>
          <w:tcPr>
            <w:tcW w:w="0" w:type="auto"/>
            <w:tcBorders>
              <w:top w:val="nil"/>
              <w:left w:val="nil"/>
              <w:bottom w:val="nil"/>
              <w:right w:val="nil"/>
            </w:tcBorders>
            <w:shd w:val="clear" w:color="auto" w:fill="auto"/>
            <w:noWrap/>
            <w:vAlign w:val="bottom"/>
            <w:hideMark/>
          </w:tcPr>
          <w:p w14:paraId="317BFC7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9.65</w:t>
            </w:r>
          </w:p>
        </w:tc>
        <w:tc>
          <w:tcPr>
            <w:tcW w:w="0" w:type="auto"/>
            <w:tcBorders>
              <w:top w:val="nil"/>
              <w:left w:val="nil"/>
              <w:bottom w:val="nil"/>
              <w:right w:val="nil"/>
            </w:tcBorders>
            <w:shd w:val="clear" w:color="auto" w:fill="auto"/>
            <w:noWrap/>
            <w:vAlign w:val="bottom"/>
            <w:hideMark/>
          </w:tcPr>
          <w:p w14:paraId="7C90B02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23.6</w:t>
            </w:r>
          </w:p>
        </w:tc>
        <w:tc>
          <w:tcPr>
            <w:tcW w:w="0" w:type="auto"/>
            <w:tcBorders>
              <w:top w:val="nil"/>
              <w:left w:val="nil"/>
              <w:bottom w:val="nil"/>
              <w:right w:val="nil"/>
            </w:tcBorders>
            <w:shd w:val="clear" w:color="auto" w:fill="auto"/>
            <w:noWrap/>
            <w:vAlign w:val="bottom"/>
            <w:hideMark/>
          </w:tcPr>
          <w:p w14:paraId="55C2A2F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73.78</w:t>
            </w:r>
          </w:p>
        </w:tc>
        <w:tc>
          <w:tcPr>
            <w:tcW w:w="0" w:type="auto"/>
            <w:tcBorders>
              <w:top w:val="nil"/>
              <w:left w:val="nil"/>
              <w:bottom w:val="nil"/>
              <w:right w:val="nil"/>
            </w:tcBorders>
            <w:shd w:val="clear" w:color="auto" w:fill="auto"/>
            <w:noWrap/>
            <w:vAlign w:val="bottom"/>
            <w:hideMark/>
          </w:tcPr>
          <w:p w14:paraId="26F356B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ND</w:t>
            </w:r>
          </w:p>
        </w:tc>
      </w:tr>
      <w:tr w:rsidR="00E27DA3" w:rsidRPr="00774ECD" w14:paraId="57584538" w14:textId="77777777" w:rsidTr="00765B89">
        <w:trPr>
          <w:trHeight w:val="318"/>
        </w:trPr>
        <w:tc>
          <w:tcPr>
            <w:tcW w:w="2186" w:type="dxa"/>
            <w:tcBorders>
              <w:top w:val="nil"/>
              <w:left w:val="nil"/>
              <w:bottom w:val="nil"/>
              <w:right w:val="nil"/>
            </w:tcBorders>
            <w:shd w:val="clear" w:color="auto" w:fill="auto"/>
            <w:vAlign w:val="center"/>
            <w:hideMark/>
          </w:tcPr>
          <w:p w14:paraId="5C12084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Feng et al., 2023</w:t>
            </w:r>
          </w:p>
        </w:tc>
        <w:tc>
          <w:tcPr>
            <w:tcW w:w="1710" w:type="dxa"/>
            <w:tcBorders>
              <w:top w:val="nil"/>
              <w:left w:val="nil"/>
              <w:bottom w:val="nil"/>
              <w:right w:val="nil"/>
            </w:tcBorders>
            <w:shd w:val="clear" w:color="auto" w:fill="auto"/>
            <w:vAlign w:val="center"/>
            <w:hideMark/>
          </w:tcPr>
          <w:p w14:paraId="3AD45021" w14:textId="77777777" w:rsidR="001867FE" w:rsidRPr="00774ECD" w:rsidRDefault="001867FE" w:rsidP="00416F34">
            <w:pPr>
              <w:spacing w:after="0" w:line="240" w:lineRule="auto"/>
              <w:jc w:val="center"/>
              <w:rPr>
                <w:rFonts w:ascii="Times New Roman" w:eastAsia="Times New Roman" w:hAnsi="Times New Roman" w:cs="Times New Roman"/>
                <w:color w:val="1F1F1F"/>
                <w:kern w:val="0"/>
                <w:sz w:val="24"/>
                <w:szCs w:val="24"/>
                <w14:ligatures w14:val="none"/>
              </w:rPr>
            </w:pPr>
            <w:r w:rsidRPr="00774ECD">
              <w:rPr>
                <w:rFonts w:ascii="Times New Roman" w:eastAsia="Times New Roman" w:hAnsi="Times New Roman" w:cs="Times New Roman"/>
                <w:color w:val="1F1F1F"/>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7E12CEA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Shandong province, Northern China</w:t>
            </w:r>
          </w:p>
        </w:tc>
        <w:tc>
          <w:tcPr>
            <w:tcW w:w="0" w:type="auto"/>
            <w:tcBorders>
              <w:top w:val="nil"/>
              <w:left w:val="nil"/>
              <w:bottom w:val="nil"/>
              <w:right w:val="nil"/>
            </w:tcBorders>
            <w:shd w:val="clear" w:color="auto" w:fill="auto"/>
            <w:noWrap/>
            <w:vAlign w:val="bottom"/>
            <w:hideMark/>
          </w:tcPr>
          <w:p w14:paraId="328E3C7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313874.97</w:t>
            </w:r>
          </w:p>
        </w:tc>
        <w:tc>
          <w:tcPr>
            <w:tcW w:w="0" w:type="auto"/>
            <w:tcBorders>
              <w:top w:val="nil"/>
              <w:left w:val="nil"/>
              <w:bottom w:val="nil"/>
              <w:right w:val="nil"/>
            </w:tcBorders>
            <w:shd w:val="clear" w:color="auto" w:fill="auto"/>
            <w:noWrap/>
            <w:vAlign w:val="bottom"/>
            <w:hideMark/>
          </w:tcPr>
          <w:p w14:paraId="15B1DDB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3.4</w:t>
            </w:r>
          </w:p>
        </w:tc>
        <w:tc>
          <w:tcPr>
            <w:tcW w:w="0" w:type="auto"/>
            <w:tcBorders>
              <w:top w:val="nil"/>
              <w:left w:val="nil"/>
              <w:bottom w:val="nil"/>
              <w:right w:val="nil"/>
            </w:tcBorders>
            <w:shd w:val="clear" w:color="auto" w:fill="auto"/>
            <w:noWrap/>
            <w:vAlign w:val="bottom"/>
            <w:hideMark/>
          </w:tcPr>
          <w:p w14:paraId="6393C2C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32</w:t>
            </w:r>
          </w:p>
        </w:tc>
        <w:tc>
          <w:tcPr>
            <w:tcW w:w="0" w:type="auto"/>
            <w:tcBorders>
              <w:top w:val="nil"/>
              <w:left w:val="nil"/>
              <w:bottom w:val="nil"/>
              <w:right w:val="nil"/>
            </w:tcBorders>
            <w:shd w:val="clear" w:color="auto" w:fill="auto"/>
            <w:noWrap/>
            <w:vAlign w:val="bottom"/>
            <w:hideMark/>
          </w:tcPr>
          <w:p w14:paraId="36A4D59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1.7</w:t>
            </w:r>
          </w:p>
        </w:tc>
        <w:tc>
          <w:tcPr>
            <w:tcW w:w="0" w:type="auto"/>
            <w:tcBorders>
              <w:top w:val="nil"/>
              <w:left w:val="nil"/>
              <w:bottom w:val="nil"/>
              <w:right w:val="nil"/>
            </w:tcBorders>
            <w:shd w:val="clear" w:color="auto" w:fill="auto"/>
            <w:noWrap/>
            <w:vAlign w:val="bottom"/>
            <w:hideMark/>
          </w:tcPr>
          <w:p w14:paraId="6CA3C92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3.24</w:t>
            </w:r>
          </w:p>
        </w:tc>
        <w:tc>
          <w:tcPr>
            <w:tcW w:w="0" w:type="auto"/>
            <w:tcBorders>
              <w:top w:val="nil"/>
              <w:left w:val="nil"/>
              <w:bottom w:val="nil"/>
              <w:right w:val="nil"/>
            </w:tcBorders>
            <w:shd w:val="clear" w:color="auto" w:fill="auto"/>
            <w:noWrap/>
            <w:vAlign w:val="bottom"/>
            <w:hideMark/>
          </w:tcPr>
          <w:p w14:paraId="6268538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4466.1</w:t>
            </w:r>
          </w:p>
        </w:tc>
      </w:tr>
      <w:tr w:rsidR="00E27DA3" w:rsidRPr="00774ECD" w14:paraId="33077D3D" w14:textId="77777777" w:rsidTr="00765B89">
        <w:trPr>
          <w:trHeight w:val="318"/>
        </w:trPr>
        <w:tc>
          <w:tcPr>
            <w:tcW w:w="2186" w:type="dxa"/>
            <w:tcBorders>
              <w:top w:val="nil"/>
              <w:left w:val="nil"/>
              <w:bottom w:val="nil"/>
              <w:right w:val="nil"/>
            </w:tcBorders>
            <w:shd w:val="clear" w:color="auto" w:fill="auto"/>
            <w:vAlign w:val="center"/>
            <w:hideMark/>
          </w:tcPr>
          <w:p w14:paraId="7064488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Katz et al., 2022</w:t>
            </w:r>
          </w:p>
        </w:tc>
        <w:tc>
          <w:tcPr>
            <w:tcW w:w="1710" w:type="dxa"/>
            <w:tcBorders>
              <w:top w:val="nil"/>
              <w:left w:val="nil"/>
              <w:bottom w:val="nil"/>
              <w:right w:val="nil"/>
            </w:tcBorders>
            <w:shd w:val="clear" w:color="auto" w:fill="auto"/>
            <w:vAlign w:val="center"/>
            <w:hideMark/>
          </w:tcPr>
          <w:p w14:paraId="523EBB4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4BA29B9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Rhode Island, United States</w:t>
            </w:r>
          </w:p>
        </w:tc>
        <w:tc>
          <w:tcPr>
            <w:tcW w:w="0" w:type="auto"/>
            <w:tcBorders>
              <w:top w:val="nil"/>
              <w:left w:val="nil"/>
              <w:bottom w:val="nil"/>
              <w:right w:val="nil"/>
            </w:tcBorders>
            <w:shd w:val="clear" w:color="auto" w:fill="auto"/>
            <w:noWrap/>
            <w:vAlign w:val="bottom"/>
            <w:hideMark/>
          </w:tcPr>
          <w:p w14:paraId="38377D5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w:t>
            </w:r>
          </w:p>
        </w:tc>
        <w:tc>
          <w:tcPr>
            <w:tcW w:w="0" w:type="auto"/>
            <w:tcBorders>
              <w:top w:val="nil"/>
              <w:left w:val="nil"/>
              <w:bottom w:val="nil"/>
              <w:right w:val="nil"/>
            </w:tcBorders>
            <w:shd w:val="clear" w:color="auto" w:fill="auto"/>
            <w:noWrap/>
            <w:vAlign w:val="bottom"/>
            <w:hideMark/>
          </w:tcPr>
          <w:p w14:paraId="43D0671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c>
          <w:tcPr>
            <w:tcW w:w="0" w:type="auto"/>
            <w:tcBorders>
              <w:top w:val="nil"/>
              <w:left w:val="nil"/>
              <w:bottom w:val="nil"/>
              <w:right w:val="nil"/>
            </w:tcBorders>
            <w:shd w:val="clear" w:color="auto" w:fill="auto"/>
            <w:noWrap/>
            <w:vAlign w:val="bottom"/>
            <w:hideMark/>
          </w:tcPr>
          <w:p w14:paraId="2D10D50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c>
          <w:tcPr>
            <w:tcW w:w="0" w:type="auto"/>
            <w:tcBorders>
              <w:top w:val="nil"/>
              <w:left w:val="nil"/>
              <w:bottom w:val="nil"/>
              <w:right w:val="nil"/>
            </w:tcBorders>
            <w:shd w:val="clear" w:color="auto" w:fill="auto"/>
            <w:noWrap/>
            <w:vAlign w:val="bottom"/>
            <w:hideMark/>
          </w:tcPr>
          <w:p w14:paraId="79C9FD7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w:t>
            </w:r>
          </w:p>
        </w:tc>
        <w:tc>
          <w:tcPr>
            <w:tcW w:w="0" w:type="auto"/>
            <w:tcBorders>
              <w:top w:val="nil"/>
              <w:left w:val="nil"/>
              <w:bottom w:val="nil"/>
              <w:right w:val="nil"/>
            </w:tcBorders>
            <w:shd w:val="clear" w:color="auto" w:fill="auto"/>
            <w:noWrap/>
            <w:vAlign w:val="bottom"/>
            <w:hideMark/>
          </w:tcPr>
          <w:p w14:paraId="550D520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0.3</w:t>
            </w:r>
          </w:p>
        </w:tc>
        <w:tc>
          <w:tcPr>
            <w:tcW w:w="0" w:type="auto"/>
            <w:tcBorders>
              <w:top w:val="nil"/>
              <w:left w:val="nil"/>
              <w:bottom w:val="nil"/>
              <w:right w:val="nil"/>
            </w:tcBorders>
            <w:shd w:val="clear" w:color="auto" w:fill="auto"/>
            <w:noWrap/>
            <w:vAlign w:val="bottom"/>
            <w:hideMark/>
          </w:tcPr>
          <w:p w14:paraId="7B10152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5180E716" w14:textId="77777777" w:rsidTr="00765B89">
        <w:trPr>
          <w:trHeight w:val="318"/>
        </w:trPr>
        <w:tc>
          <w:tcPr>
            <w:tcW w:w="2186" w:type="dxa"/>
            <w:tcBorders>
              <w:top w:val="nil"/>
              <w:left w:val="nil"/>
              <w:bottom w:val="nil"/>
              <w:right w:val="nil"/>
            </w:tcBorders>
            <w:shd w:val="clear" w:color="auto" w:fill="auto"/>
            <w:vAlign w:val="center"/>
            <w:hideMark/>
          </w:tcPr>
          <w:p w14:paraId="415C568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Khan et al., 2022</w:t>
            </w:r>
          </w:p>
        </w:tc>
        <w:tc>
          <w:tcPr>
            <w:tcW w:w="1710" w:type="dxa"/>
            <w:tcBorders>
              <w:top w:val="nil"/>
              <w:left w:val="nil"/>
              <w:bottom w:val="nil"/>
              <w:right w:val="nil"/>
            </w:tcBorders>
            <w:shd w:val="clear" w:color="auto" w:fill="auto"/>
            <w:vAlign w:val="center"/>
            <w:hideMark/>
          </w:tcPr>
          <w:p w14:paraId="0E6FD92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73E96BED" w14:textId="77777777" w:rsidR="001867FE" w:rsidRPr="00774ECD" w:rsidRDefault="001867FE" w:rsidP="00416F34">
            <w:pPr>
              <w:spacing w:after="0" w:line="240" w:lineRule="auto"/>
              <w:jc w:val="center"/>
              <w:rPr>
                <w:rFonts w:ascii="Times New Roman" w:eastAsia="Times New Roman" w:hAnsi="Times New Roman" w:cs="Times New Roman"/>
                <w:color w:val="1F1F1F"/>
                <w:kern w:val="0"/>
                <w:sz w:val="24"/>
                <w:szCs w:val="24"/>
                <w14:ligatures w14:val="none"/>
              </w:rPr>
            </w:pPr>
            <w:r w:rsidRPr="00774ECD">
              <w:rPr>
                <w:rFonts w:ascii="Times New Roman" w:eastAsia="Times New Roman" w:hAnsi="Times New Roman" w:cs="Times New Roman"/>
                <w:color w:val="1F1F1F"/>
                <w:kern w:val="0"/>
                <w:sz w:val="24"/>
                <w:szCs w:val="24"/>
                <w14:ligatures w14:val="none"/>
              </w:rPr>
              <w:t>Central river system, Pakistan</w:t>
            </w:r>
          </w:p>
        </w:tc>
        <w:tc>
          <w:tcPr>
            <w:tcW w:w="0" w:type="auto"/>
            <w:tcBorders>
              <w:top w:val="nil"/>
              <w:left w:val="nil"/>
              <w:bottom w:val="nil"/>
              <w:right w:val="nil"/>
            </w:tcBorders>
            <w:shd w:val="clear" w:color="auto" w:fill="auto"/>
            <w:noWrap/>
            <w:vAlign w:val="bottom"/>
            <w:hideMark/>
          </w:tcPr>
          <w:p w14:paraId="5CDE51F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6.1</w:t>
            </w:r>
          </w:p>
        </w:tc>
        <w:tc>
          <w:tcPr>
            <w:tcW w:w="0" w:type="auto"/>
            <w:tcBorders>
              <w:top w:val="nil"/>
              <w:left w:val="nil"/>
              <w:bottom w:val="nil"/>
              <w:right w:val="nil"/>
            </w:tcBorders>
            <w:shd w:val="clear" w:color="auto" w:fill="auto"/>
            <w:noWrap/>
            <w:vAlign w:val="bottom"/>
            <w:hideMark/>
          </w:tcPr>
          <w:p w14:paraId="57FC508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2.5</w:t>
            </w:r>
          </w:p>
        </w:tc>
        <w:tc>
          <w:tcPr>
            <w:tcW w:w="0" w:type="auto"/>
            <w:tcBorders>
              <w:top w:val="nil"/>
              <w:left w:val="nil"/>
              <w:bottom w:val="nil"/>
              <w:right w:val="nil"/>
            </w:tcBorders>
            <w:shd w:val="clear" w:color="auto" w:fill="auto"/>
            <w:noWrap/>
            <w:vAlign w:val="bottom"/>
            <w:hideMark/>
          </w:tcPr>
          <w:p w14:paraId="05A9D09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3.5</w:t>
            </w:r>
          </w:p>
        </w:tc>
        <w:tc>
          <w:tcPr>
            <w:tcW w:w="0" w:type="auto"/>
            <w:tcBorders>
              <w:top w:val="nil"/>
              <w:left w:val="nil"/>
              <w:bottom w:val="nil"/>
              <w:right w:val="nil"/>
            </w:tcBorders>
            <w:shd w:val="clear" w:color="auto" w:fill="auto"/>
            <w:noWrap/>
            <w:vAlign w:val="bottom"/>
            <w:hideMark/>
          </w:tcPr>
          <w:p w14:paraId="5EB3F54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2.22</w:t>
            </w:r>
          </w:p>
        </w:tc>
        <w:tc>
          <w:tcPr>
            <w:tcW w:w="0" w:type="auto"/>
            <w:tcBorders>
              <w:top w:val="nil"/>
              <w:left w:val="nil"/>
              <w:bottom w:val="nil"/>
              <w:right w:val="nil"/>
            </w:tcBorders>
            <w:shd w:val="clear" w:color="auto" w:fill="auto"/>
            <w:noWrap/>
            <w:vAlign w:val="bottom"/>
            <w:hideMark/>
          </w:tcPr>
          <w:p w14:paraId="38D5055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3.2</w:t>
            </w:r>
          </w:p>
        </w:tc>
        <w:tc>
          <w:tcPr>
            <w:tcW w:w="0" w:type="auto"/>
            <w:tcBorders>
              <w:top w:val="nil"/>
              <w:left w:val="nil"/>
              <w:bottom w:val="nil"/>
              <w:right w:val="nil"/>
            </w:tcBorders>
            <w:shd w:val="clear" w:color="auto" w:fill="auto"/>
            <w:noWrap/>
            <w:vAlign w:val="bottom"/>
            <w:hideMark/>
          </w:tcPr>
          <w:p w14:paraId="5F3A0FE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39B5B11B" w14:textId="77777777" w:rsidTr="00765B89">
        <w:trPr>
          <w:trHeight w:val="318"/>
        </w:trPr>
        <w:tc>
          <w:tcPr>
            <w:tcW w:w="2186" w:type="dxa"/>
            <w:tcBorders>
              <w:top w:val="nil"/>
              <w:left w:val="nil"/>
              <w:bottom w:val="nil"/>
              <w:right w:val="nil"/>
            </w:tcBorders>
            <w:shd w:val="clear" w:color="auto" w:fill="auto"/>
            <w:vAlign w:val="center"/>
            <w:hideMark/>
          </w:tcPr>
          <w:p w14:paraId="592E0C7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Liu et al., 2023</w:t>
            </w:r>
          </w:p>
        </w:tc>
        <w:tc>
          <w:tcPr>
            <w:tcW w:w="1710" w:type="dxa"/>
            <w:tcBorders>
              <w:top w:val="nil"/>
              <w:left w:val="nil"/>
              <w:bottom w:val="nil"/>
              <w:right w:val="nil"/>
            </w:tcBorders>
            <w:shd w:val="clear" w:color="auto" w:fill="auto"/>
            <w:vAlign w:val="center"/>
            <w:hideMark/>
          </w:tcPr>
          <w:p w14:paraId="56A1D48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drinking water</w:t>
            </w:r>
          </w:p>
        </w:tc>
        <w:tc>
          <w:tcPr>
            <w:tcW w:w="0" w:type="auto"/>
            <w:tcBorders>
              <w:top w:val="nil"/>
              <w:left w:val="nil"/>
              <w:bottom w:val="nil"/>
              <w:right w:val="nil"/>
            </w:tcBorders>
            <w:shd w:val="clear" w:color="auto" w:fill="auto"/>
            <w:vAlign w:val="center"/>
            <w:hideMark/>
          </w:tcPr>
          <w:p w14:paraId="1964077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Shandong Province, Eastern China</w:t>
            </w:r>
          </w:p>
        </w:tc>
        <w:tc>
          <w:tcPr>
            <w:tcW w:w="0" w:type="auto"/>
            <w:tcBorders>
              <w:top w:val="nil"/>
              <w:left w:val="nil"/>
              <w:bottom w:val="nil"/>
              <w:right w:val="nil"/>
            </w:tcBorders>
            <w:shd w:val="clear" w:color="auto" w:fill="auto"/>
            <w:noWrap/>
            <w:vAlign w:val="bottom"/>
            <w:hideMark/>
          </w:tcPr>
          <w:p w14:paraId="2D7ECC0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17.55</w:t>
            </w:r>
          </w:p>
        </w:tc>
        <w:tc>
          <w:tcPr>
            <w:tcW w:w="0" w:type="auto"/>
            <w:tcBorders>
              <w:top w:val="nil"/>
              <w:left w:val="nil"/>
              <w:bottom w:val="nil"/>
              <w:right w:val="nil"/>
            </w:tcBorders>
            <w:shd w:val="clear" w:color="auto" w:fill="auto"/>
            <w:noWrap/>
            <w:vAlign w:val="bottom"/>
            <w:hideMark/>
          </w:tcPr>
          <w:p w14:paraId="7464F43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1.5</w:t>
            </w:r>
          </w:p>
        </w:tc>
        <w:tc>
          <w:tcPr>
            <w:tcW w:w="0" w:type="auto"/>
            <w:tcBorders>
              <w:top w:val="nil"/>
              <w:left w:val="nil"/>
              <w:bottom w:val="nil"/>
              <w:right w:val="nil"/>
            </w:tcBorders>
            <w:shd w:val="clear" w:color="auto" w:fill="auto"/>
            <w:noWrap/>
            <w:vAlign w:val="bottom"/>
            <w:hideMark/>
          </w:tcPr>
          <w:p w14:paraId="5FF8CD9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0.65</w:t>
            </w:r>
          </w:p>
        </w:tc>
        <w:tc>
          <w:tcPr>
            <w:tcW w:w="0" w:type="auto"/>
            <w:tcBorders>
              <w:top w:val="nil"/>
              <w:left w:val="nil"/>
              <w:bottom w:val="nil"/>
              <w:right w:val="nil"/>
            </w:tcBorders>
            <w:shd w:val="clear" w:color="auto" w:fill="auto"/>
            <w:noWrap/>
            <w:vAlign w:val="bottom"/>
            <w:hideMark/>
          </w:tcPr>
          <w:p w14:paraId="66F5341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1.3</w:t>
            </w:r>
          </w:p>
        </w:tc>
        <w:tc>
          <w:tcPr>
            <w:tcW w:w="0" w:type="auto"/>
            <w:tcBorders>
              <w:top w:val="nil"/>
              <w:left w:val="nil"/>
              <w:bottom w:val="nil"/>
              <w:right w:val="nil"/>
            </w:tcBorders>
            <w:shd w:val="clear" w:color="auto" w:fill="auto"/>
            <w:noWrap/>
            <w:vAlign w:val="bottom"/>
            <w:hideMark/>
          </w:tcPr>
          <w:p w14:paraId="67DC1C5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1.77</w:t>
            </w:r>
          </w:p>
        </w:tc>
        <w:tc>
          <w:tcPr>
            <w:tcW w:w="0" w:type="auto"/>
            <w:tcBorders>
              <w:top w:val="nil"/>
              <w:left w:val="nil"/>
              <w:bottom w:val="nil"/>
              <w:right w:val="nil"/>
            </w:tcBorders>
            <w:shd w:val="clear" w:color="auto" w:fill="auto"/>
            <w:noWrap/>
            <w:vAlign w:val="bottom"/>
            <w:hideMark/>
          </w:tcPr>
          <w:p w14:paraId="0238021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55A19D06" w14:textId="77777777" w:rsidTr="00765B89">
        <w:trPr>
          <w:trHeight w:val="318"/>
        </w:trPr>
        <w:tc>
          <w:tcPr>
            <w:tcW w:w="2186" w:type="dxa"/>
            <w:tcBorders>
              <w:top w:val="nil"/>
              <w:left w:val="nil"/>
              <w:bottom w:val="nil"/>
              <w:right w:val="nil"/>
            </w:tcBorders>
            <w:shd w:val="clear" w:color="auto" w:fill="auto"/>
            <w:vAlign w:val="center"/>
            <w:hideMark/>
          </w:tcPr>
          <w:p w14:paraId="0A5836D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Liu et al., 2022</w:t>
            </w:r>
          </w:p>
        </w:tc>
        <w:tc>
          <w:tcPr>
            <w:tcW w:w="1710" w:type="dxa"/>
            <w:tcBorders>
              <w:top w:val="nil"/>
              <w:left w:val="nil"/>
              <w:bottom w:val="nil"/>
              <w:right w:val="nil"/>
            </w:tcBorders>
            <w:shd w:val="clear" w:color="auto" w:fill="auto"/>
            <w:vAlign w:val="center"/>
            <w:hideMark/>
          </w:tcPr>
          <w:p w14:paraId="753CEBB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Groundwater</w:t>
            </w:r>
          </w:p>
        </w:tc>
        <w:tc>
          <w:tcPr>
            <w:tcW w:w="0" w:type="auto"/>
            <w:tcBorders>
              <w:top w:val="nil"/>
              <w:left w:val="nil"/>
              <w:bottom w:val="nil"/>
              <w:right w:val="nil"/>
            </w:tcBorders>
            <w:shd w:val="clear" w:color="auto" w:fill="auto"/>
            <w:vAlign w:val="center"/>
            <w:hideMark/>
          </w:tcPr>
          <w:p w14:paraId="3D2C8162"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Central and Eastern Canada</w:t>
            </w:r>
          </w:p>
        </w:tc>
        <w:tc>
          <w:tcPr>
            <w:tcW w:w="0" w:type="auto"/>
            <w:tcBorders>
              <w:top w:val="nil"/>
              <w:left w:val="nil"/>
              <w:bottom w:val="nil"/>
              <w:right w:val="nil"/>
            </w:tcBorders>
            <w:shd w:val="clear" w:color="auto" w:fill="auto"/>
            <w:noWrap/>
            <w:vAlign w:val="bottom"/>
            <w:hideMark/>
          </w:tcPr>
          <w:p w14:paraId="6F6C70A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3500</w:t>
            </w:r>
          </w:p>
        </w:tc>
        <w:tc>
          <w:tcPr>
            <w:tcW w:w="0" w:type="auto"/>
            <w:tcBorders>
              <w:top w:val="nil"/>
              <w:left w:val="nil"/>
              <w:bottom w:val="nil"/>
              <w:right w:val="nil"/>
            </w:tcBorders>
            <w:shd w:val="clear" w:color="auto" w:fill="auto"/>
            <w:noWrap/>
            <w:vAlign w:val="bottom"/>
            <w:hideMark/>
          </w:tcPr>
          <w:p w14:paraId="2E29BD2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92300</w:t>
            </w:r>
          </w:p>
        </w:tc>
        <w:tc>
          <w:tcPr>
            <w:tcW w:w="0" w:type="auto"/>
            <w:tcBorders>
              <w:top w:val="nil"/>
              <w:left w:val="nil"/>
              <w:bottom w:val="nil"/>
              <w:right w:val="nil"/>
            </w:tcBorders>
            <w:shd w:val="clear" w:color="auto" w:fill="auto"/>
            <w:noWrap/>
            <w:vAlign w:val="bottom"/>
            <w:hideMark/>
          </w:tcPr>
          <w:p w14:paraId="1249A9E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500</w:t>
            </w:r>
          </w:p>
        </w:tc>
        <w:tc>
          <w:tcPr>
            <w:tcW w:w="0" w:type="auto"/>
            <w:tcBorders>
              <w:top w:val="nil"/>
              <w:left w:val="nil"/>
              <w:bottom w:val="nil"/>
              <w:right w:val="nil"/>
            </w:tcBorders>
            <w:shd w:val="clear" w:color="auto" w:fill="auto"/>
            <w:noWrap/>
            <w:vAlign w:val="bottom"/>
            <w:hideMark/>
          </w:tcPr>
          <w:p w14:paraId="2F06DF2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23700</w:t>
            </w:r>
          </w:p>
        </w:tc>
        <w:tc>
          <w:tcPr>
            <w:tcW w:w="0" w:type="auto"/>
            <w:tcBorders>
              <w:top w:val="nil"/>
              <w:left w:val="nil"/>
              <w:bottom w:val="nil"/>
              <w:right w:val="nil"/>
            </w:tcBorders>
            <w:shd w:val="clear" w:color="auto" w:fill="auto"/>
            <w:noWrap/>
            <w:vAlign w:val="bottom"/>
            <w:hideMark/>
          </w:tcPr>
          <w:p w14:paraId="35AAA5E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3200</w:t>
            </w:r>
          </w:p>
        </w:tc>
        <w:tc>
          <w:tcPr>
            <w:tcW w:w="0" w:type="auto"/>
            <w:tcBorders>
              <w:top w:val="nil"/>
              <w:left w:val="nil"/>
              <w:bottom w:val="nil"/>
              <w:right w:val="nil"/>
            </w:tcBorders>
            <w:shd w:val="clear" w:color="auto" w:fill="auto"/>
            <w:noWrap/>
            <w:vAlign w:val="bottom"/>
            <w:hideMark/>
          </w:tcPr>
          <w:p w14:paraId="6EABF34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03899D80" w14:textId="77777777" w:rsidTr="00765B89">
        <w:trPr>
          <w:trHeight w:val="318"/>
        </w:trPr>
        <w:tc>
          <w:tcPr>
            <w:tcW w:w="2186" w:type="dxa"/>
            <w:tcBorders>
              <w:top w:val="nil"/>
              <w:left w:val="nil"/>
              <w:bottom w:val="nil"/>
              <w:right w:val="nil"/>
            </w:tcBorders>
            <w:shd w:val="clear" w:color="auto" w:fill="auto"/>
            <w:vAlign w:val="center"/>
            <w:hideMark/>
          </w:tcPr>
          <w:p w14:paraId="3411D71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Liu et al., 2021</w:t>
            </w:r>
          </w:p>
        </w:tc>
        <w:tc>
          <w:tcPr>
            <w:tcW w:w="1710" w:type="dxa"/>
            <w:tcBorders>
              <w:top w:val="nil"/>
              <w:left w:val="nil"/>
              <w:bottom w:val="nil"/>
              <w:right w:val="nil"/>
            </w:tcBorders>
            <w:shd w:val="clear" w:color="auto" w:fill="auto"/>
            <w:vAlign w:val="center"/>
            <w:hideMark/>
          </w:tcPr>
          <w:p w14:paraId="2B75FE2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68A4D63E" w14:textId="77777777" w:rsidR="001867FE" w:rsidRPr="00774ECD" w:rsidRDefault="001867FE" w:rsidP="00416F34">
            <w:pPr>
              <w:spacing w:after="0" w:line="240" w:lineRule="auto"/>
              <w:jc w:val="center"/>
              <w:rPr>
                <w:rFonts w:ascii="Times New Roman" w:eastAsia="Times New Roman" w:hAnsi="Times New Roman" w:cs="Times New Roman"/>
                <w:color w:val="1F1F1F"/>
                <w:kern w:val="0"/>
                <w:sz w:val="24"/>
                <w:szCs w:val="24"/>
                <w14:ligatures w14:val="none"/>
              </w:rPr>
            </w:pPr>
            <w:r w:rsidRPr="00774ECD">
              <w:rPr>
                <w:rFonts w:ascii="Times New Roman" w:eastAsia="Times New Roman" w:hAnsi="Times New Roman" w:cs="Times New Roman"/>
                <w:color w:val="1F1F1F"/>
                <w:kern w:val="0"/>
                <w:sz w:val="24"/>
                <w:szCs w:val="24"/>
                <w14:ligatures w14:val="none"/>
              </w:rPr>
              <w:t xml:space="preserve">Yangtze River and </w:t>
            </w:r>
            <w:proofErr w:type="spellStart"/>
            <w:r w:rsidRPr="00774ECD">
              <w:rPr>
                <w:rFonts w:ascii="Times New Roman" w:eastAsia="Times New Roman" w:hAnsi="Times New Roman" w:cs="Times New Roman"/>
                <w:color w:val="1F1F1F"/>
                <w:kern w:val="0"/>
                <w:sz w:val="24"/>
                <w:szCs w:val="24"/>
                <w14:ligatures w14:val="none"/>
              </w:rPr>
              <w:t>Taihu</w:t>
            </w:r>
            <w:proofErr w:type="spellEnd"/>
            <w:r w:rsidRPr="00774ECD">
              <w:rPr>
                <w:rFonts w:ascii="Times New Roman" w:eastAsia="Times New Roman" w:hAnsi="Times New Roman" w:cs="Times New Roman"/>
                <w:color w:val="1F1F1F"/>
                <w:kern w:val="0"/>
                <w:sz w:val="24"/>
                <w:szCs w:val="24"/>
                <w14:ligatures w14:val="none"/>
              </w:rPr>
              <w:t xml:space="preserve"> Lake, China</w:t>
            </w:r>
          </w:p>
        </w:tc>
        <w:tc>
          <w:tcPr>
            <w:tcW w:w="0" w:type="auto"/>
            <w:tcBorders>
              <w:top w:val="nil"/>
              <w:left w:val="nil"/>
              <w:bottom w:val="nil"/>
              <w:right w:val="nil"/>
            </w:tcBorders>
            <w:shd w:val="clear" w:color="auto" w:fill="auto"/>
            <w:noWrap/>
            <w:vAlign w:val="bottom"/>
            <w:hideMark/>
          </w:tcPr>
          <w:p w14:paraId="16BBF6D2"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75.33</w:t>
            </w:r>
          </w:p>
        </w:tc>
        <w:tc>
          <w:tcPr>
            <w:tcW w:w="0" w:type="auto"/>
            <w:tcBorders>
              <w:top w:val="nil"/>
              <w:left w:val="nil"/>
              <w:bottom w:val="nil"/>
              <w:right w:val="nil"/>
            </w:tcBorders>
            <w:shd w:val="clear" w:color="auto" w:fill="auto"/>
            <w:noWrap/>
            <w:vAlign w:val="bottom"/>
            <w:hideMark/>
          </w:tcPr>
          <w:p w14:paraId="43F8982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6.04</w:t>
            </w:r>
          </w:p>
        </w:tc>
        <w:tc>
          <w:tcPr>
            <w:tcW w:w="0" w:type="auto"/>
            <w:tcBorders>
              <w:top w:val="nil"/>
              <w:left w:val="nil"/>
              <w:bottom w:val="nil"/>
              <w:right w:val="nil"/>
            </w:tcBorders>
            <w:shd w:val="clear" w:color="auto" w:fill="auto"/>
            <w:noWrap/>
            <w:vAlign w:val="bottom"/>
            <w:hideMark/>
          </w:tcPr>
          <w:p w14:paraId="32F1DD0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c>
          <w:tcPr>
            <w:tcW w:w="0" w:type="auto"/>
            <w:tcBorders>
              <w:top w:val="nil"/>
              <w:left w:val="nil"/>
              <w:bottom w:val="nil"/>
              <w:right w:val="nil"/>
            </w:tcBorders>
            <w:shd w:val="clear" w:color="auto" w:fill="auto"/>
            <w:noWrap/>
            <w:vAlign w:val="bottom"/>
            <w:hideMark/>
          </w:tcPr>
          <w:p w14:paraId="03B9D6C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6.06</w:t>
            </w:r>
          </w:p>
        </w:tc>
        <w:tc>
          <w:tcPr>
            <w:tcW w:w="0" w:type="auto"/>
            <w:tcBorders>
              <w:top w:val="nil"/>
              <w:left w:val="nil"/>
              <w:bottom w:val="nil"/>
              <w:right w:val="nil"/>
            </w:tcBorders>
            <w:shd w:val="clear" w:color="auto" w:fill="auto"/>
            <w:noWrap/>
            <w:vAlign w:val="bottom"/>
            <w:hideMark/>
          </w:tcPr>
          <w:p w14:paraId="0B71335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6.9</w:t>
            </w:r>
          </w:p>
        </w:tc>
        <w:tc>
          <w:tcPr>
            <w:tcW w:w="0" w:type="auto"/>
            <w:tcBorders>
              <w:top w:val="nil"/>
              <w:left w:val="nil"/>
              <w:bottom w:val="nil"/>
              <w:right w:val="nil"/>
            </w:tcBorders>
            <w:shd w:val="clear" w:color="auto" w:fill="auto"/>
            <w:noWrap/>
            <w:vAlign w:val="bottom"/>
            <w:hideMark/>
          </w:tcPr>
          <w:p w14:paraId="10CC2A9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598DBD0B" w14:textId="77777777" w:rsidTr="00765B89">
        <w:trPr>
          <w:trHeight w:val="318"/>
        </w:trPr>
        <w:tc>
          <w:tcPr>
            <w:tcW w:w="2186" w:type="dxa"/>
            <w:tcBorders>
              <w:top w:val="nil"/>
              <w:left w:val="nil"/>
              <w:bottom w:val="nil"/>
              <w:right w:val="nil"/>
            </w:tcBorders>
            <w:shd w:val="clear" w:color="auto" w:fill="auto"/>
            <w:vAlign w:val="center"/>
            <w:hideMark/>
          </w:tcPr>
          <w:p w14:paraId="516BDA0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Ma et al., 2021</w:t>
            </w:r>
          </w:p>
        </w:tc>
        <w:tc>
          <w:tcPr>
            <w:tcW w:w="1710" w:type="dxa"/>
            <w:tcBorders>
              <w:top w:val="nil"/>
              <w:left w:val="nil"/>
              <w:bottom w:val="nil"/>
              <w:right w:val="nil"/>
            </w:tcBorders>
            <w:shd w:val="clear" w:color="auto" w:fill="auto"/>
            <w:vAlign w:val="center"/>
            <w:hideMark/>
          </w:tcPr>
          <w:p w14:paraId="3198A7B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486721DF" w14:textId="77777777" w:rsidR="001867FE" w:rsidRPr="00774ECD" w:rsidRDefault="001867FE" w:rsidP="00416F34">
            <w:pPr>
              <w:spacing w:after="0" w:line="240" w:lineRule="auto"/>
              <w:jc w:val="center"/>
              <w:rPr>
                <w:rFonts w:ascii="Times New Roman" w:eastAsia="Times New Roman" w:hAnsi="Times New Roman" w:cs="Times New Roman"/>
                <w:color w:val="1F1F1F"/>
                <w:kern w:val="0"/>
                <w:sz w:val="24"/>
                <w:szCs w:val="24"/>
                <w14:ligatures w14:val="none"/>
              </w:rPr>
            </w:pPr>
            <w:r w:rsidRPr="00774ECD">
              <w:rPr>
                <w:rFonts w:ascii="Times New Roman" w:eastAsia="Times New Roman" w:hAnsi="Times New Roman" w:cs="Times New Roman"/>
                <w:color w:val="1F1F1F"/>
                <w:kern w:val="0"/>
                <w:sz w:val="24"/>
                <w:szCs w:val="24"/>
                <w14:ligatures w14:val="none"/>
              </w:rPr>
              <w:t>Jiangsu and Zhejiang Provinces, China</w:t>
            </w:r>
          </w:p>
        </w:tc>
        <w:tc>
          <w:tcPr>
            <w:tcW w:w="0" w:type="auto"/>
            <w:tcBorders>
              <w:top w:val="nil"/>
              <w:left w:val="nil"/>
              <w:bottom w:val="nil"/>
              <w:right w:val="nil"/>
            </w:tcBorders>
            <w:shd w:val="clear" w:color="auto" w:fill="auto"/>
            <w:noWrap/>
            <w:vAlign w:val="bottom"/>
            <w:hideMark/>
          </w:tcPr>
          <w:p w14:paraId="378B54A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8641.15</w:t>
            </w:r>
          </w:p>
        </w:tc>
        <w:tc>
          <w:tcPr>
            <w:tcW w:w="0" w:type="auto"/>
            <w:tcBorders>
              <w:top w:val="nil"/>
              <w:left w:val="nil"/>
              <w:bottom w:val="nil"/>
              <w:right w:val="nil"/>
            </w:tcBorders>
            <w:shd w:val="clear" w:color="auto" w:fill="auto"/>
            <w:noWrap/>
            <w:vAlign w:val="bottom"/>
            <w:hideMark/>
          </w:tcPr>
          <w:p w14:paraId="773B996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3179.7</w:t>
            </w:r>
          </w:p>
        </w:tc>
        <w:tc>
          <w:tcPr>
            <w:tcW w:w="0" w:type="auto"/>
            <w:tcBorders>
              <w:top w:val="nil"/>
              <w:left w:val="nil"/>
              <w:bottom w:val="nil"/>
              <w:right w:val="nil"/>
            </w:tcBorders>
            <w:shd w:val="clear" w:color="auto" w:fill="auto"/>
            <w:noWrap/>
            <w:vAlign w:val="bottom"/>
            <w:hideMark/>
          </w:tcPr>
          <w:p w14:paraId="4479059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219.24</w:t>
            </w:r>
          </w:p>
        </w:tc>
        <w:tc>
          <w:tcPr>
            <w:tcW w:w="0" w:type="auto"/>
            <w:tcBorders>
              <w:top w:val="nil"/>
              <w:left w:val="nil"/>
              <w:bottom w:val="nil"/>
              <w:right w:val="nil"/>
            </w:tcBorders>
            <w:shd w:val="clear" w:color="auto" w:fill="auto"/>
            <w:noWrap/>
            <w:vAlign w:val="bottom"/>
            <w:hideMark/>
          </w:tcPr>
          <w:p w14:paraId="71D877C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303.6</w:t>
            </w:r>
          </w:p>
        </w:tc>
        <w:tc>
          <w:tcPr>
            <w:tcW w:w="0" w:type="auto"/>
            <w:tcBorders>
              <w:top w:val="nil"/>
              <w:left w:val="nil"/>
              <w:bottom w:val="nil"/>
              <w:right w:val="nil"/>
            </w:tcBorders>
            <w:shd w:val="clear" w:color="auto" w:fill="auto"/>
            <w:noWrap/>
            <w:vAlign w:val="bottom"/>
            <w:hideMark/>
          </w:tcPr>
          <w:p w14:paraId="1876F14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12.4</w:t>
            </w:r>
          </w:p>
        </w:tc>
        <w:tc>
          <w:tcPr>
            <w:tcW w:w="0" w:type="auto"/>
            <w:tcBorders>
              <w:top w:val="nil"/>
              <w:left w:val="nil"/>
              <w:bottom w:val="nil"/>
              <w:right w:val="nil"/>
            </w:tcBorders>
            <w:shd w:val="clear" w:color="auto" w:fill="auto"/>
            <w:noWrap/>
            <w:vAlign w:val="bottom"/>
            <w:hideMark/>
          </w:tcPr>
          <w:p w14:paraId="26139D7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3B2C5E6D" w14:textId="77777777" w:rsidTr="00765B89">
        <w:trPr>
          <w:trHeight w:val="318"/>
        </w:trPr>
        <w:tc>
          <w:tcPr>
            <w:tcW w:w="2186" w:type="dxa"/>
            <w:tcBorders>
              <w:top w:val="nil"/>
              <w:left w:val="nil"/>
              <w:bottom w:val="nil"/>
              <w:right w:val="nil"/>
            </w:tcBorders>
            <w:shd w:val="clear" w:color="auto" w:fill="auto"/>
            <w:vAlign w:val="center"/>
            <w:hideMark/>
          </w:tcPr>
          <w:p w14:paraId="2D9A39C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MacInnis et al., 2022</w:t>
            </w:r>
          </w:p>
        </w:tc>
        <w:tc>
          <w:tcPr>
            <w:tcW w:w="1710" w:type="dxa"/>
            <w:tcBorders>
              <w:top w:val="nil"/>
              <w:left w:val="nil"/>
              <w:bottom w:val="nil"/>
              <w:right w:val="nil"/>
            </w:tcBorders>
            <w:shd w:val="clear" w:color="auto" w:fill="auto"/>
            <w:vAlign w:val="center"/>
            <w:hideMark/>
          </w:tcPr>
          <w:p w14:paraId="10A70E3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73D8162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Nunavut, Canada</w:t>
            </w:r>
          </w:p>
        </w:tc>
        <w:tc>
          <w:tcPr>
            <w:tcW w:w="0" w:type="auto"/>
            <w:tcBorders>
              <w:top w:val="nil"/>
              <w:left w:val="nil"/>
              <w:bottom w:val="nil"/>
              <w:right w:val="nil"/>
            </w:tcBorders>
            <w:shd w:val="clear" w:color="auto" w:fill="auto"/>
            <w:noWrap/>
            <w:vAlign w:val="bottom"/>
            <w:hideMark/>
          </w:tcPr>
          <w:p w14:paraId="43D8059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1.03</w:t>
            </w:r>
          </w:p>
        </w:tc>
        <w:tc>
          <w:tcPr>
            <w:tcW w:w="0" w:type="auto"/>
            <w:tcBorders>
              <w:top w:val="nil"/>
              <w:left w:val="nil"/>
              <w:bottom w:val="nil"/>
              <w:right w:val="nil"/>
            </w:tcBorders>
            <w:shd w:val="clear" w:color="auto" w:fill="auto"/>
            <w:noWrap/>
            <w:vAlign w:val="bottom"/>
            <w:hideMark/>
          </w:tcPr>
          <w:p w14:paraId="515BE0F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3.75</w:t>
            </w:r>
          </w:p>
        </w:tc>
        <w:tc>
          <w:tcPr>
            <w:tcW w:w="0" w:type="auto"/>
            <w:tcBorders>
              <w:top w:val="nil"/>
              <w:left w:val="nil"/>
              <w:bottom w:val="nil"/>
              <w:right w:val="nil"/>
            </w:tcBorders>
            <w:shd w:val="clear" w:color="auto" w:fill="auto"/>
            <w:noWrap/>
            <w:vAlign w:val="bottom"/>
            <w:hideMark/>
          </w:tcPr>
          <w:p w14:paraId="4CD1BBB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1.22</w:t>
            </w:r>
          </w:p>
        </w:tc>
        <w:tc>
          <w:tcPr>
            <w:tcW w:w="0" w:type="auto"/>
            <w:tcBorders>
              <w:top w:val="nil"/>
              <w:left w:val="nil"/>
              <w:bottom w:val="nil"/>
              <w:right w:val="nil"/>
            </w:tcBorders>
            <w:shd w:val="clear" w:color="auto" w:fill="auto"/>
            <w:noWrap/>
            <w:vAlign w:val="bottom"/>
            <w:hideMark/>
          </w:tcPr>
          <w:p w14:paraId="251B5BD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2.44</w:t>
            </w:r>
          </w:p>
        </w:tc>
        <w:tc>
          <w:tcPr>
            <w:tcW w:w="0" w:type="auto"/>
            <w:tcBorders>
              <w:top w:val="nil"/>
              <w:left w:val="nil"/>
              <w:bottom w:val="nil"/>
              <w:right w:val="nil"/>
            </w:tcBorders>
            <w:shd w:val="clear" w:color="auto" w:fill="auto"/>
            <w:noWrap/>
            <w:vAlign w:val="bottom"/>
            <w:hideMark/>
          </w:tcPr>
          <w:p w14:paraId="259ED9F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0.28</w:t>
            </w:r>
          </w:p>
        </w:tc>
        <w:tc>
          <w:tcPr>
            <w:tcW w:w="0" w:type="auto"/>
            <w:tcBorders>
              <w:top w:val="nil"/>
              <w:left w:val="nil"/>
              <w:bottom w:val="nil"/>
              <w:right w:val="nil"/>
            </w:tcBorders>
            <w:shd w:val="clear" w:color="auto" w:fill="auto"/>
            <w:noWrap/>
            <w:vAlign w:val="bottom"/>
            <w:hideMark/>
          </w:tcPr>
          <w:p w14:paraId="5A1D900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6DECB830" w14:textId="77777777" w:rsidTr="00765B89">
        <w:trPr>
          <w:trHeight w:val="318"/>
        </w:trPr>
        <w:tc>
          <w:tcPr>
            <w:tcW w:w="2186" w:type="dxa"/>
            <w:tcBorders>
              <w:top w:val="nil"/>
              <w:left w:val="nil"/>
              <w:bottom w:val="nil"/>
              <w:right w:val="nil"/>
            </w:tcBorders>
            <w:shd w:val="clear" w:color="auto" w:fill="auto"/>
            <w:vAlign w:val="center"/>
            <w:hideMark/>
          </w:tcPr>
          <w:p w14:paraId="302F404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Martinez et al., 2022</w:t>
            </w:r>
          </w:p>
        </w:tc>
        <w:tc>
          <w:tcPr>
            <w:tcW w:w="1710" w:type="dxa"/>
            <w:tcBorders>
              <w:top w:val="nil"/>
              <w:left w:val="nil"/>
              <w:bottom w:val="nil"/>
              <w:right w:val="nil"/>
            </w:tcBorders>
            <w:shd w:val="clear" w:color="auto" w:fill="auto"/>
            <w:vAlign w:val="center"/>
            <w:hideMark/>
          </w:tcPr>
          <w:p w14:paraId="1FC2DFD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1211ACA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 xml:space="preserve">Florida, United States </w:t>
            </w:r>
          </w:p>
        </w:tc>
        <w:tc>
          <w:tcPr>
            <w:tcW w:w="0" w:type="auto"/>
            <w:tcBorders>
              <w:top w:val="nil"/>
              <w:left w:val="nil"/>
              <w:bottom w:val="nil"/>
              <w:right w:val="nil"/>
            </w:tcBorders>
            <w:shd w:val="clear" w:color="auto" w:fill="auto"/>
            <w:noWrap/>
            <w:vAlign w:val="bottom"/>
            <w:hideMark/>
          </w:tcPr>
          <w:p w14:paraId="4B190D9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0.41</w:t>
            </w:r>
          </w:p>
        </w:tc>
        <w:tc>
          <w:tcPr>
            <w:tcW w:w="0" w:type="auto"/>
            <w:tcBorders>
              <w:top w:val="nil"/>
              <w:left w:val="nil"/>
              <w:bottom w:val="nil"/>
              <w:right w:val="nil"/>
            </w:tcBorders>
            <w:shd w:val="clear" w:color="auto" w:fill="auto"/>
            <w:noWrap/>
            <w:vAlign w:val="bottom"/>
            <w:hideMark/>
          </w:tcPr>
          <w:p w14:paraId="1B2BE11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0.98</w:t>
            </w:r>
          </w:p>
        </w:tc>
        <w:tc>
          <w:tcPr>
            <w:tcW w:w="0" w:type="auto"/>
            <w:tcBorders>
              <w:top w:val="nil"/>
              <w:left w:val="nil"/>
              <w:bottom w:val="nil"/>
              <w:right w:val="nil"/>
            </w:tcBorders>
            <w:shd w:val="clear" w:color="auto" w:fill="auto"/>
            <w:noWrap/>
            <w:vAlign w:val="bottom"/>
            <w:hideMark/>
          </w:tcPr>
          <w:p w14:paraId="7D669A1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0.14</w:t>
            </w:r>
          </w:p>
        </w:tc>
        <w:tc>
          <w:tcPr>
            <w:tcW w:w="0" w:type="auto"/>
            <w:tcBorders>
              <w:top w:val="nil"/>
              <w:left w:val="nil"/>
              <w:bottom w:val="nil"/>
              <w:right w:val="nil"/>
            </w:tcBorders>
            <w:shd w:val="clear" w:color="auto" w:fill="auto"/>
            <w:noWrap/>
            <w:vAlign w:val="bottom"/>
            <w:hideMark/>
          </w:tcPr>
          <w:p w14:paraId="6431B4A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0.24</w:t>
            </w:r>
          </w:p>
        </w:tc>
        <w:tc>
          <w:tcPr>
            <w:tcW w:w="0" w:type="auto"/>
            <w:tcBorders>
              <w:top w:val="nil"/>
              <w:left w:val="nil"/>
              <w:bottom w:val="nil"/>
              <w:right w:val="nil"/>
            </w:tcBorders>
            <w:shd w:val="clear" w:color="auto" w:fill="auto"/>
            <w:noWrap/>
            <w:vAlign w:val="bottom"/>
            <w:hideMark/>
          </w:tcPr>
          <w:p w14:paraId="61EB435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0.35</w:t>
            </w:r>
          </w:p>
        </w:tc>
        <w:tc>
          <w:tcPr>
            <w:tcW w:w="0" w:type="auto"/>
            <w:tcBorders>
              <w:top w:val="nil"/>
              <w:left w:val="nil"/>
              <w:bottom w:val="nil"/>
              <w:right w:val="nil"/>
            </w:tcBorders>
            <w:shd w:val="clear" w:color="auto" w:fill="auto"/>
            <w:noWrap/>
            <w:vAlign w:val="bottom"/>
            <w:hideMark/>
          </w:tcPr>
          <w:p w14:paraId="1983BCB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65E60176" w14:textId="77777777" w:rsidTr="00765B89">
        <w:trPr>
          <w:trHeight w:val="318"/>
        </w:trPr>
        <w:tc>
          <w:tcPr>
            <w:tcW w:w="2186" w:type="dxa"/>
            <w:tcBorders>
              <w:top w:val="nil"/>
              <w:left w:val="nil"/>
              <w:bottom w:val="nil"/>
              <w:right w:val="nil"/>
            </w:tcBorders>
            <w:shd w:val="clear" w:color="auto" w:fill="auto"/>
            <w:vAlign w:val="center"/>
            <w:hideMark/>
          </w:tcPr>
          <w:p w14:paraId="2D62EA3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McMahon et al., 2022</w:t>
            </w:r>
          </w:p>
        </w:tc>
        <w:tc>
          <w:tcPr>
            <w:tcW w:w="1710" w:type="dxa"/>
            <w:tcBorders>
              <w:top w:val="nil"/>
              <w:left w:val="nil"/>
              <w:bottom w:val="nil"/>
              <w:right w:val="nil"/>
            </w:tcBorders>
            <w:shd w:val="clear" w:color="auto" w:fill="auto"/>
            <w:vAlign w:val="center"/>
            <w:hideMark/>
          </w:tcPr>
          <w:p w14:paraId="46C1407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Groundwater</w:t>
            </w:r>
          </w:p>
        </w:tc>
        <w:tc>
          <w:tcPr>
            <w:tcW w:w="0" w:type="auto"/>
            <w:tcBorders>
              <w:top w:val="nil"/>
              <w:left w:val="nil"/>
              <w:bottom w:val="nil"/>
              <w:right w:val="nil"/>
            </w:tcBorders>
            <w:shd w:val="clear" w:color="auto" w:fill="auto"/>
            <w:vAlign w:val="center"/>
            <w:hideMark/>
          </w:tcPr>
          <w:p w14:paraId="7ED1E27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Eastern United States</w:t>
            </w:r>
          </w:p>
        </w:tc>
        <w:tc>
          <w:tcPr>
            <w:tcW w:w="0" w:type="auto"/>
            <w:tcBorders>
              <w:top w:val="nil"/>
              <w:left w:val="nil"/>
              <w:bottom w:val="nil"/>
              <w:right w:val="nil"/>
            </w:tcBorders>
            <w:shd w:val="clear" w:color="auto" w:fill="auto"/>
            <w:noWrap/>
            <w:vAlign w:val="bottom"/>
            <w:hideMark/>
          </w:tcPr>
          <w:p w14:paraId="54E946D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3.6</w:t>
            </w:r>
          </w:p>
        </w:tc>
        <w:tc>
          <w:tcPr>
            <w:tcW w:w="0" w:type="auto"/>
            <w:tcBorders>
              <w:top w:val="nil"/>
              <w:left w:val="nil"/>
              <w:bottom w:val="nil"/>
              <w:right w:val="nil"/>
            </w:tcBorders>
            <w:shd w:val="clear" w:color="auto" w:fill="auto"/>
            <w:noWrap/>
            <w:vAlign w:val="bottom"/>
            <w:hideMark/>
          </w:tcPr>
          <w:p w14:paraId="144FAA0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8.9</w:t>
            </w:r>
          </w:p>
        </w:tc>
        <w:tc>
          <w:tcPr>
            <w:tcW w:w="0" w:type="auto"/>
            <w:tcBorders>
              <w:top w:val="nil"/>
              <w:left w:val="nil"/>
              <w:bottom w:val="nil"/>
              <w:right w:val="nil"/>
            </w:tcBorders>
            <w:shd w:val="clear" w:color="auto" w:fill="auto"/>
            <w:noWrap/>
            <w:vAlign w:val="bottom"/>
            <w:hideMark/>
          </w:tcPr>
          <w:p w14:paraId="4F3BAFE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2.71</w:t>
            </w:r>
          </w:p>
        </w:tc>
        <w:tc>
          <w:tcPr>
            <w:tcW w:w="0" w:type="auto"/>
            <w:tcBorders>
              <w:top w:val="nil"/>
              <w:left w:val="nil"/>
              <w:bottom w:val="nil"/>
              <w:right w:val="nil"/>
            </w:tcBorders>
            <w:shd w:val="clear" w:color="auto" w:fill="auto"/>
            <w:noWrap/>
            <w:vAlign w:val="bottom"/>
            <w:hideMark/>
          </w:tcPr>
          <w:p w14:paraId="3FD8226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3.36</w:t>
            </w:r>
          </w:p>
        </w:tc>
        <w:tc>
          <w:tcPr>
            <w:tcW w:w="0" w:type="auto"/>
            <w:tcBorders>
              <w:top w:val="nil"/>
              <w:left w:val="nil"/>
              <w:bottom w:val="nil"/>
              <w:right w:val="nil"/>
            </w:tcBorders>
            <w:shd w:val="clear" w:color="auto" w:fill="auto"/>
            <w:noWrap/>
            <w:vAlign w:val="bottom"/>
            <w:hideMark/>
          </w:tcPr>
          <w:p w14:paraId="61ADDD4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2.47</w:t>
            </w:r>
          </w:p>
        </w:tc>
        <w:tc>
          <w:tcPr>
            <w:tcW w:w="0" w:type="auto"/>
            <w:tcBorders>
              <w:top w:val="nil"/>
              <w:left w:val="nil"/>
              <w:bottom w:val="nil"/>
              <w:right w:val="nil"/>
            </w:tcBorders>
            <w:shd w:val="clear" w:color="auto" w:fill="auto"/>
            <w:noWrap/>
            <w:vAlign w:val="bottom"/>
            <w:hideMark/>
          </w:tcPr>
          <w:p w14:paraId="660EEEA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4AC28E30" w14:textId="77777777" w:rsidTr="00765B89">
        <w:trPr>
          <w:trHeight w:val="318"/>
        </w:trPr>
        <w:tc>
          <w:tcPr>
            <w:tcW w:w="2186" w:type="dxa"/>
            <w:tcBorders>
              <w:top w:val="nil"/>
              <w:left w:val="nil"/>
              <w:bottom w:val="nil"/>
              <w:right w:val="nil"/>
            </w:tcBorders>
            <w:shd w:val="clear" w:color="auto" w:fill="auto"/>
            <w:vAlign w:val="center"/>
            <w:hideMark/>
          </w:tcPr>
          <w:p w14:paraId="43D2FDAF" w14:textId="77777777" w:rsidR="001867FE" w:rsidRPr="00774ECD" w:rsidRDefault="001867FE" w:rsidP="00416F34">
            <w:pPr>
              <w:spacing w:after="0" w:line="240" w:lineRule="auto"/>
              <w:jc w:val="center"/>
              <w:rPr>
                <w:rFonts w:ascii="Times New Roman" w:eastAsia="Times New Roman" w:hAnsi="Times New Roman" w:cs="Times New Roman"/>
                <w:color w:val="1F1F1F"/>
                <w:kern w:val="0"/>
                <w:sz w:val="24"/>
                <w:szCs w:val="24"/>
                <w14:ligatures w14:val="none"/>
              </w:rPr>
            </w:pPr>
            <w:r w:rsidRPr="00774ECD">
              <w:rPr>
                <w:rFonts w:ascii="Times New Roman" w:eastAsia="Times New Roman" w:hAnsi="Times New Roman" w:cs="Times New Roman"/>
                <w:color w:val="1F1F1F"/>
                <w:kern w:val="0"/>
                <w:sz w:val="24"/>
                <w:szCs w:val="24"/>
                <w14:ligatures w14:val="none"/>
              </w:rPr>
              <w:t>Nguyen et al., 2022</w:t>
            </w:r>
          </w:p>
        </w:tc>
        <w:tc>
          <w:tcPr>
            <w:tcW w:w="1710" w:type="dxa"/>
            <w:tcBorders>
              <w:top w:val="nil"/>
              <w:left w:val="nil"/>
              <w:bottom w:val="nil"/>
              <w:right w:val="nil"/>
            </w:tcBorders>
            <w:shd w:val="clear" w:color="auto" w:fill="auto"/>
            <w:vAlign w:val="center"/>
            <w:hideMark/>
          </w:tcPr>
          <w:p w14:paraId="105AF90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0D10E60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Uppsala &amp; Stockholm, Sweden</w:t>
            </w:r>
          </w:p>
        </w:tc>
        <w:tc>
          <w:tcPr>
            <w:tcW w:w="0" w:type="auto"/>
            <w:tcBorders>
              <w:top w:val="nil"/>
              <w:left w:val="nil"/>
              <w:bottom w:val="nil"/>
              <w:right w:val="nil"/>
            </w:tcBorders>
            <w:shd w:val="clear" w:color="auto" w:fill="auto"/>
            <w:noWrap/>
            <w:vAlign w:val="bottom"/>
            <w:hideMark/>
          </w:tcPr>
          <w:p w14:paraId="5C54610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14</w:t>
            </w:r>
          </w:p>
        </w:tc>
        <w:tc>
          <w:tcPr>
            <w:tcW w:w="0" w:type="auto"/>
            <w:tcBorders>
              <w:top w:val="nil"/>
              <w:left w:val="nil"/>
              <w:bottom w:val="nil"/>
              <w:right w:val="nil"/>
            </w:tcBorders>
            <w:shd w:val="clear" w:color="auto" w:fill="auto"/>
            <w:noWrap/>
            <w:vAlign w:val="bottom"/>
            <w:hideMark/>
          </w:tcPr>
          <w:p w14:paraId="2C1AE08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67</w:t>
            </w:r>
          </w:p>
        </w:tc>
        <w:tc>
          <w:tcPr>
            <w:tcW w:w="0" w:type="auto"/>
            <w:tcBorders>
              <w:top w:val="nil"/>
              <w:left w:val="nil"/>
              <w:bottom w:val="nil"/>
              <w:right w:val="nil"/>
            </w:tcBorders>
            <w:shd w:val="clear" w:color="auto" w:fill="auto"/>
            <w:noWrap/>
            <w:vAlign w:val="bottom"/>
            <w:hideMark/>
          </w:tcPr>
          <w:p w14:paraId="1E252BA2"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0.5</w:t>
            </w:r>
          </w:p>
        </w:tc>
        <w:tc>
          <w:tcPr>
            <w:tcW w:w="0" w:type="auto"/>
            <w:tcBorders>
              <w:top w:val="nil"/>
              <w:left w:val="nil"/>
              <w:bottom w:val="nil"/>
              <w:right w:val="nil"/>
            </w:tcBorders>
            <w:shd w:val="clear" w:color="auto" w:fill="auto"/>
            <w:noWrap/>
            <w:vAlign w:val="bottom"/>
            <w:hideMark/>
          </w:tcPr>
          <w:p w14:paraId="1307B85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41</w:t>
            </w:r>
          </w:p>
        </w:tc>
        <w:tc>
          <w:tcPr>
            <w:tcW w:w="0" w:type="auto"/>
            <w:tcBorders>
              <w:top w:val="nil"/>
              <w:left w:val="nil"/>
              <w:bottom w:val="nil"/>
              <w:right w:val="nil"/>
            </w:tcBorders>
            <w:shd w:val="clear" w:color="auto" w:fill="auto"/>
            <w:noWrap/>
            <w:vAlign w:val="bottom"/>
            <w:hideMark/>
          </w:tcPr>
          <w:p w14:paraId="2A3807A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5</w:t>
            </w:r>
          </w:p>
        </w:tc>
        <w:tc>
          <w:tcPr>
            <w:tcW w:w="0" w:type="auto"/>
            <w:tcBorders>
              <w:top w:val="nil"/>
              <w:left w:val="nil"/>
              <w:bottom w:val="nil"/>
              <w:right w:val="nil"/>
            </w:tcBorders>
            <w:shd w:val="clear" w:color="auto" w:fill="auto"/>
            <w:noWrap/>
            <w:vAlign w:val="bottom"/>
            <w:hideMark/>
          </w:tcPr>
          <w:p w14:paraId="428A329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175B7A05" w14:textId="77777777" w:rsidTr="00765B89">
        <w:trPr>
          <w:trHeight w:val="318"/>
        </w:trPr>
        <w:tc>
          <w:tcPr>
            <w:tcW w:w="2186" w:type="dxa"/>
            <w:tcBorders>
              <w:top w:val="nil"/>
              <w:left w:val="nil"/>
              <w:bottom w:val="nil"/>
              <w:right w:val="nil"/>
            </w:tcBorders>
            <w:shd w:val="clear" w:color="auto" w:fill="auto"/>
            <w:vAlign w:val="center"/>
            <w:hideMark/>
          </w:tcPr>
          <w:p w14:paraId="24D5930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lastRenderedPageBreak/>
              <w:t>Nickerson et al., 2021</w:t>
            </w:r>
          </w:p>
        </w:tc>
        <w:tc>
          <w:tcPr>
            <w:tcW w:w="1710" w:type="dxa"/>
            <w:tcBorders>
              <w:top w:val="nil"/>
              <w:left w:val="nil"/>
              <w:bottom w:val="nil"/>
              <w:right w:val="nil"/>
            </w:tcBorders>
            <w:shd w:val="clear" w:color="auto" w:fill="auto"/>
            <w:vAlign w:val="center"/>
            <w:hideMark/>
          </w:tcPr>
          <w:p w14:paraId="3076CB0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Groundwater</w:t>
            </w:r>
          </w:p>
        </w:tc>
        <w:tc>
          <w:tcPr>
            <w:tcW w:w="0" w:type="auto"/>
            <w:tcBorders>
              <w:top w:val="nil"/>
              <w:left w:val="nil"/>
              <w:bottom w:val="nil"/>
              <w:right w:val="nil"/>
            </w:tcBorders>
            <w:shd w:val="clear" w:color="auto" w:fill="auto"/>
            <w:vAlign w:val="center"/>
            <w:hideMark/>
          </w:tcPr>
          <w:p w14:paraId="5858016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Military installation located, United States</w:t>
            </w:r>
          </w:p>
        </w:tc>
        <w:tc>
          <w:tcPr>
            <w:tcW w:w="0" w:type="auto"/>
            <w:tcBorders>
              <w:top w:val="nil"/>
              <w:left w:val="nil"/>
              <w:bottom w:val="nil"/>
              <w:right w:val="nil"/>
            </w:tcBorders>
            <w:shd w:val="clear" w:color="auto" w:fill="auto"/>
            <w:noWrap/>
            <w:vAlign w:val="bottom"/>
            <w:hideMark/>
          </w:tcPr>
          <w:p w14:paraId="433A537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457772.5</w:t>
            </w:r>
          </w:p>
        </w:tc>
        <w:tc>
          <w:tcPr>
            <w:tcW w:w="0" w:type="auto"/>
            <w:tcBorders>
              <w:top w:val="nil"/>
              <w:left w:val="nil"/>
              <w:bottom w:val="nil"/>
              <w:right w:val="nil"/>
            </w:tcBorders>
            <w:shd w:val="clear" w:color="auto" w:fill="auto"/>
            <w:noWrap/>
            <w:vAlign w:val="bottom"/>
            <w:hideMark/>
          </w:tcPr>
          <w:p w14:paraId="2FA0B28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568393.7</w:t>
            </w:r>
          </w:p>
        </w:tc>
        <w:tc>
          <w:tcPr>
            <w:tcW w:w="0" w:type="auto"/>
            <w:tcBorders>
              <w:top w:val="nil"/>
              <w:left w:val="nil"/>
              <w:bottom w:val="nil"/>
              <w:right w:val="nil"/>
            </w:tcBorders>
            <w:shd w:val="clear" w:color="auto" w:fill="auto"/>
            <w:noWrap/>
            <w:vAlign w:val="bottom"/>
            <w:hideMark/>
          </w:tcPr>
          <w:p w14:paraId="42EEBF8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5805</w:t>
            </w:r>
          </w:p>
        </w:tc>
        <w:tc>
          <w:tcPr>
            <w:tcW w:w="0" w:type="auto"/>
            <w:tcBorders>
              <w:top w:val="nil"/>
              <w:left w:val="nil"/>
              <w:bottom w:val="nil"/>
              <w:right w:val="nil"/>
            </w:tcBorders>
            <w:shd w:val="clear" w:color="auto" w:fill="auto"/>
            <w:noWrap/>
            <w:vAlign w:val="bottom"/>
            <w:hideMark/>
          </w:tcPr>
          <w:p w14:paraId="5C35DAD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168155</w:t>
            </w:r>
          </w:p>
        </w:tc>
        <w:tc>
          <w:tcPr>
            <w:tcW w:w="0" w:type="auto"/>
            <w:tcBorders>
              <w:top w:val="nil"/>
              <w:left w:val="nil"/>
              <w:bottom w:val="nil"/>
              <w:right w:val="nil"/>
            </w:tcBorders>
            <w:shd w:val="clear" w:color="auto" w:fill="auto"/>
            <w:noWrap/>
            <w:vAlign w:val="bottom"/>
            <w:hideMark/>
          </w:tcPr>
          <w:p w14:paraId="1918F9D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21723.8</w:t>
            </w:r>
          </w:p>
        </w:tc>
        <w:tc>
          <w:tcPr>
            <w:tcW w:w="0" w:type="auto"/>
            <w:tcBorders>
              <w:top w:val="nil"/>
              <w:left w:val="nil"/>
              <w:bottom w:val="nil"/>
              <w:right w:val="nil"/>
            </w:tcBorders>
            <w:shd w:val="clear" w:color="auto" w:fill="auto"/>
            <w:noWrap/>
            <w:vAlign w:val="bottom"/>
            <w:hideMark/>
          </w:tcPr>
          <w:p w14:paraId="6E358C7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2CB4CC36" w14:textId="77777777" w:rsidTr="00765B89">
        <w:trPr>
          <w:trHeight w:val="318"/>
        </w:trPr>
        <w:tc>
          <w:tcPr>
            <w:tcW w:w="2186" w:type="dxa"/>
            <w:tcBorders>
              <w:top w:val="nil"/>
              <w:left w:val="nil"/>
              <w:bottom w:val="nil"/>
              <w:right w:val="nil"/>
            </w:tcBorders>
            <w:shd w:val="clear" w:color="auto" w:fill="auto"/>
            <w:vAlign w:val="center"/>
            <w:hideMark/>
          </w:tcPr>
          <w:p w14:paraId="2B64C6CB"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proofErr w:type="spellStart"/>
            <w:r w:rsidRPr="00774ECD">
              <w:rPr>
                <w:rFonts w:ascii="Times New Roman" w:eastAsia="Times New Roman" w:hAnsi="Times New Roman" w:cs="Times New Roman"/>
                <w:kern w:val="0"/>
                <w:sz w:val="24"/>
                <w:szCs w:val="24"/>
                <w14:ligatures w14:val="none"/>
              </w:rPr>
              <w:t>Pétré</w:t>
            </w:r>
            <w:proofErr w:type="spellEnd"/>
            <w:r w:rsidRPr="00774ECD">
              <w:rPr>
                <w:rFonts w:ascii="Times New Roman" w:eastAsia="Times New Roman" w:hAnsi="Times New Roman" w:cs="Times New Roman"/>
                <w:kern w:val="0"/>
                <w:sz w:val="24"/>
                <w:szCs w:val="24"/>
                <w14:ligatures w14:val="none"/>
              </w:rPr>
              <w:t xml:space="preserve"> et al., 2021</w:t>
            </w:r>
          </w:p>
        </w:tc>
        <w:tc>
          <w:tcPr>
            <w:tcW w:w="1710" w:type="dxa"/>
            <w:tcBorders>
              <w:top w:val="nil"/>
              <w:left w:val="nil"/>
              <w:bottom w:val="nil"/>
              <w:right w:val="nil"/>
            </w:tcBorders>
            <w:shd w:val="clear" w:color="auto" w:fill="auto"/>
            <w:vAlign w:val="center"/>
            <w:hideMark/>
          </w:tcPr>
          <w:p w14:paraId="542B1D55"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Surface and Groundwater</w:t>
            </w:r>
          </w:p>
        </w:tc>
        <w:tc>
          <w:tcPr>
            <w:tcW w:w="0" w:type="auto"/>
            <w:tcBorders>
              <w:top w:val="nil"/>
              <w:left w:val="nil"/>
              <w:bottom w:val="nil"/>
              <w:right w:val="nil"/>
            </w:tcBorders>
            <w:shd w:val="clear" w:color="auto" w:fill="auto"/>
            <w:vAlign w:val="center"/>
            <w:hideMark/>
          </w:tcPr>
          <w:p w14:paraId="15111994"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 xml:space="preserve">North Carolina, United States </w:t>
            </w:r>
          </w:p>
        </w:tc>
        <w:tc>
          <w:tcPr>
            <w:tcW w:w="0" w:type="auto"/>
            <w:tcBorders>
              <w:top w:val="nil"/>
              <w:left w:val="nil"/>
              <w:bottom w:val="nil"/>
              <w:right w:val="nil"/>
            </w:tcBorders>
            <w:shd w:val="clear" w:color="auto" w:fill="auto"/>
            <w:noWrap/>
            <w:vAlign w:val="bottom"/>
            <w:hideMark/>
          </w:tcPr>
          <w:p w14:paraId="4C0EF21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6.1</w:t>
            </w:r>
          </w:p>
        </w:tc>
        <w:tc>
          <w:tcPr>
            <w:tcW w:w="0" w:type="auto"/>
            <w:tcBorders>
              <w:top w:val="nil"/>
              <w:left w:val="nil"/>
              <w:bottom w:val="nil"/>
              <w:right w:val="nil"/>
            </w:tcBorders>
            <w:shd w:val="clear" w:color="auto" w:fill="auto"/>
            <w:noWrap/>
            <w:vAlign w:val="bottom"/>
            <w:hideMark/>
          </w:tcPr>
          <w:p w14:paraId="746B614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33.7</w:t>
            </w:r>
          </w:p>
        </w:tc>
        <w:tc>
          <w:tcPr>
            <w:tcW w:w="0" w:type="auto"/>
            <w:tcBorders>
              <w:top w:val="nil"/>
              <w:left w:val="nil"/>
              <w:bottom w:val="nil"/>
              <w:right w:val="nil"/>
            </w:tcBorders>
            <w:shd w:val="clear" w:color="auto" w:fill="auto"/>
            <w:noWrap/>
            <w:vAlign w:val="bottom"/>
            <w:hideMark/>
          </w:tcPr>
          <w:p w14:paraId="5680E99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12.3</w:t>
            </w:r>
          </w:p>
        </w:tc>
        <w:tc>
          <w:tcPr>
            <w:tcW w:w="0" w:type="auto"/>
            <w:tcBorders>
              <w:top w:val="nil"/>
              <w:left w:val="nil"/>
              <w:bottom w:val="nil"/>
              <w:right w:val="nil"/>
            </w:tcBorders>
            <w:shd w:val="clear" w:color="auto" w:fill="auto"/>
            <w:noWrap/>
            <w:vAlign w:val="bottom"/>
            <w:hideMark/>
          </w:tcPr>
          <w:p w14:paraId="2A8D3FC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5.3</w:t>
            </w:r>
          </w:p>
        </w:tc>
        <w:tc>
          <w:tcPr>
            <w:tcW w:w="0" w:type="auto"/>
            <w:tcBorders>
              <w:top w:val="nil"/>
              <w:left w:val="nil"/>
              <w:bottom w:val="nil"/>
              <w:right w:val="nil"/>
            </w:tcBorders>
            <w:shd w:val="clear" w:color="auto" w:fill="auto"/>
            <w:noWrap/>
            <w:vAlign w:val="bottom"/>
            <w:hideMark/>
          </w:tcPr>
          <w:p w14:paraId="07D5C3C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6.5</w:t>
            </w:r>
          </w:p>
        </w:tc>
        <w:tc>
          <w:tcPr>
            <w:tcW w:w="0" w:type="auto"/>
            <w:tcBorders>
              <w:top w:val="nil"/>
              <w:left w:val="nil"/>
              <w:bottom w:val="nil"/>
              <w:right w:val="nil"/>
            </w:tcBorders>
            <w:shd w:val="clear" w:color="auto" w:fill="auto"/>
            <w:noWrap/>
            <w:vAlign w:val="bottom"/>
            <w:hideMark/>
          </w:tcPr>
          <w:p w14:paraId="2EC3E85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460.7</w:t>
            </w:r>
          </w:p>
        </w:tc>
      </w:tr>
      <w:tr w:rsidR="00E27DA3" w:rsidRPr="00774ECD" w14:paraId="5B914328" w14:textId="77777777" w:rsidTr="00765B89">
        <w:trPr>
          <w:trHeight w:val="318"/>
        </w:trPr>
        <w:tc>
          <w:tcPr>
            <w:tcW w:w="2186" w:type="dxa"/>
            <w:tcBorders>
              <w:top w:val="nil"/>
              <w:left w:val="nil"/>
              <w:bottom w:val="nil"/>
              <w:right w:val="nil"/>
            </w:tcBorders>
            <w:shd w:val="clear" w:color="auto" w:fill="auto"/>
            <w:vAlign w:val="center"/>
            <w:hideMark/>
          </w:tcPr>
          <w:p w14:paraId="2F0B0A7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Reinikainen et al., 2022</w:t>
            </w:r>
          </w:p>
        </w:tc>
        <w:tc>
          <w:tcPr>
            <w:tcW w:w="1710" w:type="dxa"/>
            <w:tcBorders>
              <w:top w:val="nil"/>
              <w:left w:val="nil"/>
              <w:bottom w:val="nil"/>
              <w:right w:val="nil"/>
            </w:tcBorders>
            <w:shd w:val="clear" w:color="auto" w:fill="auto"/>
            <w:vAlign w:val="center"/>
            <w:hideMark/>
          </w:tcPr>
          <w:p w14:paraId="559D185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06BBF31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 xml:space="preserve">Finland </w:t>
            </w:r>
          </w:p>
        </w:tc>
        <w:tc>
          <w:tcPr>
            <w:tcW w:w="0" w:type="auto"/>
            <w:tcBorders>
              <w:top w:val="nil"/>
              <w:left w:val="nil"/>
              <w:bottom w:val="nil"/>
              <w:right w:val="nil"/>
            </w:tcBorders>
            <w:shd w:val="clear" w:color="auto" w:fill="auto"/>
            <w:noWrap/>
            <w:vAlign w:val="bottom"/>
            <w:hideMark/>
          </w:tcPr>
          <w:p w14:paraId="736A5EC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456.7</w:t>
            </w:r>
          </w:p>
        </w:tc>
        <w:tc>
          <w:tcPr>
            <w:tcW w:w="0" w:type="auto"/>
            <w:tcBorders>
              <w:top w:val="nil"/>
              <w:left w:val="nil"/>
              <w:bottom w:val="nil"/>
              <w:right w:val="nil"/>
            </w:tcBorders>
            <w:shd w:val="clear" w:color="auto" w:fill="auto"/>
            <w:noWrap/>
            <w:vAlign w:val="bottom"/>
            <w:hideMark/>
          </w:tcPr>
          <w:p w14:paraId="52C2B77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6651.4</w:t>
            </w:r>
          </w:p>
        </w:tc>
        <w:tc>
          <w:tcPr>
            <w:tcW w:w="0" w:type="auto"/>
            <w:tcBorders>
              <w:top w:val="nil"/>
              <w:left w:val="nil"/>
              <w:bottom w:val="nil"/>
              <w:right w:val="nil"/>
            </w:tcBorders>
            <w:shd w:val="clear" w:color="auto" w:fill="auto"/>
            <w:noWrap/>
            <w:vAlign w:val="bottom"/>
            <w:hideMark/>
          </w:tcPr>
          <w:p w14:paraId="1304E22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188.4</w:t>
            </w:r>
          </w:p>
        </w:tc>
        <w:tc>
          <w:tcPr>
            <w:tcW w:w="0" w:type="auto"/>
            <w:tcBorders>
              <w:top w:val="nil"/>
              <w:left w:val="nil"/>
              <w:bottom w:val="nil"/>
              <w:right w:val="nil"/>
            </w:tcBorders>
            <w:shd w:val="clear" w:color="auto" w:fill="auto"/>
            <w:noWrap/>
            <w:vAlign w:val="bottom"/>
            <w:hideMark/>
          </w:tcPr>
          <w:p w14:paraId="3D64425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2384.04</w:t>
            </w:r>
          </w:p>
        </w:tc>
        <w:tc>
          <w:tcPr>
            <w:tcW w:w="0" w:type="auto"/>
            <w:tcBorders>
              <w:top w:val="nil"/>
              <w:left w:val="nil"/>
              <w:bottom w:val="nil"/>
              <w:right w:val="nil"/>
            </w:tcBorders>
            <w:shd w:val="clear" w:color="auto" w:fill="auto"/>
            <w:noWrap/>
            <w:vAlign w:val="bottom"/>
            <w:hideMark/>
          </w:tcPr>
          <w:p w14:paraId="4A52C7F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520.4</w:t>
            </w:r>
          </w:p>
        </w:tc>
        <w:tc>
          <w:tcPr>
            <w:tcW w:w="0" w:type="auto"/>
            <w:tcBorders>
              <w:top w:val="nil"/>
              <w:left w:val="nil"/>
              <w:bottom w:val="nil"/>
              <w:right w:val="nil"/>
            </w:tcBorders>
            <w:shd w:val="clear" w:color="auto" w:fill="auto"/>
            <w:noWrap/>
            <w:vAlign w:val="bottom"/>
            <w:hideMark/>
          </w:tcPr>
          <w:p w14:paraId="64CE5B4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2C8BE010" w14:textId="77777777" w:rsidTr="00765B89">
        <w:trPr>
          <w:trHeight w:val="318"/>
        </w:trPr>
        <w:tc>
          <w:tcPr>
            <w:tcW w:w="2186" w:type="dxa"/>
            <w:tcBorders>
              <w:top w:val="nil"/>
              <w:left w:val="nil"/>
              <w:bottom w:val="nil"/>
              <w:right w:val="nil"/>
            </w:tcBorders>
            <w:shd w:val="clear" w:color="auto" w:fill="auto"/>
            <w:vAlign w:val="center"/>
            <w:hideMark/>
          </w:tcPr>
          <w:p w14:paraId="6ECA397C"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Seay et al., 2023</w:t>
            </w:r>
          </w:p>
        </w:tc>
        <w:tc>
          <w:tcPr>
            <w:tcW w:w="1710" w:type="dxa"/>
            <w:tcBorders>
              <w:top w:val="nil"/>
              <w:left w:val="nil"/>
              <w:bottom w:val="nil"/>
              <w:right w:val="nil"/>
            </w:tcBorders>
            <w:shd w:val="clear" w:color="auto" w:fill="auto"/>
            <w:vAlign w:val="center"/>
            <w:hideMark/>
          </w:tcPr>
          <w:p w14:paraId="5F0C2FB9"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Potable water</w:t>
            </w:r>
          </w:p>
        </w:tc>
        <w:tc>
          <w:tcPr>
            <w:tcW w:w="0" w:type="auto"/>
            <w:tcBorders>
              <w:top w:val="nil"/>
              <w:left w:val="nil"/>
              <w:bottom w:val="nil"/>
              <w:right w:val="nil"/>
            </w:tcBorders>
            <w:shd w:val="clear" w:color="auto" w:fill="auto"/>
            <w:vAlign w:val="center"/>
            <w:hideMark/>
          </w:tcPr>
          <w:p w14:paraId="718FB8C7" w14:textId="77777777" w:rsidR="001867FE" w:rsidRPr="00774ECD" w:rsidRDefault="001867FE" w:rsidP="00416F34">
            <w:pPr>
              <w:spacing w:after="0" w:line="240" w:lineRule="auto"/>
              <w:jc w:val="center"/>
              <w:rPr>
                <w:rFonts w:ascii="Times New Roman" w:eastAsia="Times New Roman" w:hAnsi="Times New Roman" w:cs="Times New Roman"/>
                <w:kern w:val="0"/>
                <w:sz w:val="24"/>
                <w:szCs w:val="24"/>
                <w14:ligatures w14:val="none"/>
              </w:rPr>
            </w:pPr>
            <w:r w:rsidRPr="00774ECD">
              <w:rPr>
                <w:rFonts w:ascii="Times New Roman" w:eastAsia="Times New Roman" w:hAnsi="Times New Roman" w:cs="Times New Roman"/>
                <w:kern w:val="0"/>
                <w:sz w:val="24"/>
                <w:szCs w:val="24"/>
                <w14:ligatures w14:val="none"/>
              </w:rPr>
              <w:t xml:space="preserve">Ohio, United States </w:t>
            </w:r>
          </w:p>
        </w:tc>
        <w:tc>
          <w:tcPr>
            <w:tcW w:w="0" w:type="auto"/>
            <w:tcBorders>
              <w:top w:val="nil"/>
              <w:left w:val="nil"/>
              <w:bottom w:val="nil"/>
              <w:right w:val="nil"/>
            </w:tcBorders>
            <w:shd w:val="clear" w:color="auto" w:fill="auto"/>
            <w:noWrap/>
            <w:vAlign w:val="bottom"/>
            <w:hideMark/>
          </w:tcPr>
          <w:p w14:paraId="31B08BB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4.51</w:t>
            </w:r>
          </w:p>
        </w:tc>
        <w:tc>
          <w:tcPr>
            <w:tcW w:w="0" w:type="auto"/>
            <w:tcBorders>
              <w:top w:val="nil"/>
              <w:left w:val="nil"/>
              <w:bottom w:val="nil"/>
              <w:right w:val="nil"/>
            </w:tcBorders>
            <w:shd w:val="clear" w:color="auto" w:fill="auto"/>
            <w:noWrap/>
            <w:vAlign w:val="bottom"/>
            <w:hideMark/>
          </w:tcPr>
          <w:p w14:paraId="5CEC30F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0.996</w:t>
            </w:r>
          </w:p>
        </w:tc>
        <w:tc>
          <w:tcPr>
            <w:tcW w:w="0" w:type="auto"/>
            <w:tcBorders>
              <w:top w:val="nil"/>
              <w:left w:val="nil"/>
              <w:bottom w:val="nil"/>
              <w:right w:val="nil"/>
            </w:tcBorders>
            <w:shd w:val="clear" w:color="auto" w:fill="auto"/>
            <w:noWrap/>
            <w:vAlign w:val="bottom"/>
            <w:hideMark/>
          </w:tcPr>
          <w:p w14:paraId="6C1F2C8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0.348</w:t>
            </w:r>
          </w:p>
        </w:tc>
        <w:tc>
          <w:tcPr>
            <w:tcW w:w="0" w:type="auto"/>
            <w:tcBorders>
              <w:top w:val="nil"/>
              <w:left w:val="nil"/>
              <w:bottom w:val="nil"/>
              <w:right w:val="nil"/>
            </w:tcBorders>
            <w:shd w:val="clear" w:color="auto" w:fill="auto"/>
            <w:noWrap/>
            <w:vAlign w:val="bottom"/>
            <w:hideMark/>
          </w:tcPr>
          <w:p w14:paraId="02FC04B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0.569</w:t>
            </w:r>
          </w:p>
        </w:tc>
        <w:tc>
          <w:tcPr>
            <w:tcW w:w="0" w:type="auto"/>
            <w:tcBorders>
              <w:top w:val="nil"/>
              <w:left w:val="nil"/>
              <w:bottom w:val="nil"/>
              <w:right w:val="nil"/>
            </w:tcBorders>
            <w:shd w:val="clear" w:color="auto" w:fill="auto"/>
            <w:noWrap/>
            <w:vAlign w:val="bottom"/>
            <w:hideMark/>
          </w:tcPr>
          <w:p w14:paraId="194ED4C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0.751</w:t>
            </w:r>
          </w:p>
        </w:tc>
        <w:tc>
          <w:tcPr>
            <w:tcW w:w="0" w:type="auto"/>
            <w:tcBorders>
              <w:top w:val="nil"/>
              <w:left w:val="nil"/>
              <w:bottom w:val="nil"/>
              <w:right w:val="nil"/>
            </w:tcBorders>
            <w:shd w:val="clear" w:color="auto" w:fill="auto"/>
            <w:noWrap/>
            <w:vAlign w:val="bottom"/>
            <w:hideMark/>
          </w:tcPr>
          <w:p w14:paraId="004685E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0.0457</w:t>
            </w:r>
          </w:p>
        </w:tc>
      </w:tr>
      <w:tr w:rsidR="00E27DA3" w:rsidRPr="00774ECD" w14:paraId="16DC1214" w14:textId="77777777" w:rsidTr="00765B89">
        <w:trPr>
          <w:trHeight w:val="318"/>
        </w:trPr>
        <w:tc>
          <w:tcPr>
            <w:tcW w:w="2186" w:type="dxa"/>
            <w:tcBorders>
              <w:top w:val="nil"/>
              <w:left w:val="nil"/>
              <w:bottom w:val="nil"/>
              <w:right w:val="nil"/>
            </w:tcBorders>
            <w:shd w:val="clear" w:color="auto" w:fill="auto"/>
            <w:vAlign w:val="center"/>
            <w:hideMark/>
          </w:tcPr>
          <w:p w14:paraId="0D1F83E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Shiu et al., 2023</w:t>
            </w:r>
          </w:p>
        </w:tc>
        <w:tc>
          <w:tcPr>
            <w:tcW w:w="1710" w:type="dxa"/>
            <w:tcBorders>
              <w:top w:val="nil"/>
              <w:left w:val="nil"/>
              <w:bottom w:val="nil"/>
              <w:right w:val="nil"/>
            </w:tcBorders>
            <w:shd w:val="clear" w:color="auto" w:fill="auto"/>
            <w:vAlign w:val="center"/>
            <w:hideMark/>
          </w:tcPr>
          <w:p w14:paraId="0D15199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7D830D9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Taiwan</w:t>
            </w:r>
          </w:p>
        </w:tc>
        <w:tc>
          <w:tcPr>
            <w:tcW w:w="0" w:type="auto"/>
            <w:tcBorders>
              <w:top w:val="nil"/>
              <w:left w:val="nil"/>
              <w:bottom w:val="nil"/>
              <w:right w:val="nil"/>
            </w:tcBorders>
            <w:shd w:val="clear" w:color="auto" w:fill="auto"/>
            <w:noWrap/>
            <w:vAlign w:val="bottom"/>
            <w:hideMark/>
          </w:tcPr>
          <w:p w14:paraId="27AE51D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0.94</w:t>
            </w:r>
          </w:p>
        </w:tc>
        <w:tc>
          <w:tcPr>
            <w:tcW w:w="0" w:type="auto"/>
            <w:tcBorders>
              <w:top w:val="nil"/>
              <w:left w:val="nil"/>
              <w:bottom w:val="nil"/>
              <w:right w:val="nil"/>
            </w:tcBorders>
            <w:shd w:val="clear" w:color="auto" w:fill="auto"/>
            <w:noWrap/>
            <w:vAlign w:val="bottom"/>
            <w:hideMark/>
          </w:tcPr>
          <w:p w14:paraId="6586B79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1.59</w:t>
            </w:r>
          </w:p>
        </w:tc>
        <w:tc>
          <w:tcPr>
            <w:tcW w:w="0" w:type="auto"/>
            <w:tcBorders>
              <w:top w:val="nil"/>
              <w:left w:val="nil"/>
              <w:bottom w:val="nil"/>
              <w:right w:val="nil"/>
            </w:tcBorders>
            <w:shd w:val="clear" w:color="auto" w:fill="auto"/>
            <w:noWrap/>
            <w:vAlign w:val="bottom"/>
            <w:hideMark/>
          </w:tcPr>
          <w:p w14:paraId="7C3DF9D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0.13</w:t>
            </w:r>
          </w:p>
        </w:tc>
        <w:tc>
          <w:tcPr>
            <w:tcW w:w="0" w:type="auto"/>
            <w:tcBorders>
              <w:top w:val="nil"/>
              <w:left w:val="nil"/>
              <w:bottom w:val="nil"/>
              <w:right w:val="nil"/>
            </w:tcBorders>
            <w:shd w:val="clear" w:color="auto" w:fill="auto"/>
            <w:noWrap/>
            <w:vAlign w:val="bottom"/>
            <w:hideMark/>
          </w:tcPr>
          <w:p w14:paraId="70A5983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0.61</w:t>
            </w:r>
          </w:p>
        </w:tc>
        <w:tc>
          <w:tcPr>
            <w:tcW w:w="0" w:type="auto"/>
            <w:tcBorders>
              <w:top w:val="nil"/>
              <w:left w:val="nil"/>
              <w:bottom w:val="nil"/>
              <w:right w:val="nil"/>
            </w:tcBorders>
            <w:shd w:val="clear" w:color="auto" w:fill="auto"/>
            <w:noWrap/>
            <w:vAlign w:val="bottom"/>
            <w:hideMark/>
          </w:tcPr>
          <w:p w14:paraId="1BCD9FB2"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0.36</w:t>
            </w:r>
          </w:p>
        </w:tc>
        <w:tc>
          <w:tcPr>
            <w:tcW w:w="0" w:type="auto"/>
            <w:tcBorders>
              <w:top w:val="nil"/>
              <w:left w:val="nil"/>
              <w:bottom w:val="nil"/>
              <w:right w:val="nil"/>
            </w:tcBorders>
            <w:shd w:val="clear" w:color="auto" w:fill="auto"/>
            <w:noWrap/>
            <w:vAlign w:val="bottom"/>
            <w:hideMark/>
          </w:tcPr>
          <w:p w14:paraId="3A74332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36ECCD73" w14:textId="77777777" w:rsidTr="00765B89">
        <w:trPr>
          <w:trHeight w:val="318"/>
        </w:trPr>
        <w:tc>
          <w:tcPr>
            <w:tcW w:w="2186" w:type="dxa"/>
            <w:tcBorders>
              <w:top w:val="nil"/>
              <w:left w:val="nil"/>
              <w:bottom w:val="nil"/>
              <w:right w:val="nil"/>
            </w:tcBorders>
            <w:shd w:val="clear" w:color="auto" w:fill="auto"/>
            <w:vAlign w:val="center"/>
            <w:hideMark/>
          </w:tcPr>
          <w:p w14:paraId="13AE3CB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Tang et al., 2022</w:t>
            </w:r>
          </w:p>
        </w:tc>
        <w:tc>
          <w:tcPr>
            <w:tcW w:w="1710" w:type="dxa"/>
            <w:tcBorders>
              <w:top w:val="nil"/>
              <w:left w:val="nil"/>
              <w:bottom w:val="nil"/>
              <w:right w:val="nil"/>
            </w:tcBorders>
            <w:shd w:val="clear" w:color="auto" w:fill="auto"/>
            <w:vAlign w:val="center"/>
            <w:hideMark/>
          </w:tcPr>
          <w:p w14:paraId="1E5D16B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743C840D" w14:textId="77777777" w:rsidR="001867FE" w:rsidRPr="00774ECD" w:rsidRDefault="001867FE" w:rsidP="00416F34">
            <w:pPr>
              <w:spacing w:after="0" w:line="240" w:lineRule="auto"/>
              <w:jc w:val="center"/>
              <w:rPr>
                <w:rFonts w:ascii="Times New Roman" w:eastAsia="Times New Roman" w:hAnsi="Times New Roman" w:cs="Times New Roman"/>
                <w:color w:val="1F1F1F"/>
                <w:kern w:val="0"/>
                <w:sz w:val="24"/>
                <w:szCs w:val="24"/>
                <w14:ligatures w14:val="none"/>
              </w:rPr>
            </w:pPr>
            <w:r w:rsidRPr="00774ECD">
              <w:rPr>
                <w:rFonts w:ascii="Times New Roman" w:eastAsia="Times New Roman" w:hAnsi="Times New Roman" w:cs="Times New Roman"/>
                <w:color w:val="1F1F1F"/>
                <w:kern w:val="0"/>
                <w:sz w:val="24"/>
                <w:szCs w:val="24"/>
                <w14:ligatures w14:val="none"/>
              </w:rPr>
              <w:t>Poyang Lake, China</w:t>
            </w:r>
          </w:p>
        </w:tc>
        <w:tc>
          <w:tcPr>
            <w:tcW w:w="0" w:type="auto"/>
            <w:tcBorders>
              <w:top w:val="nil"/>
              <w:left w:val="nil"/>
              <w:bottom w:val="nil"/>
              <w:right w:val="nil"/>
            </w:tcBorders>
            <w:shd w:val="clear" w:color="auto" w:fill="auto"/>
            <w:noWrap/>
            <w:vAlign w:val="bottom"/>
            <w:hideMark/>
          </w:tcPr>
          <w:p w14:paraId="50A2DB4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6.5</w:t>
            </w:r>
          </w:p>
        </w:tc>
        <w:tc>
          <w:tcPr>
            <w:tcW w:w="0" w:type="auto"/>
            <w:tcBorders>
              <w:top w:val="nil"/>
              <w:left w:val="nil"/>
              <w:bottom w:val="nil"/>
              <w:right w:val="nil"/>
            </w:tcBorders>
            <w:shd w:val="clear" w:color="auto" w:fill="auto"/>
            <w:noWrap/>
            <w:vAlign w:val="bottom"/>
            <w:hideMark/>
          </w:tcPr>
          <w:p w14:paraId="12C457D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2.7</w:t>
            </w:r>
          </w:p>
        </w:tc>
        <w:tc>
          <w:tcPr>
            <w:tcW w:w="0" w:type="auto"/>
            <w:tcBorders>
              <w:top w:val="nil"/>
              <w:left w:val="nil"/>
              <w:bottom w:val="nil"/>
              <w:right w:val="nil"/>
            </w:tcBorders>
            <w:shd w:val="clear" w:color="auto" w:fill="auto"/>
            <w:noWrap/>
            <w:vAlign w:val="bottom"/>
            <w:hideMark/>
          </w:tcPr>
          <w:p w14:paraId="1169B8E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0.53</w:t>
            </w:r>
          </w:p>
        </w:tc>
        <w:tc>
          <w:tcPr>
            <w:tcW w:w="0" w:type="auto"/>
            <w:tcBorders>
              <w:top w:val="nil"/>
              <w:left w:val="nil"/>
              <w:bottom w:val="nil"/>
              <w:right w:val="nil"/>
            </w:tcBorders>
            <w:shd w:val="clear" w:color="auto" w:fill="auto"/>
            <w:noWrap/>
            <w:vAlign w:val="bottom"/>
            <w:hideMark/>
          </w:tcPr>
          <w:p w14:paraId="1FE756C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0.2</w:t>
            </w:r>
          </w:p>
        </w:tc>
        <w:tc>
          <w:tcPr>
            <w:tcW w:w="0" w:type="auto"/>
            <w:tcBorders>
              <w:top w:val="nil"/>
              <w:left w:val="nil"/>
              <w:bottom w:val="nil"/>
              <w:right w:val="nil"/>
            </w:tcBorders>
            <w:shd w:val="clear" w:color="auto" w:fill="auto"/>
            <w:noWrap/>
            <w:vAlign w:val="bottom"/>
            <w:hideMark/>
          </w:tcPr>
          <w:p w14:paraId="08F9CAF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2.2</w:t>
            </w:r>
          </w:p>
        </w:tc>
        <w:tc>
          <w:tcPr>
            <w:tcW w:w="0" w:type="auto"/>
            <w:tcBorders>
              <w:top w:val="nil"/>
              <w:left w:val="nil"/>
              <w:bottom w:val="nil"/>
              <w:right w:val="nil"/>
            </w:tcBorders>
            <w:shd w:val="clear" w:color="auto" w:fill="auto"/>
            <w:noWrap/>
            <w:vAlign w:val="bottom"/>
            <w:hideMark/>
          </w:tcPr>
          <w:p w14:paraId="71ED47E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0.55</w:t>
            </w:r>
          </w:p>
        </w:tc>
      </w:tr>
      <w:tr w:rsidR="00E27DA3" w:rsidRPr="00774ECD" w14:paraId="3014F9BA" w14:textId="77777777" w:rsidTr="00765B89">
        <w:trPr>
          <w:trHeight w:val="318"/>
        </w:trPr>
        <w:tc>
          <w:tcPr>
            <w:tcW w:w="2186" w:type="dxa"/>
            <w:tcBorders>
              <w:top w:val="nil"/>
              <w:left w:val="nil"/>
              <w:bottom w:val="nil"/>
              <w:right w:val="nil"/>
            </w:tcBorders>
            <w:shd w:val="clear" w:color="auto" w:fill="auto"/>
            <w:vAlign w:val="center"/>
            <w:hideMark/>
          </w:tcPr>
          <w:p w14:paraId="35928EE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proofErr w:type="spellStart"/>
            <w:r w:rsidRPr="00774ECD">
              <w:rPr>
                <w:rFonts w:ascii="Times New Roman" w:eastAsia="Times New Roman" w:hAnsi="Times New Roman" w:cs="Times New Roman"/>
                <w:color w:val="000000"/>
                <w:kern w:val="0"/>
                <w:sz w:val="24"/>
                <w:szCs w:val="24"/>
                <w14:ligatures w14:val="none"/>
              </w:rPr>
              <w:t>Tavasoli</w:t>
            </w:r>
            <w:proofErr w:type="spellEnd"/>
            <w:r w:rsidRPr="00774ECD">
              <w:rPr>
                <w:rFonts w:ascii="Times New Roman" w:eastAsia="Times New Roman" w:hAnsi="Times New Roman" w:cs="Times New Roman"/>
                <w:color w:val="000000"/>
                <w:kern w:val="0"/>
                <w:sz w:val="24"/>
                <w:szCs w:val="24"/>
                <w14:ligatures w14:val="none"/>
              </w:rPr>
              <w:t xml:space="preserve"> et al., 2021</w:t>
            </w:r>
          </w:p>
        </w:tc>
        <w:tc>
          <w:tcPr>
            <w:tcW w:w="1710" w:type="dxa"/>
            <w:tcBorders>
              <w:top w:val="nil"/>
              <w:left w:val="nil"/>
              <w:bottom w:val="nil"/>
              <w:right w:val="nil"/>
            </w:tcBorders>
            <w:shd w:val="clear" w:color="auto" w:fill="auto"/>
            <w:vAlign w:val="center"/>
            <w:hideMark/>
          </w:tcPr>
          <w:p w14:paraId="5281948D"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502CD47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New Hampshire, United States</w:t>
            </w:r>
          </w:p>
        </w:tc>
        <w:tc>
          <w:tcPr>
            <w:tcW w:w="0" w:type="auto"/>
            <w:tcBorders>
              <w:top w:val="nil"/>
              <w:left w:val="nil"/>
              <w:bottom w:val="nil"/>
              <w:right w:val="nil"/>
            </w:tcBorders>
            <w:shd w:val="clear" w:color="auto" w:fill="auto"/>
            <w:noWrap/>
            <w:vAlign w:val="bottom"/>
            <w:hideMark/>
          </w:tcPr>
          <w:p w14:paraId="62E0B57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2.14</w:t>
            </w:r>
          </w:p>
        </w:tc>
        <w:tc>
          <w:tcPr>
            <w:tcW w:w="0" w:type="auto"/>
            <w:tcBorders>
              <w:top w:val="nil"/>
              <w:left w:val="nil"/>
              <w:bottom w:val="nil"/>
              <w:right w:val="nil"/>
            </w:tcBorders>
            <w:shd w:val="clear" w:color="auto" w:fill="auto"/>
            <w:noWrap/>
            <w:vAlign w:val="bottom"/>
            <w:hideMark/>
          </w:tcPr>
          <w:p w14:paraId="619FAD2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3.82</w:t>
            </w:r>
          </w:p>
        </w:tc>
        <w:tc>
          <w:tcPr>
            <w:tcW w:w="0" w:type="auto"/>
            <w:tcBorders>
              <w:top w:val="nil"/>
              <w:left w:val="nil"/>
              <w:bottom w:val="nil"/>
              <w:right w:val="nil"/>
            </w:tcBorders>
            <w:shd w:val="clear" w:color="auto" w:fill="auto"/>
            <w:noWrap/>
            <w:vAlign w:val="bottom"/>
            <w:hideMark/>
          </w:tcPr>
          <w:p w14:paraId="45C310E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ND</w:t>
            </w:r>
          </w:p>
        </w:tc>
        <w:tc>
          <w:tcPr>
            <w:tcW w:w="0" w:type="auto"/>
            <w:tcBorders>
              <w:top w:val="nil"/>
              <w:left w:val="nil"/>
              <w:bottom w:val="nil"/>
              <w:right w:val="nil"/>
            </w:tcBorders>
            <w:shd w:val="clear" w:color="auto" w:fill="auto"/>
            <w:noWrap/>
            <w:vAlign w:val="bottom"/>
            <w:hideMark/>
          </w:tcPr>
          <w:p w14:paraId="676C564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1.32</w:t>
            </w:r>
          </w:p>
        </w:tc>
        <w:tc>
          <w:tcPr>
            <w:tcW w:w="0" w:type="auto"/>
            <w:tcBorders>
              <w:top w:val="nil"/>
              <w:left w:val="nil"/>
              <w:bottom w:val="nil"/>
              <w:right w:val="nil"/>
            </w:tcBorders>
            <w:shd w:val="clear" w:color="auto" w:fill="auto"/>
            <w:noWrap/>
            <w:vAlign w:val="bottom"/>
            <w:hideMark/>
          </w:tcPr>
          <w:p w14:paraId="4237560F"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1.92</w:t>
            </w:r>
          </w:p>
        </w:tc>
        <w:tc>
          <w:tcPr>
            <w:tcW w:w="0" w:type="auto"/>
            <w:tcBorders>
              <w:top w:val="nil"/>
              <w:left w:val="nil"/>
              <w:bottom w:val="nil"/>
              <w:right w:val="nil"/>
            </w:tcBorders>
            <w:shd w:val="clear" w:color="auto" w:fill="auto"/>
            <w:noWrap/>
            <w:vAlign w:val="bottom"/>
            <w:hideMark/>
          </w:tcPr>
          <w:p w14:paraId="5FED5CF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64097328" w14:textId="77777777" w:rsidTr="00765B89">
        <w:trPr>
          <w:trHeight w:val="318"/>
        </w:trPr>
        <w:tc>
          <w:tcPr>
            <w:tcW w:w="2186" w:type="dxa"/>
            <w:tcBorders>
              <w:top w:val="nil"/>
              <w:left w:val="nil"/>
              <w:bottom w:val="nil"/>
              <w:right w:val="nil"/>
            </w:tcBorders>
            <w:shd w:val="clear" w:color="auto" w:fill="auto"/>
            <w:vAlign w:val="center"/>
            <w:hideMark/>
          </w:tcPr>
          <w:p w14:paraId="2FBD27A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Vitale et al., 2023</w:t>
            </w:r>
          </w:p>
        </w:tc>
        <w:tc>
          <w:tcPr>
            <w:tcW w:w="1710" w:type="dxa"/>
            <w:tcBorders>
              <w:top w:val="nil"/>
              <w:left w:val="nil"/>
              <w:bottom w:val="nil"/>
              <w:right w:val="nil"/>
            </w:tcBorders>
            <w:shd w:val="clear" w:color="auto" w:fill="auto"/>
            <w:vAlign w:val="center"/>
            <w:hideMark/>
          </w:tcPr>
          <w:p w14:paraId="06A78F76" w14:textId="77777777" w:rsidR="001867FE" w:rsidRPr="00774ECD" w:rsidRDefault="001867FE" w:rsidP="00416F34">
            <w:pPr>
              <w:spacing w:after="0" w:line="240" w:lineRule="auto"/>
              <w:jc w:val="center"/>
              <w:rPr>
                <w:rFonts w:ascii="Times New Roman" w:eastAsia="Times New Roman" w:hAnsi="Times New Roman" w:cs="Times New Roman"/>
                <w:color w:val="1F1F1F"/>
                <w:kern w:val="0"/>
                <w:sz w:val="24"/>
                <w:szCs w:val="24"/>
                <w14:ligatures w14:val="none"/>
              </w:rPr>
            </w:pPr>
            <w:r w:rsidRPr="00774ECD">
              <w:rPr>
                <w:rFonts w:ascii="Times New Roman" w:eastAsia="Times New Roman" w:hAnsi="Times New Roman" w:cs="Times New Roman"/>
                <w:color w:val="1F1F1F"/>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6537482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 xml:space="preserve">Michigan, United States </w:t>
            </w:r>
          </w:p>
        </w:tc>
        <w:tc>
          <w:tcPr>
            <w:tcW w:w="0" w:type="auto"/>
            <w:tcBorders>
              <w:top w:val="nil"/>
              <w:left w:val="nil"/>
              <w:bottom w:val="nil"/>
              <w:right w:val="nil"/>
            </w:tcBorders>
            <w:shd w:val="clear" w:color="auto" w:fill="auto"/>
            <w:noWrap/>
            <w:vAlign w:val="bottom"/>
            <w:hideMark/>
          </w:tcPr>
          <w:p w14:paraId="14D7F968"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1.03</w:t>
            </w:r>
          </w:p>
        </w:tc>
        <w:tc>
          <w:tcPr>
            <w:tcW w:w="0" w:type="auto"/>
            <w:tcBorders>
              <w:top w:val="nil"/>
              <w:left w:val="nil"/>
              <w:bottom w:val="nil"/>
              <w:right w:val="nil"/>
            </w:tcBorders>
            <w:shd w:val="clear" w:color="auto" w:fill="auto"/>
            <w:noWrap/>
            <w:vAlign w:val="bottom"/>
            <w:hideMark/>
          </w:tcPr>
          <w:p w14:paraId="3C87BA36"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5.58</w:t>
            </w:r>
          </w:p>
        </w:tc>
        <w:tc>
          <w:tcPr>
            <w:tcW w:w="0" w:type="auto"/>
            <w:tcBorders>
              <w:top w:val="nil"/>
              <w:left w:val="nil"/>
              <w:bottom w:val="nil"/>
              <w:right w:val="nil"/>
            </w:tcBorders>
            <w:shd w:val="clear" w:color="auto" w:fill="auto"/>
            <w:noWrap/>
            <w:vAlign w:val="bottom"/>
            <w:hideMark/>
          </w:tcPr>
          <w:p w14:paraId="3DFF82A2"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ND</w:t>
            </w:r>
          </w:p>
        </w:tc>
        <w:tc>
          <w:tcPr>
            <w:tcW w:w="0" w:type="auto"/>
            <w:tcBorders>
              <w:top w:val="nil"/>
              <w:left w:val="nil"/>
              <w:bottom w:val="nil"/>
              <w:right w:val="nil"/>
            </w:tcBorders>
            <w:shd w:val="clear" w:color="auto" w:fill="auto"/>
            <w:noWrap/>
            <w:vAlign w:val="bottom"/>
            <w:hideMark/>
          </w:tcPr>
          <w:p w14:paraId="0E43529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1.6</w:t>
            </w:r>
          </w:p>
        </w:tc>
        <w:tc>
          <w:tcPr>
            <w:tcW w:w="0" w:type="auto"/>
            <w:tcBorders>
              <w:top w:val="nil"/>
              <w:left w:val="nil"/>
              <w:bottom w:val="nil"/>
              <w:right w:val="nil"/>
            </w:tcBorders>
            <w:shd w:val="clear" w:color="auto" w:fill="auto"/>
            <w:noWrap/>
            <w:vAlign w:val="bottom"/>
            <w:hideMark/>
          </w:tcPr>
          <w:p w14:paraId="47C497F1"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1.35</w:t>
            </w:r>
          </w:p>
        </w:tc>
        <w:tc>
          <w:tcPr>
            <w:tcW w:w="0" w:type="auto"/>
            <w:tcBorders>
              <w:top w:val="nil"/>
              <w:left w:val="nil"/>
              <w:bottom w:val="nil"/>
              <w:right w:val="nil"/>
            </w:tcBorders>
            <w:shd w:val="clear" w:color="auto" w:fill="auto"/>
            <w:noWrap/>
            <w:vAlign w:val="bottom"/>
            <w:hideMark/>
          </w:tcPr>
          <w:p w14:paraId="5C05C2A7"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ND</w:t>
            </w:r>
          </w:p>
        </w:tc>
      </w:tr>
      <w:tr w:rsidR="00E27DA3" w:rsidRPr="00774ECD" w14:paraId="5190332D" w14:textId="77777777" w:rsidTr="00765B89">
        <w:trPr>
          <w:trHeight w:val="318"/>
        </w:trPr>
        <w:tc>
          <w:tcPr>
            <w:tcW w:w="2186" w:type="dxa"/>
            <w:tcBorders>
              <w:top w:val="nil"/>
              <w:left w:val="nil"/>
              <w:bottom w:val="nil"/>
              <w:right w:val="nil"/>
            </w:tcBorders>
            <w:shd w:val="clear" w:color="auto" w:fill="auto"/>
            <w:vAlign w:val="center"/>
            <w:hideMark/>
          </w:tcPr>
          <w:p w14:paraId="5993B459"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proofErr w:type="spellStart"/>
            <w:r w:rsidRPr="00774ECD">
              <w:rPr>
                <w:rFonts w:ascii="Times New Roman" w:eastAsia="Times New Roman" w:hAnsi="Times New Roman" w:cs="Times New Roman"/>
                <w:color w:val="000000"/>
                <w:kern w:val="0"/>
                <w:sz w:val="24"/>
                <w:szCs w:val="24"/>
                <w14:ligatures w14:val="none"/>
              </w:rPr>
              <w:t>Viticoski</w:t>
            </w:r>
            <w:proofErr w:type="spellEnd"/>
            <w:r w:rsidRPr="00774ECD">
              <w:rPr>
                <w:rFonts w:ascii="Times New Roman" w:eastAsia="Times New Roman" w:hAnsi="Times New Roman" w:cs="Times New Roman"/>
                <w:color w:val="000000"/>
                <w:kern w:val="0"/>
                <w:sz w:val="24"/>
                <w:szCs w:val="24"/>
                <w14:ligatures w14:val="none"/>
              </w:rPr>
              <w:t xml:space="preserve"> et al., 2022</w:t>
            </w:r>
          </w:p>
        </w:tc>
        <w:tc>
          <w:tcPr>
            <w:tcW w:w="1710" w:type="dxa"/>
            <w:tcBorders>
              <w:top w:val="nil"/>
              <w:left w:val="nil"/>
              <w:bottom w:val="nil"/>
              <w:right w:val="nil"/>
            </w:tcBorders>
            <w:shd w:val="clear" w:color="auto" w:fill="auto"/>
            <w:vAlign w:val="center"/>
            <w:hideMark/>
          </w:tcPr>
          <w:p w14:paraId="127AACF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nil"/>
              <w:right w:val="nil"/>
            </w:tcBorders>
            <w:shd w:val="clear" w:color="auto" w:fill="auto"/>
            <w:vAlign w:val="center"/>
            <w:hideMark/>
          </w:tcPr>
          <w:p w14:paraId="074AA2D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 xml:space="preserve">Alabama, United States </w:t>
            </w:r>
          </w:p>
        </w:tc>
        <w:tc>
          <w:tcPr>
            <w:tcW w:w="0" w:type="auto"/>
            <w:tcBorders>
              <w:top w:val="nil"/>
              <w:left w:val="nil"/>
              <w:bottom w:val="nil"/>
              <w:right w:val="nil"/>
            </w:tcBorders>
            <w:shd w:val="clear" w:color="auto" w:fill="auto"/>
            <w:noWrap/>
            <w:vAlign w:val="bottom"/>
            <w:hideMark/>
          </w:tcPr>
          <w:p w14:paraId="5556493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6.87</w:t>
            </w:r>
          </w:p>
        </w:tc>
        <w:tc>
          <w:tcPr>
            <w:tcW w:w="0" w:type="auto"/>
            <w:tcBorders>
              <w:top w:val="nil"/>
              <w:left w:val="nil"/>
              <w:bottom w:val="nil"/>
              <w:right w:val="nil"/>
            </w:tcBorders>
            <w:shd w:val="clear" w:color="auto" w:fill="auto"/>
            <w:noWrap/>
            <w:vAlign w:val="bottom"/>
            <w:hideMark/>
          </w:tcPr>
          <w:p w14:paraId="6A44339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8.32</w:t>
            </w:r>
          </w:p>
        </w:tc>
        <w:tc>
          <w:tcPr>
            <w:tcW w:w="0" w:type="auto"/>
            <w:tcBorders>
              <w:top w:val="nil"/>
              <w:left w:val="nil"/>
              <w:bottom w:val="nil"/>
              <w:right w:val="nil"/>
            </w:tcBorders>
            <w:shd w:val="clear" w:color="auto" w:fill="auto"/>
            <w:noWrap/>
            <w:vAlign w:val="bottom"/>
            <w:hideMark/>
          </w:tcPr>
          <w:p w14:paraId="557B71C2"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c>
          <w:tcPr>
            <w:tcW w:w="0" w:type="auto"/>
            <w:tcBorders>
              <w:top w:val="nil"/>
              <w:left w:val="nil"/>
              <w:bottom w:val="nil"/>
              <w:right w:val="nil"/>
            </w:tcBorders>
            <w:shd w:val="clear" w:color="auto" w:fill="auto"/>
            <w:noWrap/>
            <w:vAlign w:val="bottom"/>
            <w:hideMark/>
          </w:tcPr>
          <w:p w14:paraId="7BC7F3C4"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c>
          <w:tcPr>
            <w:tcW w:w="0" w:type="auto"/>
            <w:tcBorders>
              <w:top w:val="nil"/>
              <w:left w:val="nil"/>
              <w:bottom w:val="nil"/>
              <w:right w:val="nil"/>
            </w:tcBorders>
            <w:shd w:val="clear" w:color="auto" w:fill="auto"/>
            <w:noWrap/>
            <w:vAlign w:val="bottom"/>
            <w:hideMark/>
          </w:tcPr>
          <w:p w14:paraId="40DFB3AB"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47</w:t>
            </w:r>
          </w:p>
        </w:tc>
        <w:tc>
          <w:tcPr>
            <w:tcW w:w="0" w:type="auto"/>
            <w:tcBorders>
              <w:top w:val="nil"/>
              <w:left w:val="nil"/>
              <w:bottom w:val="nil"/>
              <w:right w:val="nil"/>
            </w:tcBorders>
            <w:shd w:val="clear" w:color="auto" w:fill="auto"/>
            <w:noWrap/>
            <w:vAlign w:val="bottom"/>
            <w:hideMark/>
          </w:tcPr>
          <w:p w14:paraId="60FC7E90"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0CD62EC2" w14:textId="77777777" w:rsidTr="00765B89">
        <w:trPr>
          <w:trHeight w:val="334"/>
        </w:trPr>
        <w:tc>
          <w:tcPr>
            <w:tcW w:w="2186" w:type="dxa"/>
            <w:tcBorders>
              <w:top w:val="nil"/>
              <w:left w:val="nil"/>
              <w:bottom w:val="single" w:sz="8" w:space="0" w:color="auto"/>
              <w:right w:val="nil"/>
            </w:tcBorders>
            <w:shd w:val="clear" w:color="auto" w:fill="auto"/>
            <w:vAlign w:val="center"/>
            <w:hideMark/>
          </w:tcPr>
          <w:p w14:paraId="24082F86" w14:textId="77777777" w:rsidR="001867FE" w:rsidRPr="00774ECD" w:rsidRDefault="001867FE" w:rsidP="00416F34">
            <w:pPr>
              <w:spacing w:after="0" w:line="240" w:lineRule="auto"/>
              <w:jc w:val="center"/>
              <w:rPr>
                <w:rFonts w:ascii="Times New Roman" w:eastAsia="Times New Roman" w:hAnsi="Times New Roman" w:cs="Times New Roman"/>
                <w:color w:val="1F1F1F"/>
                <w:kern w:val="0"/>
                <w:sz w:val="24"/>
                <w:szCs w:val="24"/>
                <w14:ligatures w14:val="none"/>
              </w:rPr>
            </w:pPr>
            <w:r w:rsidRPr="00774ECD">
              <w:rPr>
                <w:rFonts w:ascii="Times New Roman" w:eastAsia="Times New Roman" w:hAnsi="Times New Roman" w:cs="Times New Roman"/>
                <w:color w:val="1F1F1F"/>
                <w:kern w:val="0"/>
                <w:sz w:val="24"/>
                <w:szCs w:val="24"/>
                <w14:ligatures w14:val="none"/>
              </w:rPr>
              <w:t>Xiao et al., 2021</w:t>
            </w:r>
          </w:p>
        </w:tc>
        <w:tc>
          <w:tcPr>
            <w:tcW w:w="1710" w:type="dxa"/>
            <w:tcBorders>
              <w:top w:val="nil"/>
              <w:left w:val="nil"/>
              <w:bottom w:val="single" w:sz="8" w:space="0" w:color="auto"/>
              <w:right w:val="nil"/>
            </w:tcBorders>
            <w:shd w:val="clear" w:color="auto" w:fill="auto"/>
            <w:vAlign w:val="center"/>
            <w:hideMark/>
          </w:tcPr>
          <w:p w14:paraId="6913E9E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Surface water</w:t>
            </w:r>
          </w:p>
        </w:tc>
        <w:tc>
          <w:tcPr>
            <w:tcW w:w="0" w:type="auto"/>
            <w:tcBorders>
              <w:top w:val="nil"/>
              <w:left w:val="nil"/>
              <w:bottom w:val="single" w:sz="8" w:space="0" w:color="auto"/>
              <w:right w:val="nil"/>
            </w:tcBorders>
            <w:shd w:val="clear" w:color="auto" w:fill="auto"/>
            <w:vAlign w:val="center"/>
            <w:hideMark/>
          </w:tcPr>
          <w:p w14:paraId="3C01A5B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South China Sea</w:t>
            </w:r>
          </w:p>
        </w:tc>
        <w:tc>
          <w:tcPr>
            <w:tcW w:w="0" w:type="auto"/>
            <w:tcBorders>
              <w:top w:val="nil"/>
              <w:left w:val="nil"/>
              <w:bottom w:val="single" w:sz="8" w:space="0" w:color="auto"/>
              <w:right w:val="nil"/>
            </w:tcBorders>
            <w:shd w:val="clear" w:color="auto" w:fill="auto"/>
            <w:noWrap/>
            <w:vAlign w:val="bottom"/>
            <w:hideMark/>
          </w:tcPr>
          <w:p w14:paraId="263FA3B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0.72</w:t>
            </w:r>
          </w:p>
        </w:tc>
        <w:tc>
          <w:tcPr>
            <w:tcW w:w="0" w:type="auto"/>
            <w:tcBorders>
              <w:top w:val="nil"/>
              <w:left w:val="nil"/>
              <w:bottom w:val="single" w:sz="8" w:space="0" w:color="auto"/>
              <w:right w:val="nil"/>
            </w:tcBorders>
            <w:shd w:val="clear" w:color="auto" w:fill="auto"/>
            <w:noWrap/>
            <w:vAlign w:val="bottom"/>
            <w:hideMark/>
          </w:tcPr>
          <w:p w14:paraId="72797B53"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0.14</w:t>
            </w:r>
          </w:p>
        </w:tc>
        <w:tc>
          <w:tcPr>
            <w:tcW w:w="0" w:type="auto"/>
            <w:tcBorders>
              <w:top w:val="nil"/>
              <w:left w:val="nil"/>
              <w:bottom w:val="single" w:sz="8" w:space="0" w:color="auto"/>
              <w:right w:val="nil"/>
            </w:tcBorders>
            <w:shd w:val="clear" w:color="auto" w:fill="auto"/>
            <w:noWrap/>
            <w:vAlign w:val="bottom"/>
            <w:hideMark/>
          </w:tcPr>
          <w:p w14:paraId="397D0E0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0.09</w:t>
            </w:r>
          </w:p>
        </w:tc>
        <w:tc>
          <w:tcPr>
            <w:tcW w:w="0" w:type="auto"/>
            <w:tcBorders>
              <w:top w:val="nil"/>
              <w:left w:val="nil"/>
              <w:bottom w:val="single" w:sz="8" w:space="0" w:color="auto"/>
              <w:right w:val="nil"/>
            </w:tcBorders>
            <w:shd w:val="clear" w:color="auto" w:fill="auto"/>
            <w:noWrap/>
            <w:vAlign w:val="bottom"/>
            <w:hideMark/>
          </w:tcPr>
          <w:p w14:paraId="0D90B59C"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0.11</w:t>
            </w:r>
          </w:p>
        </w:tc>
        <w:tc>
          <w:tcPr>
            <w:tcW w:w="0" w:type="auto"/>
            <w:tcBorders>
              <w:top w:val="nil"/>
              <w:left w:val="nil"/>
              <w:bottom w:val="single" w:sz="8" w:space="0" w:color="auto"/>
              <w:right w:val="nil"/>
            </w:tcBorders>
            <w:shd w:val="clear" w:color="auto" w:fill="auto"/>
            <w:noWrap/>
            <w:vAlign w:val="bottom"/>
            <w:hideMark/>
          </w:tcPr>
          <w:p w14:paraId="0393CD95"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0.17</w:t>
            </w:r>
          </w:p>
        </w:tc>
        <w:tc>
          <w:tcPr>
            <w:tcW w:w="0" w:type="auto"/>
            <w:tcBorders>
              <w:top w:val="nil"/>
              <w:left w:val="nil"/>
              <w:bottom w:val="single" w:sz="8" w:space="0" w:color="auto"/>
              <w:right w:val="nil"/>
            </w:tcBorders>
            <w:shd w:val="clear" w:color="auto" w:fill="auto"/>
            <w:noWrap/>
            <w:vAlign w:val="bottom"/>
            <w:hideMark/>
          </w:tcPr>
          <w:p w14:paraId="5842918A"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w:t>
            </w:r>
          </w:p>
        </w:tc>
      </w:tr>
      <w:tr w:rsidR="00E27DA3" w:rsidRPr="00774ECD" w14:paraId="7459CA4C" w14:textId="77777777" w:rsidTr="00765B89">
        <w:trPr>
          <w:trHeight w:val="318"/>
        </w:trPr>
        <w:tc>
          <w:tcPr>
            <w:tcW w:w="0" w:type="auto"/>
            <w:gridSpan w:val="2"/>
            <w:tcBorders>
              <w:top w:val="nil"/>
              <w:left w:val="nil"/>
              <w:bottom w:val="nil"/>
              <w:right w:val="nil"/>
            </w:tcBorders>
            <w:shd w:val="clear" w:color="auto" w:fill="auto"/>
            <w:vAlign w:val="center"/>
            <w:hideMark/>
          </w:tcPr>
          <w:p w14:paraId="0FCC70DE" w14:textId="77777777" w:rsidR="001867FE" w:rsidRPr="00774ECD" w:rsidRDefault="001867FE" w:rsidP="00416F34">
            <w:pPr>
              <w:spacing w:after="0" w:line="240" w:lineRule="auto"/>
              <w:jc w:val="center"/>
              <w:rPr>
                <w:rFonts w:ascii="Times New Roman" w:eastAsia="Times New Roman" w:hAnsi="Times New Roman" w:cs="Times New Roman"/>
                <w:color w:val="000000"/>
                <w:kern w:val="0"/>
                <w:sz w:val="24"/>
                <w:szCs w:val="24"/>
                <w14:ligatures w14:val="none"/>
              </w:rPr>
            </w:pPr>
            <w:r w:rsidRPr="00774ECD">
              <w:rPr>
                <w:rFonts w:ascii="Times New Roman" w:eastAsia="Times New Roman" w:hAnsi="Times New Roman" w:cs="Times New Roman"/>
                <w:color w:val="000000"/>
                <w:kern w:val="0"/>
                <w:sz w:val="24"/>
                <w:szCs w:val="24"/>
                <w14:ligatures w14:val="none"/>
              </w:rPr>
              <w:t>ND= Not Detected</w:t>
            </w:r>
          </w:p>
        </w:tc>
        <w:tc>
          <w:tcPr>
            <w:tcW w:w="0" w:type="auto"/>
            <w:tcBorders>
              <w:top w:val="nil"/>
              <w:left w:val="nil"/>
              <w:bottom w:val="nil"/>
              <w:right w:val="nil"/>
            </w:tcBorders>
            <w:shd w:val="clear" w:color="auto" w:fill="auto"/>
            <w:noWrap/>
            <w:vAlign w:val="bottom"/>
            <w:hideMark/>
          </w:tcPr>
          <w:p w14:paraId="3112A474" w14:textId="77777777" w:rsidR="001867FE" w:rsidRPr="00774ECD" w:rsidRDefault="001867FE" w:rsidP="00416F34">
            <w:pPr>
              <w:spacing w:after="0" w:line="240" w:lineRule="auto"/>
              <w:rPr>
                <w:rFonts w:ascii="Times New Roman" w:eastAsia="Times New Roman" w:hAnsi="Times New Roman" w:cs="Times New Roman"/>
                <w:kern w:val="0"/>
                <w:sz w:val="24"/>
                <w:szCs w:val="24"/>
                <w14:ligatures w14:val="none"/>
              </w:rPr>
            </w:pPr>
          </w:p>
        </w:tc>
        <w:tc>
          <w:tcPr>
            <w:tcW w:w="0" w:type="auto"/>
            <w:tcBorders>
              <w:top w:val="nil"/>
              <w:left w:val="nil"/>
              <w:bottom w:val="nil"/>
              <w:right w:val="nil"/>
            </w:tcBorders>
            <w:shd w:val="clear" w:color="auto" w:fill="auto"/>
            <w:noWrap/>
            <w:vAlign w:val="bottom"/>
            <w:hideMark/>
          </w:tcPr>
          <w:p w14:paraId="333BCBA3" w14:textId="77777777" w:rsidR="001867FE" w:rsidRPr="00774ECD" w:rsidRDefault="001867FE" w:rsidP="00416F34">
            <w:pPr>
              <w:spacing w:after="0" w:line="240" w:lineRule="auto"/>
              <w:rPr>
                <w:rFonts w:ascii="Times New Roman" w:eastAsia="Times New Roman" w:hAnsi="Times New Roman" w:cs="Times New Roman"/>
                <w:kern w:val="0"/>
                <w:sz w:val="24"/>
                <w:szCs w:val="24"/>
                <w14:ligatures w14:val="none"/>
              </w:rPr>
            </w:pPr>
          </w:p>
        </w:tc>
        <w:tc>
          <w:tcPr>
            <w:tcW w:w="0" w:type="auto"/>
            <w:tcBorders>
              <w:top w:val="nil"/>
              <w:left w:val="nil"/>
              <w:bottom w:val="nil"/>
              <w:right w:val="nil"/>
            </w:tcBorders>
            <w:shd w:val="clear" w:color="auto" w:fill="auto"/>
            <w:noWrap/>
            <w:vAlign w:val="bottom"/>
            <w:hideMark/>
          </w:tcPr>
          <w:p w14:paraId="17FFE95C" w14:textId="77777777" w:rsidR="001867FE" w:rsidRPr="00774ECD" w:rsidRDefault="001867FE" w:rsidP="00416F34">
            <w:pPr>
              <w:spacing w:after="0" w:line="240" w:lineRule="auto"/>
              <w:rPr>
                <w:rFonts w:ascii="Times New Roman" w:eastAsia="Times New Roman" w:hAnsi="Times New Roman" w:cs="Times New Roman"/>
                <w:kern w:val="0"/>
                <w:sz w:val="24"/>
                <w:szCs w:val="24"/>
                <w14:ligatures w14:val="none"/>
              </w:rPr>
            </w:pPr>
          </w:p>
        </w:tc>
        <w:tc>
          <w:tcPr>
            <w:tcW w:w="0" w:type="auto"/>
            <w:tcBorders>
              <w:top w:val="nil"/>
              <w:left w:val="nil"/>
              <w:bottom w:val="nil"/>
              <w:right w:val="nil"/>
            </w:tcBorders>
            <w:shd w:val="clear" w:color="auto" w:fill="auto"/>
            <w:noWrap/>
            <w:vAlign w:val="bottom"/>
            <w:hideMark/>
          </w:tcPr>
          <w:p w14:paraId="4FA82A4A" w14:textId="77777777" w:rsidR="001867FE" w:rsidRPr="00774ECD" w:rsidRDefault="001867FE" w:rsidP="00416F34">
            <w:pPr>
              <w:spacing w:after="0" w:line="240" w:lineRule="auto"/>
              <w:rPr>
                <w:rFonts w:ascii="Times New Roman" w:eastAsia="Times New Roman" w:hAnsi="Times New Roman" w:cs="Times New Roman"/>
                <w:kern w:val="0"/>
                <w:sz w:val="24"/>
                <w:szCs w:val="24"/>
                <w14:ligatures w14:val="none"/>
              </w:rPr>
            </w:pPr>
          </w:p>
        </w:tc>
        <w:tc>
          <w:tcPr>
            <w:tcW w:w="0" w:type="auto"/>
            <w:tcBorders>
              <w:top w:val="nil"/>
              <w:left w:val="nil"/>
              <w:bottom w:val="nil"/>
              <w:right w:val="nil"/>
            </w:tcBorders>
            <w:shd w:val="clear" w:color="auto" w:fill="auto"/>
            <w:noWrap/>
            <w:vAlign w:val="bottom"/>
            <w:hideMark/>
          </w:tcPr>
          <w:p w14:paraId="016B37BF" w14:textId="77777777" w:rsidR="001867FE" w:rsidRPr="00774ECD" w:rsidRDefault="001867FE" w:rsidP="00416F34">
            <w:pPr>
              <w:spacing w:after="0" w:line="240" w:lineRule="auto"/>
              <w:rPr>
                <w:rFonts w:ascii="Times New Roman" w:eastAsia="Times New Roman" w:hAnsi="Times New Roman" w:cs="Times New Roman"/>
                <w:kern w:val="0"/>
                <w:sz w:val="24"/>
                <w:szCs w:val="24"/>
                <w14:ligatures w14:val="none"/>
              </w:rPr>
            </w:pPr>
          </w:p>
        </w:tc>
        <w:tc>
          <w:tcPr>
            <w:tcW w:w="0" w:type="auto"/>
            <w:tcBorders>
              <w:top w:val="nil"/>
              <w:left w:val="nil"/>
              <w:bottom w:val="nil"/>
              <w:right w:val="nil"/>
            </w:tcBorders>
            <w:shd w:val="clear" w:color="auto" w:fill="auto"/>
            <w:noWrap/>
            <w:vAlign w:val="bottom"/>
            <w:hideMark/>
          </w:tcPr>
          <w:p w14:paraId="09464C38" w14:textId="77777777" w:rsidR="001867FE" w:rsidRPr="00774ECD" w:rsidRDefault="001867FE" w:rsidP="00416F34">
            <w:pPr>
              <w:spacing w:after="0" w:line="240" w:lineRule="auto"/>
              <w:rPr>
                <w:rFonts w:ascii="Times New Roman" w:eastAsia="Times New Roman" w:hAnsi="Times New Roman" w:cs="Times New Roman"/>
                <w:kern w:val="0"/>
                <w:sz w:val="24"/>
                <w:szCs w:val="24"/>
                <w14:ligatures w14:val="none"/>
              </w:rPr>
            </w:pPr>
          </w:p>
        </w:tc>
        <w:tc>
          <w:tcPr>
            <w:tcW w:w="0" w:type="auto"/>
            <w:tcBorders>
              <w:top w:val="nil"/>
              <w:left w:val="nil"/>
              <w:bottom w:val="nil"/>
              <w:right w:val="nil"/>
            </w:tcBorders>
            <w:shd w:val="clear" w:color="auto" w:fill="auto"/>
            <w:noWrap/>
            <w:vAlign w:val="bottom"/>
            <w:hideMark/>
          </w:tcPr>
          <w:p w14:paraId="68E6ABCD" w14:textId="77777777" w:rsidR="001867FE" w:rsidRPr="00774ECD" w:rsidRDefault="001867FE" w:rsidP="00416F34">
            <w:pPr>
              <w:spacing w:after="0" w:line="240" w:lineRule="auto"/>
              <w:rPr>
                <w:rFonts w:ascii="Times New Roman" w:eastAsia="Times New Roman" w:hAnsi="Times New Roman" w:cs="Times New Roman"/>
                <w:kern w:val="0"/>
                <w:sz w:val="24"/>
                <w:szCs w:val="24"/>
                <w14:ligatures w14:val="none"/>
              </w:rPr>
            </w:pPr>
          </w:p>
        </w:tc>
      </w:tr>
    </w:tbl>
    <w:p w14:paraId="36A14B0B" w14:textId="77777777" w:rsidR="00CE3963" w:rsidRPr="00774ECD" w:rsidRDefault="00CE3963" w:rsidP="00153425">
      <w:pPr>
        <w:pBdr>
          <w:top w:val="nil"/>
          <w:left w:val="nil"/>
          <w:bottom w:val="nil"/>
          <w:right w:val="nil"/>
          <w:between w:val="nil"/>
        </w:pBdr>
        <w:spacing w:after="0" w:line="360" w:lineRule="auto"/>
        <w:jc w:val="both"/>
        <w:rPr>
          <w:rFonts w:ascii="Times New Roman" w:eastAsia="Times New Roman" w:hAnsi="Times New Roman" w:cs="Times New Roman"/>
          <w:sz w:val="24"/>
          <w:szCs w:val="24"/>
        </w:rPr>
        <w:sectPr w:rsidR="00CE3963" w:rsidRPr="00774ECD" w:rsidSect="00CE3963">
          <w:pgSz w:w="15840" w:h="12240" w:orient="landscape"/>
          <w:pgMar w:top="1440" w:right="1440" w:bottom="1440" w:left="1440" w:header="720" w:footer="720" w:gutter="0"/>
          <w:cols w:space="720"/>
          <w:docGrid w:linePitch="360"/>
        </w:sectPr>
      </w:pPr>
    </w:p>
    <w:p w14:paraId="65FA82BA" w14:textId="4FC906BD" w:rsidR="001867FE" w:rsidRPr="00774ECD" w:rsidRDefault="00567736" w:rsidP="00567736">
      <w:pPr>
        <w:pStyle w:val="Heading1"/>
        <w:rPr>
          <w:rFonts w:ascii="Times New Roman" w:eastAsia="Times New Roman" w:hAnsi="Times New Roman" w:cs="Times New Roman"/>
          <w:sz w:val="24"/>
          <w:szCs w:val="24"/>
        </w:rPr>
      </w:pPr>
      <w:r w:rsidRPr="00774ECD">
        <w:rPr>
          <w:rFonts w:ascii="Times New Roman" w:eastAsia="Times New Roman" w:hAnsi="Times New Roman" w:cs="Times New Roman"/>
          <w:sz w:val="24"/>
          <w:szCs w:val="24"/>
        </w:rPr>
        <w:lastRenderedPageBreak/>
        <w:t>References</w:t>
      </w:r>
    </w:p>
    <w:p w14:paraId="3F3699B1" w14:textId="7CF793DF" w:rsidR="00F01638" w:rsidRPr="00774ECD" w:rsidRDefault="00C02CD9" w:rsidP="00F01638">
      <w:pPr>
        <w:pStyle w:val="EndNoteBibliography"/>
        <w:spacing w:after="0"/>
        <w:ind w:left="720" w:hanging="720"/>
        <w:rPr>
          <w:rFonts w:ascii="Times New Roman" w:hAnsi="Times New Roman" w:cs="Times New Roman"/>
          <w:sz w:val="24"/>
          <w:szCs w:val="24"/>
        </w:rPr>
      </w:pPr>
      <w:r w:rsidRPr="00774ECD">
        <w:rPr>
          <w:rFonts w:ascii="Times New Roman" w:hAnsi="Times New Roman" w:cs="Times New Roman"/>
          <w:sz w:val="24"/>
          <w:szCs w:val="24"/>
        </w:rPr>
        <w:fldChar w:fldCharType="begin"/>
      </w:r>
      <w:r w:rsidRPr="00774ECD">
        <w:rPr>
          <w:rFonts w:ascii="Times New Roman" w:hAnsi="Times New Roman" w:cs="Times New Roman"/>
          <w:sz w:val="24"/>
          <w:szCs w:val="24"/>
        </w:rPr>
        <w:instrText xml:space="preserve"> ADDIN EN.REFLIST </w:instrText>
      </w:r>
      <w:r w:rsidRPr="00774ECD">
        <w:rPr>
          <w:rFonts w:ascii="Times New Roman" w:hAnsi="Times New Roman" w:cs="Times New Roman"/>
          <w:sz w:val="24"/>
          <w:szCs w:val="24"/>
        </w:rPr>
        <w:fldChar w:fldCharType="separate"/>
      </w:r>
      <w:r w:rsidR="00F01638" w:rsidRPr="00774ECD">
        <w:rPr>
          <w:rFonts w:ascii="Times New Roman" w:hAnsi="Times New Roman" w:cs="Times New Roman"/>
          <w:sz w:val="24"/>
          <w:szCs w:val="24"/>
        </w:rPr>
        <w:t xml:space="preserve">Barber, L. B., Pickard, H. M., Alvarez, D. A., Becanova, J., Keefe, S. H., LeBlanc, D. R., Lohmann, R., Steevens, J. A., &amp; Vajda, A. M. (2023). Uptake of Per- and Polyfluoroalkyl Substances by Fish, Mussel, and Passive Samplers in Mobile-Laboratory Exposures Using Groundwater from a Contamination Plume at a Historical Fire Training Area, Cape Cod, Massachusetts. </w:t>
      </w:r>
      <w:r w:rsidR="00F01638" w:rsidRPr="00774ECD">
        <w:rPr>
          <w:rFonts w:ascii="Times New Roman" w:hAnsi="Times New Roman" w:cs="Times New Roman"/>
          <w:i/>
          <w:sz w:val="24"/>
          <w:szCs w:val="24"/>
        </w:rPr>
        <w:t>Environmental Science &amp; Technology</w:t>
      </w:r>
      <w:r w:rsidR="00F01638" w:rsidRPr="00774ECD">
        <w:rPr>
          <w:rFonts w:ascii="Times New Roman" w:hAnsi="Times New Roman" w:cs="Times New Roman"/>
          <w:sz w:val="24"/>
          <w:szCs w:val="24"/>
        </w:rPr>
        <w:t>,</w:t>
      </w:r>
      <w:r w:rsidR="00F01638" w:rsidRPr="00774ECD">
        <w:rPr>
          <w:rFonts w:ascii="Times New Roman" w:hAnsi="Times New Roman" w:cs="Times New Roman"/>
          <w:i/>
          <w:sz w:val="24"/>
          <w:szCs w:val="24"/>
        </w:rPr>
        <w:t xml:space="preserve"> 57</w:t>
      </w:r>
      <w:r w:rsidR="00F01638" w:rsidRPr="00774ECD">
        <w:rPr>
          <w:rFonts w:ascii="Times New Roman" w:hAnsi="Times New Roman" w:cs="Times New Roman"/>
          <w:sz w:val="24"/>
          <w:szCs w:val="24"/>
        </w:rPr>
        <w:t xml:space="preserve">(7), 5544-5557. </w:t>
      </w:r>
      <w:hyperlink r:id="rId5" w:history="1">
        <w:r w:rsidR="00F01638" w:rsidRPr="00774ECD">
          <w:rPr>
            <w:rStyle w:val="Hyperlink"/>
            <w:rFonts w:ascii="Times New Roman" w:hAnsi="Times New Roman" w:cs="Times New Roman"/>
            <w:sz w:val="24"/>
            <w:szCs w:val="24"/>
          </w:rPr>
          <w:t>https://doi.org/10.1021/acs.est.2c06500</w:t>
        </w:r>
      </w:hyperlink>
      <w:r w:rsidR="00F01638" w:rsidRPr="00774ECD">
        <w:rPr>
          <w:rFonts w:ascii="Times New Roman" w:hAnsi="Times New Roman" w:cs="Times New Roman"/>
          <w:sz w:val="24"/>
          <w:szCs w:val="24"/>
        </w:rPr>
        <w:t xml:space="preserve"> </w:t>
      </w:r>
    </w:p>
    <w:p w14:paraId="17B93F6B" w14:textId="04B1AAF7" w:rsidR="00F01638" w:rsidRPr="00774ECD" w:rsidRDefault="00F01638" w:rsidP="00F01638">
      <w:pPr>
        <w:pStyle w:val="EndNoteBibliography"/>
        <w:spacing w:after="0"/>
        <w:ind w:left="720" w:hanging="720"/>
        <w:rPr>
          <w:rFonts w:ascii="Times New Roman" w:hAnsi="Times New Roman" w:cs="Times New Roman"/>
          <w:sz w:val="24"/>
          <w:szCs w:val="24"/>
        </w:rPr>
      </w:pPr>
      <w:r w:rsidRPr="00774ECD">
        <w:rPr>
          <w:rFonts w:ascii="Times New Roman" w:hAnsi="Times New Roman" w:cs="Times New Roman"/>
          <w:sz w:val="24"/>
          <w:szCs w:val="24"/>
        </w:rPr>
        <w:t xml:space="preserve">Canez, T. T., Guo, B., McIntosh, J. C., &amp; Brusseau, M. L. (2021). Perfluoroalkyl and polyfluoroalkyl substances (PFAS) in groundwater at a reclaimed water recharge facility. </w:t>
      </w:r>
      <w:r w:rsidRPr="00774ECD">
        <w:rPr>
          <w:rFonts w:ascii="Times New Roman" w:hAnsi="Times New Roman" w:cs="Times New Roman"/>
          <w:i/>
          <w:sz w:val="24"/>
          <w:szCs w:val="24"/>
        </w:rPr>
        <w:t>Science of the Total Environment</w:t>
      </w:r>
      <w:r w:rsidRPr="00774ECD">
        <w:rPr>
          <w:rFonts w:ascii="Times New Roman" w:hAnsi="Times New Roman" w:cs="Times New Roman"/>
          <w:sz w:val="24"/>
          <w:szCs w:val="24"/>
        </w:rPr>
        <w:t>,</w:t>
      </w:r>
      <w:r w:rsidRPr="00774ECD">
        <w:rPr>
          <w:rFonts w:ascii="Times New Roman" w:hAnsi="Times New Roman" w:cs="Times New Roman"/>
          <w:i/>
          <w:sz w:val="24"/>
          <w:szCs w:val="24"/>
        </w:rPr>
        <w:t xml:space="preserve"> 791</w:t>
      </w:r>
      <w:r w:rsidRPr="00774ECD">
        <w:rPr>
          <w:rFonts w:ascii="Times New Roman" w:hAnsi="Times New Roman" w:cs="Times New Roman"/>
          <w:sz w:val="24"/>
          <w:szCs w:val="24"/>
        </w:rPr>
        <w:t xml:space="preserve">, Article 147906. </w:t>
      </w:r>
      <w:hyperlink r:id="rId6" w:history="1">
        <w:r w:rsidRPr="00774ECD">
          <w:rPr>
            <w:rStyle w:val="Hyperlink"/>
            <w:rFonts w:ascii="Times New Roman" w:hAnsi="Times New Roman" w:cs="Times New Roman"/>
            <w:sz w:val="24"/>
            <w:szCs w:val="24"/>
          </w:rPr>
          <w:t>https://doi.org/10.1016/j.scitotenv.2021.147906</w:t>
        </w:r>
      </w:hyperlink>
      <w:r w:rsidRPr="00774ECD">
        <w:rPr>
          <w:rFonts w:ascii="Times New Roman" w:hAnsi="Times New Roman" w:cs="Times New Roman"/>
          <w:sz w:val="24"/>
          <w:szCs w:val="24"/>
        </w:rPr>
        <w:t xml:space="preserve"> </w:t>
      </w:r>
    </w:p>
    <w:p w14:paraId="055FA05C" w14:textId="6E7F8BA6" w:rsidR="00F01638" w:rsidRPr="00774ECD" w:rsidRDefault="00F01638" w:rsidP="00F01638">
      <w:pPr>
        <w:pStyle w:val="EndNoteBibliography"/>
        <w:ind w:left="720" w:hanging="720"/>
        <w:rPr>
          <w:rFonts w:ascii="Times New Roman" w:hAnsi="Times New Roman" w:cs="Times New Roman"/>
          <w:sz w:val="24"/>
          <w:szCs w:val="24"/>
        </w:rPr>
      </w:pPr>
      <w:r w:rsidRPr="00774ECD">
        <w:rPr>
          <w:rFonts w:ascii="Times New Roman" w:hAnsi="Times New Roman" w:cs="Times New Roman"/>
          <w:sz w:val="24"/>
          <w:szCs w:val="24"/>
        </w:rPr>
        <w:t xml:space="preserve">Xiao, S. K., Wu, Q., Pan, C. G., Yin, C., Wang, Y. H., &amp; Yu, K. F. (2021). Distribution, partitioning behavior and potential source of legacy and alternative per- and polyfluoroalkyl substances (PFASs) in water and sediments from a subtropical Gulf, South China Sea. </w:t>
      </w:r>
      <w:r w:rsidRPr="00774ECD">
        <w:rPr>
          <w:rFonts w:ascii="Times New Roman" w:hAnsi="Times New Roman" w:cs="Times New Roman"/>
          <w:i/>
          <w:sz w:val="24"/>
          <w:szCs w:val="24"/>
        </w:rPr>
        <w:t>Environmental Research</w:t>
      </w:r>
      <w:r w:rsidRPr="00774ECD">
        <w:rPr>
          <w:rFonts w:ascii="Times New Roman" w:hAnsi="Times New Roman" w:cs="Times New Roman"/>
          <w:sz w:val="24"/>
          <w:szCs w:val="24"/>
        </w:rPr>
        <w:t>,</w:t>
      </w:r>
      <w:r w:rsidRPr="00774ECD">
        <w:rPr>
          <w:rFonts w:ascii="Times New Roman" w:hAnsi="Times New Roman" w:cs="Times New Roman"/>
          <w:i/>
          <w:sz w:val="24"/>
          <w:szCs w:val="24"/>
        </w:rPr>
        <w:t xml:space="preserve"> 201</w:t>
      </w:r>
      <w:r w:rsidRPr="00774ECD">
        <w:rPr>
          <w:rFonts w:ascii="Times New Roman" w:hAnsi="Times New Roman" w:cs="Times New Roman"/>
          <w:sz w:val="24"/>
          <w:szCs w:val="24"/>
        </w:rPr>
        <w:t xml:space="preserve">, Article 111485. </w:t>
      </w:r>
      <w:hyperlink r:id="rId7" w:history="1">
        <w:r w:rsidRPr="00774ECD">
          <w:rPr>
            <w:rStyle w:val="Hyperlink"/>
            <w:rFonts w:ascii="Times New Roman" w:hAnsi="Times New Roman" w:cs="Times New Roman"/>
            <w:sz w:val="24"/>
            <w:szCs w:val="24"/>
          </w:rPr>
          <w:t>https://doi.org/10.1016/j.envres.2021.111485</w:t>
        </w:r>
      </w:hyperlink>
      <w:r w:rsidRPr="00774ECD">
        <w:rPr>
          <w:rFonts w:ascii="Times New Roman" w:hAnsi="Times New Roman" w:cs="Times New Roman"/>
          <w:sz w:val="24"/>
          <w:szCs w:val="24"/>
        </w:rPr>
        <w:t xml:space="preserve"> </w:t>
      </w:r>
    </w:p>
    <w:p w14:paraId="4B1D2BB0" w14:textId="3E6A0C1E" w:rsidR="0095610A" w:rsidRDefault="00C02CD9">
      <w:pPr>
        <w:rPr>
          <w:rFonts w:ascii="Times New Roman" w:hAnsi="Times New Roman" w:cs="Times New Roman"/>
          <w:sz w:val="24"/>
          <w:szCs w:val="24"/>
        </w:rPr>
      </w:pPr>
      <w:r w:rsidRPr="00774ECD">
        <w:rPr>
          <w:rFonts w:ascii="Times New Roman" w:hAnsi="Times New Roman" w:cs="Times New Roman"/>
          <w:sz w:val="24"/>
          <w:szCs w:val="24"/>
        </w:rPr>
        <w:fldChar w:fldCharType="end"/>
      </w:r>
    </w:p>
    <w:p w14:paraId="08198A42" w14:textId="77777777" w:rsidR="00B85085" w:rsidRDefault="00B85085">
      <w:pPr>
        <w:rPr>
          <w:rFonts w:ascii="Times New Roman" w:hAnsi="Times New Roman" w:cs="Times New Roman"/>
          <w:sz w:val="24"/>
          <w:szCs w:val="24"/>
        </w:rPr>
      </w:pPr>
    </w:p>
    <w:p w14:paraId="7BC5F0A0" w14:textId="77777777" w:rsidR="00B85085" w:rsidRDefault="00B85085">
      <w:pPr>
        <w:rPr>
          <w:rFonts w:ascii="Times New Roman" w:hAnsi="Times New Roman" w:cs="Times New Roman"/>
          <w:sz w:val="24"/>
          <w:szCs w:val="24"/>
        </w:rPr>
      </w:pPr>
    </w:p>
    <w:p w14:paraId="54AB10C8" w14:textId="24DDBEEC" w:rsidR="00B85085" w:rsidRDefault="00B85085">
      <w:pPr>
        <w:rPr>
          <w:rFonts w:ascii="Times New Roman" w:hAnsi="Times New Roman" w:cs="Times New Roman"/>
          <w:sz w:val="24"/>
          <w:szCs w:val="24"/>
        </w:rPr>
      </w:pPr>
    </w:p>
    <w:p w14:paraId="21E6A48F" w14:textId="77777777" w:rsidR="00836ECA" w:rsidRPr="00774ECD" w:rsidRDefault="00836ECA">
      <w:pPr>
        <w:rPr>
          <w:rFonts w:ascii="Times New Roman" w:hAnsi="Times New Roman" w:cs="Times New Roman"/>
          <w:sz w:val="24"/>
          <w:szCs w:val="24"/>
        </w:rPr>
      </w:pPr>
    </w:p>
    <w:sectPr w:rsidR="00836ECA" w:rsidRPr="00774E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tad9590eprt07epr2avrp2n5zrefvv5rwff&quot;&gt;Source, Occurance and Exposure&lt;record-ids&gt;&lt;item&gt;33&lt;/item&gt;&lt;item&gt;50&lt;/item&gt;&lt;item&gt;78&lt;/item&gt;&lt;/record-ids&gt;&lt;/item&gt;&lt;/Libraries&gt;"/>
  </w:docVars>
  <w:rsids>
    <w:rsidRoot w:val="004C56DE"/>
    <w:rsid w:val="00153425"/>
    <w:rsid w:val="001716D0"/>
    <w:rsid w:val="001867FE"/>
    <w:rsid w:val="003E3964"/>
    <w:rsid w:val="00433E84"/>
    <w:rsid w:val="00440853"/>
    <w:rsid w:val="004C56DE"/>
    <w:rsid w:val="00567736"/>
    <w:rsid w:val="00601897"/>
    <w:rsid w:val="00605742"/>
    <w:rsid w:val="006A5966"/>
    <w:rsid w:val="00765B89"/>
    <w:rsid w:val="00774ECD"/>
    <w:rsid w:val="00836ECA"/>
    <w:rsid w:val="0088660E"/>
    <w:rsid w:val="009232AB"/>
    <w:rsid w:val="0095610A"/>
    <w:rsid w:val="00A33754"/>
    <w:rsid w:val="00A36415"/>
    <w:rsid w:val="00A73972"/>
    <w:rsid w:val="00B85085"/>
    <w:rsid w:val="00C02CD9"/>
    <w:rsid w:val="00C26B94"/>
    <w:rsid w:val="00C909A5"/>
    <w:rsid w:val="00CE3963"/>
    <w:rsid w:val="00D25157"/>
    <w:rsid w:val="00DA4D50"/>
    <w:rsid w:val="00DC31D4"/>
    <w:rsid w:val="00DD041F"/>
    <w:rsid w:val="00E27DA3"/>
    <w:rsid w:val="00F01638"/>
    <w:rsid w:val="00FC1220"/>
    <w:rsid w:val="00FD45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F4676C"/>
  <w15:chartTrackingRefBased/>
  <w15:docId w15:val="{AD55F71F-C422-4585-B44D-012B28065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6DE"/>
  </w:style>
  <w:style w:type="paragraph" w:styleId="Heading1">
    <w:name w:val="heading 1"/>
    <w:basedOn w:val="Normal"/>
    <w:next w:val="Normal"/>
    <w:link w:val="Heading1Char"/>
    <w:uiPriority w:val="9"/>
    <w:qFormat/>
    <w:rsid w:val="004C56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56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56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56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56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56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56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56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56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56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56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56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56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56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56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56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56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56DE"/>
    <w:rPr>
      <w:rFonts w:eastAsiaTheme="majorEastAsia" w:cstheme="majorBidi"/>
      <w:color w:val="272727" w:themeColor="text1" w:themeTint="D8"/>
    </w:rPr>
  </w:style>
  <w:style w:type="paragraph" w:styleId="Title">
    <w:name w:val="Title"/>
    <w:basedOn w:val="Normal"/>
    <w:next w:val="Normal"/>
    <w:link w:val="TitleChar"/>
    <w:uiPriority w:val="10"/>
    <w:qFormat/>
    <w:rsid w:val="004C56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56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56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56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56DE"/>
    <w:pPr>
      <w:spacing w:before="160"/>
      <w:jc w:val="center"/>
    </w:pPr>
    <w:rPr>
      <w:i/>
      <w:iCs/>
      <w:color w:val="404040" w:themeColor="text1" w:themeTint="BF"/>
    </w:rPr>
  </w:style>
  <w:style w:type="character" w:customStyle="1" w:styleId="QuoteChar">
    <w:name w:val="Quote Char"/>
    <w:basedOn w:val="DefaultParagraphFont"/>
    <w:link w:val="Quote"/>
    <w:uiPriority w:val="29"/>
    <w:rsid w:val="004C56DE"/>
    <w:rPr>
      <w:i/>
      <w:iCs/>
      <w:color w:val="404040" w:themeColor="text1" w:themeTint="BF"/>
    </w:rPr>
  </w:style>
  <w:style w:type="paragraph" w:styleId="ListParagraph">
    <w:name w:val="List Paragraph"/>
    <w:basedOn w:val="Normal"/>
    <w:uiPriority w:val="34"/>
    <w:qFormat/>
    <w:rsid w:val="004C56DE"/>
    <w:pPr>
      <w:ind w:left="720"/>
      <w:contextualSpacing/>
    </w:pPr>
  </w:style>
  <w:style w:type="character" w:styleId="IntenseEmphasis">
    <w:name w:val="Intense Emphasis"/>
    <w:basedOn w:val="DefaultParagraphFont"/>
    <w:uiPriority w:val="21"/>
    <w:qFormat/>
    <w:rsid w:val="004C56DE"/>
    <w:rPr>
      <w:i/>
      <w:iCs/>
      <w:color w:val="0F4761" w:themeColor="accent1" w:themeShade="BF"/>
    </w:rPr>
  </w:style>
  <w:style w:type="paragraph" w:styleId="IntenseQuote">
    <w:name w:val="Intense Quote"/>
    <w:basedOn w:val="Normal"/>
    <w:next w:val="Normal"/>
    <w:link w:val="IntenseQuoteChar"/>
    <w:uiPriority w:val="30"/>
    <w:qFormat/>
    <w:rsid w:val="004C56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56DE"/>
    <w:rPr>
      <w:i/>
      <w:iCs/>
      <w:color w:val="0F4761" w:themeColor="accent1" w:themeShade="BF"/>
    </w:rPr>
  </w:style>
  <w:style w:type="character" w:styleId="IntenseReference">
    <w:name w:val="Intense Reference"/>
    <w:basedOn w:val="DefaultParagraphFont"/>
    <w:uiPriority w:val="32"/>
    <w:qFormat/>
    <w:rsid w:val="004C56DE"/>
    <w:rPr>
      <w:b/>
      <w:bCs/>
      <w:smallCaps/>
      <w:color w:val="0F4761" w:themeColor="accent1" w:themeShade="BF"/>
      <w:spacing w:val="5"/>
    </w:rPr>
  </w:style>
  <w:style w:type="character" w:styleId="Emphasis">
    <w:name w:val="Emphasis"/>
    <w:basedOn w:val="DefaultParagraphFont"/>
    <w:uiPriority w:val="20"/>
    <w:qFormat/>
    <w:rsid w:val="00153425"/>
    <w:rPr>
      <w:i/>
      <w:iCs/>
    </w:rPr>
  </w:style>
  <w:style w:type="paragraph" w:customStyle="1" w:styleId="EndNoteBibliographyTitle">
    <w:name w:val="EndNote Bibliography Title"/>
    <w:basedOn w:val="Normal"/>
    <w:link w:val="EndNoteBibliographyTitleChar"/>
    <w:rsid w:val="00C02CD9"/>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C02CD9"/>
    <w:rPr>
      <w:rFonts w:ascii="Aptos" w:hAnsi="Aptos"/>
      <w:noProof/>
    </w:rPr>
  </w:style>
  <w:style w:type="paragraph" w:customStyle="1" w:styleId="EndNoteBibliography">
    <w:name w:val="EndNote Bibliography"/>
    <w:basedOn w:val="Normal"/>
    <w:link w:val="EndNoteBibliographyChar"/>
    <w:rsid w:val="00C02CD9"/>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C02CD9"/>
    <w:rPr>
      <w:rFonts w:ascii="Aptos" w:hAnsi="Aptos"/>
      <w:noProof/>
    </w:rPr>
  </w:style>
  <w:style w:type="character" w:styleId="Hyperlink">
    <w:name w:val="Hyperlink"/>
    <w:basedOn w:val="DefaultParagraphFont"/>
    <w:uiPriority w:val="99"/>
    <w:unhideWhenUsed/>
    <w:rsid w:val="00C02CD9"/>
    <w:rPr>
      <w:color w:val="467886" w:themeColor="hyperlink"/>
      <w:u w:val="single"/>
    </w:rPr>
  </w:style>
  <w:style w:type="character" w:styleId="UnresolvedMention">
    <w:name w:val="Unresolved Mention"/>
    <w:basedOn w:val="DefaultParagraphFont"/>
    <w:uiPriority w:val="99"/>
    <w:semiHidden/>
    <w:unhideWhenUsed/>
    <w:rsid w:val="00C02CD9"/>
    <w:rPr>
      <w:color w:val="605E5C"/>
      <w:shd w:val="clear" w:color="auto" w:fill="E1DFDD"/>
    </w:rPr>
  </w:style>
  <w:style w:type="paragraph" w:styleId="NormalWeb">
    <w:name w:val="Normal (Web)"/>
    <w:basedOn w:val="Normal"/>
    <w:uiPriority w:val="99"/>
    <w:unhideWhenUsed/>
    <w:rsid w:val="00836EC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1016/j.envres.2021.11148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016/j.scitotenv.2021.147906" TargetMode="External"/><Relationship Id="rId5" Type="http://schemas.openxmlformats.org/officeDocument/2006/relationships/hyperlink" Target="https://doi.org/10.1021/acs.est.2c06500"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5</Pages>
  <Words>1056</Words>
  <Characters>5975</Characters>
  <Application>Microsoft Office Word</Application>
  <DocSecurity>0</DocSecurity>
  <Lines>359</Lines>
  <Paragraphs>286</Paragraphs>
  <ScaleCrop>false</ScaleCrop>
  <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Shahin Alam</dc:creator>
  <cp:keywords/>
  <dc:description/>
  <cp:lastModifiedBy>Shahin Alam</cp:lastModifiedBy>
  <cp:revision>29</cp:revision>
  <dcterms:created xsi:type="dcterms:W3CDTF">2024-05-23T21:11:00Z</dcterms:created>
  <dcterms:modified xsi:type="dcterms:W3CDTF">2024-06-13T06:11:00Z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9be1e82ebec1c15d210b1627cc7309d356f58f2c03ac1769c1041bc5eaac7332</vt:lpwstr>
  </property>
</Properties>
</file>